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479"/>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311785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346075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27"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2651760</wp:posOffset>
            </wp:positionH>
            <wp:positionV relativeFrom="paragraph">
              <wp:posOffset>142875</wp:posOffset>
            </wp:positionV>
            <wp:extent cx="1089025"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089025" cy="8890"/>
                    </a:xfrm>
                    <a:prstGeom prst="rect">
                      <a:avLst/>
                    </a:prstGeom>
                    <a:noFill/>
                  </pic:spPr>
                </pic:pic>
              </a:graphicData>
            </a:graphic>
          </wp:anchor>
        </w:drawing>
      </w:r>
    </w:p>
    <w:p>
      <w:pPr>
        <w:spacing w:after="0" w:line="200" w:lineRule="exact"/>
        <w:rPr>
          <w:sz w:val="24"/>
          <w:szCs w:val="24"/>
          <w:color w:val="auto"/>
        </w:rPr>
      </w:pPr>
    </w:p>
    <w:p>
      <w:pPr>
        <w:spacing w:after="0" w:line="234" w:lineRule="exact"/>
        <w:rPr>
          <w:sz w:val="24"/>
          <w:szCs w:val="24"/>
          <w:color w:val="auto"/>
        </w:rPr>
      </w:pPr>
    </w:p>
    <w:p>
      <w:pPr>
        <w:ind w:left="4580"/>
        <w:spacing w:after="0"/>
        <w:rPr>
          <w:sz w:val="20"/>
          <w:szCs w:val="20"/>
          <w:color w:val="auto"/>
        </w:rPr>
      </w:pPr>
      <w:r>
        <w:rPr>
          <w:rFonts w:ascii="Arial" w:cs="Arial" w:eastAsia="Arial" w:hAnsi="Arial"/>
          <w:sz w:val="18"/>
          <w:szCs w:val="18"/>
          <w:color w:val="auto"/>
        </w:rPr>
        <w:t>FORM 20-F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2651760</wp:posOffset>
            </wp:positionH>
            <wp:positionV relativeFrom="paragraph">
              <wp:posOffset>152400</wp:posOffset>
            </wp:positionV>
            <wp:extent cx="1089025"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089025" cy="8890"/>
                    </a:xfrm>
                    <a:prstGeom prst="rect">
                      <a:avLst/>
                    </a:prstGeom>
                    <a:noFill/>
                  </pic:spPr>
                </pic:pic>
              </a:graphicData>
            </a:graphic>
          </wp:anchor>
        </w:drawing>
      </w:r>
    </w:p>
    <w:p>
      <w:pPr>
        <w:spacing w:after="0" w:line="200" w:lineRule="exact"/>
        <w:rPr>
          <w:sz w:val="24"/>
          <w:szCs w:val="24"/>
          <w:color w:val="auto"/>
        </w:rPr>
      </w:pPr>
    </w:p>
    <w:p>
      <w:pPr>
        <w:spacing w:after="0" w:line="258" w:lineRule="exact"/>
        <w:rPr>
          <w:sz w:val="24"/>
          <w:szCs w:val="24"/>
          <w:color w:val="auto"/>
        </w:rPr>
      </w:pPr>
    </w:p>
    <w:p>
      <w:pPr>
        <w:ind w:left="620"/>
        <w:spacing w:after="0"/>
        <w:rPr>
          <w:sz w:val="20"/>
          <w:szCs w:val="20"/>
          <w:color w:val="auto"/>
        </w:rPr>
      </w:pPr>
      <w:r>
        <w:rPr>
          <w:rFonts w:ascii="Arial" w:cs="Arial" w:eastAsia="Arial" w:hAnsi="Arial"/>
          <w:sz w:val="18"/>
          <w:szCs w:val="18"/>
          <w:b w:val="1"/>
          <w:bCs w:val="1"/>
          <w:color w:val="auto"/>
        </w:rPr>
        <w:t>(Mark One)</w:t>
      </w:r>
    </w:p>
    <w:p>
      <w:pPr>
        <w:spacing w:after="0" w:line="229" w:lineRule="exact"/>
        <w:rPr>
          <w:sz w:val="24"/>
          <w:szCs w:val="24"/>
          <w:color w:val="auto"/>
        </w:rPr>
      </w:pPr>
    </w:p>
    <w:p>
      <w:pPr>
        <w:ind w:left="3260" w:right="1580" w:hanging="1186"/>
        <w:spacing w:after="0" w:line="277" w:lineRule="auto"/>
        <w:tabs>
          <w:tab w:leader="none" w:pos="2275"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REGISTRATION STATEMENT PURSUANT TO SECTION 12(b) OR (g) OF THE SECURITIES EXCHANGE ACT OF 1934</w:t>
      </w:r>
    </w:p>
    <w:p>
      <w:pPr>
        <w:spacing w:after="0" w:line="170"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260" w:right="2060" w:hanging="728"/>
        <w:spacing w:after="0" w:line="277" w:lineRule="auto"/>
        <w:tabs>
          <w:tab w:leader="none" w:pos="2723" w:val="left"/>
        </w:tabs>
        <w:numPr>
          <w:ilvl w:val="0"/>
          <w:numId w:val="2"/>
        </w:numPr>
        <w:rPr>
          <w:rFonts w:ascii="MS PGothic" w:cs="MS PGothic" w:eastAsia="MS PGothic" w:hAnsi="MS PGothic"/>
          <w:sz w:val="18"/>
          <w:szCs w:val="18"/>
          <w:color w:val="auto"/>
        </w:rPr>
      </w:pPr>
      <w:r>
        <w:rPr>
          <w:rFonts w:ascii="Arial" w:cs="Arial" w:eastAsia="Arial" w:hAnsi="Arial"/>
          <w:sz w:val="18"/>
          <w:szCs w:val="18"/>
          <w:color w:val="auto"/>
        </w:rPr>
        <w:t>ANNUAL REPORT PURSUANT TO SECTION 13 OR 15(d) OF THE SECURITIES EXCHANGE ACT OF 1934</w:t>
      </w:r>
    </w:p>
    <w:p>
      <w:pPr>
        <w:spacing w:after="0" w:line="170"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For the fiscal year ended December 31, 2017</w:t>
      </w:r>
    </w:p>
    <w:p>
      <w:pPr>
        <w:spacing w:after="0" w:line="225"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260" w:right="1880" w:hanging="886"/>
        <w:spacing w:after="0" w:line="277" w:lineRule="auto"/>
        <w:tabs>
          <w:tab w:leader="none" w:pos="2571" w:val="left"/>
        </w:tabs>
        <w:numPr>
          <w:ilvl w:val="0"/>
          <w:numId w:val="3"/>
        </w:numPr>
        <w:rPr>
          <w:rFonts w:ascii="MS PGothic" w:cs="MS PGothic" w:eastAsia="MS PGothic" w:hAnsi="MS PGothic"/>
          <w:sz w:val="18"/>
          <w:szCs w:val="18"/>
          <w:color w:val="auto"/>
        </w:rPr>
      </w:pPr>
      <w:r>
        <w:rPr>
          <w:rFonts w:ascii="Arial" w:cs="Arial" w:eastAsia="Arial" w:hAnsi="Arial"/>
          <w:sz w:val="18"/>
          <w:szCs w:val="18"/>
          <w:color w:val="auto"/>
        </w:rPr>
        <w:t>TRANSITION REPORT PURSUANT TO SECTION 13 OR 15(d) OF THE SECURITIES EXCHANGE ACT OF 1934</w:t>
      </w:r>
    </w:p>
    <w:p>
      <w:pPr>
        <w:spacing w:after="0" w:line="170"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260" w:right="1680" w:hanging="1092"/>
        <w:spacing w:after="0" w:line="277" w:lineRule="auto"/>
        <w:tabs>
          <w:tab w:leader="none" w:pos="2369" w:val="left"/>
        </w:tabs>
        <w:numPr>
          <w:ilvl w:val="0"/>
          <w:numId w:val="4"/>
        </w:numPr>
        <w:rPr>
          <w:rFonts w:ascii="MS PGothic" w:cs="MS PGothic" w:eastAsia="MS PGothic" w:hAnsi="MS PGothic"/>
          <w:sz w:val="18"/>
          <w:szCs w:val="18"/>
          <w:color w:val="auto"/>
        </w:rPr>
      </w:pPr>
      <w:r>
        <w:rPr>
          <w:rFonts w:ascii="Arial" w:cs="Arial" w:eastAsia="Arial" w:hAnsi="Arial"/>
          <w:sz w:val="18"/>
          <w:szCs w:val="18"/>
          <w:color w:val="auto"/>
        </w:rPr>
        <w:t>SHELL COMPANY REPORT PURSUANT TO SECTION 13 OR 15(d) OF THE SECURITIES EXCHANGE ACT OF 1934</w:t>
      </w:r>
    </w:p>
    <w:p>
      <w:pPr>
        <w:spacing w:after="0" w:line="170" w:lineRule="exact"/>
        <w:rPr>
          <w:sz w:val="24"/>
          <w:szCs w:val="24"/>
          <w:color w:val="auto"/>
        </w:rPr>
      </w:pPr>
    </w:p>
    <w:p>
      <w:pPr>
        <w:ind w:left="2280"/>
        <w:spacing w:after="0"/>
        <w:rPr>
          <w:sz w:val="20"/>
          <w:szCs w:val="20"/>
          <w:color w:val="auto"/>
        </w:rPr>
      </w:pPr>
      <w:r>
        <w:rPr>
          <w:rFonts w:ascii="Arial" w:cs="Arial" w:eastAsia="Arial" w:hAnsi="Arial"/>
          <w:sz w:val="18"/>
          <w:szCs w:val="18"/>
          <w:color w:val="auto"/>
        </w:rPr>
        <w:t>Date of event requiring this shell company report……………………………</w:t>
      </w:r>
    </w:p>
    <w:p>
      <w:pPr>
        <w:spacing w:after="0" w:line="225" w:lineRule="exact"/>
        <w:rPr>
          <w:sz w:val="24"/>
          <w:szCs w:val="24"/>
          <w:color w:val="auto"/>
        </w:rPr>
      </w:pPr>
    </w:p>
    <w:p>
      <w:pPr>
        <w:ind w:left="3240"/>
        <w:spacing w:after="0"/>
        <w:rPr>
          <w:sz w:val="20"/>
          <w:szCs w:val="20"/>
          <w:color w:val="auto"/>
        </w:rPr>
      </w:pPr>
      <w:r>
        <w:rPr>
          <w:rFonts w:ascii="Arial" w:cs="Arial" w:eastAsia="Arial" w:hAnsi="Arial"/>
          <w:sz w:val="18"/>
          <w:szCs w:val="18"/>
          <w:color w:val="auto"/>
        </w:rPr>
        <w:t>For the transition period from ______ to _______</w:t>
      </w:r>
    </w:p>
    <w:p>
      <w:pPr>
        <w:spacing w:after="0" w:line="225"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479"/>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ind w:left="3120"/>
        <w:spacing w:after="0"/>
        <w:rPr>
          <w:sz w:val="20"/>
          <w:szCs w:val="20"/>
          <w:color w:val="auto"/>
        </w:rPr>
      </w:pPr>
      <w:r>
        <w:rPr>
          <w:rFonts w:ascii="Arial" w:cs="Arial" w:eastAsia="Arial" w:hAnsi="Arial"/>
          <w:sz w:val="18"/>
          <w:szCs w:val="18"/>
          <w:i w:val="1"/>
          <w:iCs w:val="1"/>
          <w:color w:val="auto"/>
        </w:rPr>
        <w:t>(Exact name of Registrant as specified in its charter)</w:t>
      </w:r>
    </w:p>
    <w:p>
      <w:pPr>
        <w:sectPr>
          <w:pgSz w:w="11900" w:h="16838" w:orient="portrait"/>
          <w:cols w:equalWidth="0" w:num="1">
            <w:col w:w="9580"/>
          </w:cols>
          <w:pgMar w:left="920" w:top="783" w:right="1399" w:bottom="747" w:gutter="0" w:footer="0" w:header="0"/>
        </w:sectPr>
      </w:pPr>
    </w:p>
    <w:p>
      <w:pPr>
        <w:spacing w:after="0" w:line="205" w:lineRule="exact"/>
        <w:rPr>
          <w:sz w:val="24"/>
          <w:szCs w:val="24"/>
          <w:color w:val="auto"/>
        </w:rPr>
      </w:pPr>
    </w:p>
    <w:p>
      <w:pPr>
        <w:jc w:val="center"/>
        <w:ind w:right="112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120"/>
        <w:spacing w:after="0"/>
        <w:rPr>
          <w:sz w:val="20"/>
          <w:szCs w:val="20"/>
          <w:color w:val="auto"/>
        </w:rPr>
      </w:pPr>
      <w:r>
        <w:rPr>
          <w:rFonts w:ascii="Arial" w:cs="Arial" w:eastAsia="Arial" w:hAnsi="Arial"/>
          <w:sz w:val="18"/>
          <w:szCs w:val="18"/>
          <w:i w:val="1"/>
          <w:iCs w:val="1"/>
          <w:color w:val="auto"/>
        </w:rPr>
        <w:t>(Translation of Registrant’s name into English)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2651760</wp:posOffset>
            </wp:positionH>
            <wp:positionV relativeFrom="paragraph">
              <wp:posOffset>142875</wp:posOffset>
            </wp:positionV>
            <wp:extent cx="1089025"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089025" cy="8890"/>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185"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REPUBLIC OF PANAMA</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7"/>
          <w:szCs w:val="17"/>
          <w:i w:val="1"/>
          <w:iCs w:val="1"/>
          <w:color w:val="auto"/>
        </w:rPr>
        <w:t>(Jurisdiction of incorporation or organization)</w:t>
      </w:r>
    </w:p>
    <w:p>
      <w:pPr>
        <w:spacing w:after="0" w:line="211" w:lineRule="exact"/>
        <w:rPr>
          <w:sz w:val="24"/>
          <w:szCs w:val="24"/>
          <w:color w:val="auto"/>
        </w:rPr>
      </w:pPr>
    </w:p>
    <w:p>
      <w:pPr>
        <w:sectPr>
          <w:pgSz w:w="11900" w:h="16838" w:orient="portrait"/>
          <w:cols w:equalWidth="0" w:num="2">
            <w:col w:w="5480" w:space="720"/>
            <w:col w:w="3380"/>
          </w:cols>
          <w:pgMar w:left="920" w:top="783" w:right="1399" w:bottom="747" w:gutter="0" w:footer="0" w:header="0"/>
          <w:type w:val="continuous"/>
        </w:sectPr>
      </w:pPr>
    </w:p>
    <w:p>
      <w:pPr>
        <w:spacing w:after="0" w:line="250"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Torre V, Business Park</w:t>
      </w:r>
    </w:p>
    <w:p>
      <w:pPr>
        <w:spacing w:after="0" w:line="27"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Avenida La Rotonda, Urb. Costa del Este</w:t>
      </w:r>
    </w:p>
    <w:p>
      <w:pPr>
        <w:spacing w:after="0" w:line="9"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P.O. Box 0819-08730</w:t>
      </w:r>
    </w:p>
    <w:p>
      <w:pPr>
        <w:spacing w:after="0" w:line="9"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Panama City, Republic of Panama</w:t>
      </w:r>
    </w:p>
    <w:p>
      <w:pPr>
        <w:spacing w:after="0" w:line="9" w:lineRule="exact"/>
        <w:rPr>
          <w:sz w:val="24"/>
          <w:szCs w:val="24"/>
          <w:color w:val="auto"/>
        </w:rPr>
      </w:pPr>
    </w:p>
    <w:p>
      <w:pPr>
        <w:jc w:val="center"/>
        <w:ind w:right="-479"/>
        <w:spacing w:after="0"/>
        <w:rPr>
          <w:sz w:val="20"/>
          <w:szCs w:val="20"/>
          <w:color w:val="auto"/>
        </w:rPr>
      </w:pPr>
      <w:r>
        <w:rPr>
          <w:rFonts w:ascii="Arial" w:cs="Arial" w:eastAsia="Arial" w:hAnsi="Arial"/>
          <w:sz w:val="18"/>
          <w:szCs w:val="18"/>
          <w:i w:val="1"/>
          <w:i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2651760</wp:posOffset>
            </wp:positionH>
            <wp:positionV relativeFrom="paragraph">
              <wp:posOffset>142875</wp:posOffset>
            </wp:positionV>
            <wp:extent cx="1089025"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089025" cy="8890"/>
                    </a:xfrm>
                    <a:prstGeom prst="rect">
                      <a:avLst/>
                    </a:prstGeom>
                    <a:noFill/>
                  </pic:spPr>
                </pic:pic>
              </a:graphicData>
            </a:graphic>
          </wp:anchor>
        </w:drawing>
      </w:r>
    </w:p>
    <w:p>
      <w:pPr>
        <w:spacing w:after="0" w:line="200" w:lineRule="exact"/>
        <w:rPr>
          <w:sz w:val="24"/>
          <w:szCs w:val="24"/>
          <w:color w:val="auto"/>
        </w:rPr>
      </w:pPr>
    </w:p>
    <w:p>
      <w:pPr>
        <w:spacing w:after="0" w:line="230"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Ana Graciela de Méndez</w:t>
      </w:r>
    </w:p>
    <w:p>
      <w:pPr>
        <w:spacing w:after="0" w:line="27"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Chief Financial Officer</w:t>
      </w:r>
    </w:p>
    <w:p>
      <w:pPr>
        <w:spacing w:after="0" w:line="9"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+507 210-8500</w:t>
      </w:r>
    </w:p>
    <w:p>
      <w:pPr>
        <w:spacing w:after="0" w:line="9"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Email address: amendez@bladex.com</w:t>
      </w:r>
    </w:p>
    <w:p>
      <w:pPr>
        <w:spacing w:after="0" w:line="9" w:lineRule="exact"/>
        <w:rPr>
          <w:sz w:val="24"/>
          <w:szCs w:val="24"/>
          <w:color w:val="auto"/>
        </w:rPr>
      </w:pPr>
    </w:p>
    <w:p>
      <w:pPr>
        <w:jc w:val="center"/>
        <w:ind w:right="-479"/>
        <w:spacing w:after="0"/>
        <w:rPr>
          <w:sz w:val="20"/>
          <w:szCs w:val="20"/>
          <w:color w:val="auto"/>
        </w:rPr>
      </w:pPr>
      <w:r>
        <w:rPr>
          <w:rFonts w:ascii="Arial" w:cs="Arial" w:eastAsia="Arial" w:hAnsi="Arial"/>
          <w:sz w:val="17"/>
          <w:szCs w:val="17"/>
          <w:i w:val="1"/>
          <w:iCs w:val="1"/>
          <w:color w:val="auto"/>
        </w:rPr>
        <w:t>(Name, Telephone, E-mail and/or Facsimile number and Address of Company Contact Person)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-426085</wp:posOffset>
            </wp:positionH>
            <wp:positionV relativeFrom="paragraph">
              <wp:posOffset>21590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2651760</wp:posOffset>
            </wp:positionH>
            <wp:positionV relativeFrom="paragraph">
              <wp:posOffset>167640</wp:posOffset>
            </wp:positionV>
            <wp:extent cx="1089025"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089025" cy="8890"/>
                    </a:xfrm>
                    <a:prstGeom prst="rect">
                      <a:avLst/>
                    </a:prstGeom>
                    <a:noFill/>
                  </pic:spPr>
                </pic:pic>
              </a:graphicData>
            </a:graphic>
          </wp:anchor>
        </w:drawing>
      </w:r>
    </w:p>
    <w:p>
      <w:pPr>
        <w:spacing w:after="0" w:line="200" w:lineRule="exact"/>
        <w:rPr>
          <w:sz w:val="24"/>
          <w:szCs w:val="24"/>
          <w:color w:val="auto"/>
        </w:rPr>
      </w:pPr>
    </w:p>
    <w:p>
      <w:pPr>
        <w:spacing w:after="0" w:line="272" w:lineRule="exact"/>
        <w:rPr>
          <w:sz w:val="24"/>
          <w:szCs w:val="24"/>
          <w:color w:val="auto"/>
        </w:rPr>
      </w:pPr>
    </w:p>
    <w:p>
      <w:pPr>
        <w:ind w:left="2280"/>
        <w:spacing w:after="0"/>
        <w:rPr>
          <w:sz w:val="20"/>
          <w:szCs w:val="20"/>
          <w:color w:val="auto"/>
        </w:rPr>
      </w:pPr>
      <w:r>
        <w:rPr>
          <w:rFonts w:ascii="Arial" w:cs="Arial" w:eastAsia="Arial" w:hAnsi="Arial"/>
          <w:sz w:val="18"/>
          <w:szCs w:val="18"/>
          <w:color w:val="auto"/>
        </w:rPr>
        <w:t>Securities registered or to be registered pursuant to Section 12(b) of the Act.</w:t>
      </w:r>
    </w:p>
    <w:p>
      <w:pPr>
        <w:spacing w:after="0" w:line="221" w:lineRule="exact"/>
        <w:rPr>
          <w:sz w:val="24"/>
          <w:szCs w:val="24"/>
          <w:color w:val="auto"/>
        </w:rPr>
      </w:pPr>
    </w:p>
    <w:p>
      <w:pPr>
        <w:ind w:left="1320" w:right="20" w:firstLine="182"/>
        <w:spacing w:after="0" w:line="282" w:lineRule="auto"/>
        <w:rPr>
          <w:sz w:val="20"/>
          <w:szCs w:val="20"/>
          <w:color w:val="auto"/>
        </w:rPr>
      </w:pPr>
      <w:r>
        <w:rPr>
          <w:rFonts w:ascii="Arial" w:cs="Arial" w:eastAsia="Arial" w:hAnsi="Arial"/>
          <w:sz w:val="18"/>
          <w:szCs w:val="18"/>
          <w:b w:val="1"/>
          <w:bCs w:val="1"/>
          <w:color w:val="auto"/>
        </w:rPr>
        <w:t xml:space="preserve">Title of each class Name of each exchange on which registered </w:t>
      </w:r>
      <w:r>
        <w:rPr>
          <w:rFonts w:ascii="Arial" w:cs="Arial" w:eastAsia="Arial" w:hAnsi="Arial"/>
          <w:sz w:val="18"/>
          <w:szCs w:val="18"/>
          <w:color w:val="auto"/>
        </w:rPr>
        <w:t>Class E Common Stock New York Stock Exchange</w:t>
      </w:r>
    </w:p>
    <w:p>
      <w:pPr>
        <w:spacing w:after="0" w:line="166"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Securities registered or to be registered pursuant to Section 12(g) of the Act.</w:t>
      </w:r>
    </w:p>
    <w:p>
      <w:pPr>
        <w:spacing w:after="0" w:line="23"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None</w:t>
      </w:r>
    </w:p>
    <w:p>
      <w:pPr>
        <w:spacing w:after="0" w:line="211"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Securities for which there is a reporting obligation pursuant to Section 15(d) of the Act.</w:t>
      </w:r>
    </w:p>
    <w:p>
      <w:pPr>
        <w:spacing w:after="0" w:line="23"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None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2651760</wp:posOffset>
            </wp:positionH>
            <wp:positionV relativeFrom="paragraph">
              <wp:posOffset>142875</wp:posOffset>
            </wp:positionV>
            <wp:extent cx="1089025"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089025" cy="8890"/>
                    </a:xfrm>
                    <a:prstGeom prst="rect">
                      <a:avLst/>
                    </a:prstGeom>
                    <a:noFill/>
                  </pic:spPr>
                </pic:pic>
              </a:graphicData>
            </a:graphic>
          </wp:anchor>
        </w:drawing>
        <w:drawing>
          <wp:anchor simplePos="0" relativeHeight="251657728" behindDoc="1" locked="0" layoutInCell="0" allowOverlap="1">
            <wp:simplePos x="0" y="0"/>
            <wp:positionH relativeFrom="column">
              <wp:posOffset>-426085</wp:posOffset>
            </wp:positionH>
            <wp:positionV relativeFrom="paragraph">
              <wp:posOffset>597535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9580"/>
          </w:cols>
          <w:pgMar w:left="920" w:top="783" w:right="1399" w:bottom="747" w:gutter="0" w:footer="0" w:header="0"/>
          <w:type w:val="continuous"/>
        </w:sectPr>
      </w:pPr>
    </w:p>
    <w:bookmarkStart w:id="1" w:name="page2"/>
    <w:bookmarkEnd w:id="1"/>
    <w:p>
      <w:pPr>
        <w:spacing w:after="0"/>
        <w:rPr>
          <w:sz w:val="20"/>
          <w:szCs w:val="20"/>
          <w:color w:val="auto"/>
        </w:rPr>
      </w:pPr>
      <w:r>
        <w:rPr>
          <w:rFonts w:ascii="Arial" w:cs="Arial" w:eastAsia="Arial" w:hAnsi="Arial"/>
          <w:sz w:val="16"/>
          <w:szCs w:val="16"/>
          <w:color w:val="auto"/>
        </w:rPr>
        <w:t>Indicate the number of outstanding shares of each of the issuer’s classes of capital or common stock as of the close of the period covered by the annual report.</w:t>
      </w:r>
    </w:p>
    <w:p>
      <w:pPr>
        <w:spacing w:after="0" w:line="263" w:lineRule="exact"/>
        <w:rPr>
          <w:sz w:val="20"/>
          <w:szCs w:val="20"/>
          <w:color w:val="auto"/>
        </w:rPr>
      </w:pPr>
    </w:p>
    <w:tbl>
      <w:tblPr>
        <w:tblLayout w:type="fixed"/>
        <w:tblInd w:w="1720" w:type="dxa"/>
        <w:tblCellMar>
          <w:top w:w="0" w:type="dxa"/>
          <w:left w:w="0" w:type="dxa"/>
          <w:bottom w:w="0" w:type="dxa"/>
          <w:right w:w="0" w:type="dxa"/>
        </w:tblCellMar>
      </w:tblPr>
      <w:tr>
        <w:trPr>
          <w:trHeight w:val="216"/>
        </w:trPr>
        <w:tc>
          <w:tcPr>
            <w:tcW w:w="240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rPr>
              <w:t>6,342,189</w:t>
            </w: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Shares of Class A Common Stock</w:t>
            </w:r>
          </w:p>
        </w:tc>
      </w:tr>
      <w:tr>
        <w:trPr>
          <w:trHeight w:val="216"/>
        </w:trPr>
        <w:tc>
          <w:tcPr>
            <w:tcW w:w="2400" w:type="dxa"/>
            <w:vAlign w:val="bottom"/>
          </w:tcPr>
          <w:p>
            <w:pPr>
              <w:jc w:val="right"/>
              <w:ind w:right="230"/>
              <w:spacing w:after="0"/>
              <w:rPr>
                <w:sz w:val="20"/>
                <w:szCs w:val="20"/>
                <w:color w:val="auto"/>
              </w:rPr>
            </w:pPr>
            <w:r>
              <w:rPr>
                <w:rFonts w:ascii="Arial" w:cs="Arial" w:eastAsia="Arial" w:hAnsi="Arial"/>
                <w:sz w:val="18"/>
                <w:szCs w:val="18"/>
                <w:color w:val="auto"/>
              </w:rPr>
              <w:t>2,408,806</w:t>
            </w:r>
          </w:p>
        </w:tc>
        <w:tc>
          <w:tcPr>
            <w:tcW w:w="5580" w:type="dxa"/>
            <w:vAlign w:val="bottom"/>
          </w:tcPr>
          <w:p>
            <w:pPr>
              <w:ind w:left="340"/>
              <w:spacing w:after="0"/>
              <w:rPr>
                <w:sz w:val="20"/>
                <w:szCs w:val="20"/>
                <w:color w:val="auto"/>
              </w:rPr>
            </w:pPr>
            <w:r>
              <w:rPr>
                <w:rFonts w:ascii="Arial" w:cs="Arial" w:eastAsia="Arial" w:hAnsi="Arial"/>
                <w:sz w:val="18"/>
                <w:szCs w:val="18"/>
                <w:color w:val="auto"/>
              </w:rPr>
              <w:t>Shares of Class B Common Stock</w:t>
            </w:r>
          </w:p>
        </w:tc>
      </w:tr>
      <w:tr>
        <w:trPr>
          <w:trHeight w:val="216"/>
        </w:trPr>
        <w:tc>
          <w:tcPr>
            <w:tcW w:w="240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rPr>
              <w:t>30,677,840</w:t>
            </w: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Shares of Class E Common Stock</w:t>
            </w:r>
          </w:p>
        </w:tc>
      </w:tr>
    </w:tbl>
    <w:p>
      <w:pPr>
        <w:ind w:left="4460" w:hanging="747"/>
        <w:spacing w:after="0"/>
        <w:tabs>
          <w:tab w:leader="none" w:pos="4460" w:val="left"/>
        </w:tabs>
        <w:numPr>
          <w:ilvl w:val="0"/>
          <w:numId w:val="5"/>
        </w:numPr>
        <w:rPr>
          <w:rFonts w:ascii="Arial" w:cs="Arial" w:eastAsia="Arial" w:hAnsi="Arial"/>
          <w:sz w:val="18"/>
          <w:szCs w:val="18"/>
          <w:color w:val="auto"/>
        </w:rPr>
      </w:pPr>
      <w:r>
        <w:rPr>
          <w:rFonts w:ascii="Arial" w:cs="Arial" w:eastAsia="Arial" w:hAnsi="Arial"/>
          <w:sz w:val="18"/>
          <w:szCs w:val="18"/>
          <w:color w:val="auto"/>
        </w:rPr>
        <w:t>Shares of Class F Common Stock</w:t>
      </w:r>
    </w:p>
    <w:p>
      <w:pPr>
        <w:spacing w:after="0" w:line="23" w:lineRule="exact"/>
        <w:rPr>
          <w:sz w:val="20"/>
          <w:szCs w:val="20"/>
          <w:color w:val="auto"/>
        </w:rPr>
      </w:pPr>
    </w:p>
    <w:p>
      <w:pPr>
        <w:ind w:left="3000"/>
        <w:spacing w:after="0"/>
        <w:tabs>
          <w:tab w:leader="none" w:pos="4440" w:val="left"/>
        </w:tabs>
        <w:rPr>
          <w:sz w:val="20"/>
          <w:szCs w:val="20"/>
          <w:color w:val="auto"/>
        </w:rPr>
      </w:pPr>
      <w:r>
        <w:rPr>
          <w:rFonts w:ascii="Arial" w:cs="Arial" w:eastAsia="Arial" w:hAnsi="Arial"/>
          <w:sz w:val="18"/>
          <w:szCs w:val="18"/>
          <w:color w:val="auto"/>
        </w:rPr>
        <w:t>39,428,835</w:t>
      </w:r>
      <w:r>
        <w:rPr>
          <w:sz w:val="20"/>
          <w:szCs w:val="20"/>
          <w:color w:val="auto"/>
        </w:rPr>
        <w:tab/>
      </w:r>
      <w:r>
        <w:rPr>
          <w:rFonts w:ascii="Arial" w:cs="Arial" w:eastAsia="Arial" w:hAnsi="Arial"/>
          <w:sz w:val="18"/>
          <w:szCs w:val="18"/>
          <w:color w:val="auto"/>
        </w:rPr>
        <w:t>Total Shares of Common Stock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1094105</wp:posOffset>
            </wp:positionH>
            <wp:positionV relativeFrom="paragraph">
              <wp:posOffset>-130810</wp:posOffset>
            </wp:positionV>
            <wp:extent cx="5068570" cy="1460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068570" cy="146050"/>
                    </a:xfrm>
                    <a:prstGeom prst="rect">
                      <a:avLst/>
                    </a:prstGeom>
                    <a:noFill/>
                  </pic:spPr>
                </pic:pic>
              </a:graphicData>
            </a:graphic>
          </wp:anchor>
        </w:drawing>
      </w: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Indicate by check mark if the registrant is a well-known seasoned issuer, as defined in Rule 405 of the Securities Act.</w:t>
      </w:r>
    </w:p>
    <w:p>
      <w:pPr>
        <w:spacing w:after="0" w:line="193" w:lineRule="exact"/>
        <w:rPr>
          <w:sz w:val="20"/>
          <w:szCs w:val="20"/>
          <w:color w:val="auto"/>
        </w:rPr>
      </w:pPr>
    </w:p>
    <w:p>
      <w:pPr>
        <w:ind w:left="3720"/>
        <w:spacing w:after="0" w:line="207" w:lineRule="exact"/>
        <w:tabs>
          <w:tab w:leader="none" w:pos="716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No</w:t>
      </w:r>
    </w:p>
    <w:p>
      <w:pPr>
        <w:spacing w:after="0" w:line="258" w:lineRule="exact"/>
        <w:rPr>
          <w:sz w:val="20"/>
          <w:szCs w:val="20"/>
          <w:color w:val="auto"/>
        </w:rPr>
      </w:pPr>
    </w:p>
    <w:p>
      <w:pPr>
        <w:jc w:val="center"/>
        <w:ind w:left="260" w:right="220"/>
        <w:spacing w:after="0" w:line="277" w:lineRule="auto"/>
        <w:rPr>
          <w:sz w:val="20"/>
          <w:szCs w:val="20"/>
          <w:color w:val="auto"/>
        </w:rPr>
      </w:pPr>
      <w:r>
        <w:rPr>
          <w:rFonts w:ascii="Arial" w:cs="Arial" w:eastAsia="Arial" w:hAnsi="Arial"/>
          <w:sz w:val="18"/>
          <w:szCs w:val="18"/>
          <w:color w:val="auto"/>
        </w:rPr>
        <w:t>If this report is an annual or transition report, indicate by check mark if the registrant is not required to file reports pursuant to Section 13 or 15(d) of the Securities Exchange Act of 1934.</w:t>
      </w:r>
    </w:p>
    <w:p>
      <w:pPr>
        <w:spacing w:after="0" w:line="138" w:lineRule="exact"/>
        <w:rPr>
          <w:sz w:val="20"/>
          <w:szCs w:val="20"/>
          <w:color w:val="auto"/>
        </w:rPr>
      </w:pPr>
    </w:p>
    <w:p>
      <w:pPr>
        <w:ind w:left="3720"/>
        <w:spacing w:after="0" w:line="207" w:lineRule="exact"/>
        <w:tabs>
          <w:tab w:leader="none" w:pos="716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No</w:t>
      </w:r>
    </w:p>
    <w:p>
      <w:pPr>
        <w:spacing w:after="0" w:line="258" w:lineRule="exact"/>
        <w:rPr>
          <w:sz w:val="20"/>
          <w:szCs w:val="20"/>
          <w:color w:val="auto"/>
        </w:rPr>
      </w:pPr>
    </w:p>
    <w:p>
      <w:pPr>
        <w:jc w:val="center"/>
        <w:spacing w:after="0" w:line="277" w:lineRule="auto"/>
        <w:rPr>
          <w:sz w:val="20"/>
          <w:szCs w:val="20"/>
          <w:color w:val="auto"/>
        </w:rPr>
      </w:pPr>
      <w:r>
        <w:rPr>
          <w:rFonts w:ascii="Arial" w:cs="Arial" w:eastAsia="Arial" w:hAnsi="Arial"/>
          <w:sz w:val="18"/>
          <w:szCs w:val="18"/>
          <w:color w:val="auto"/>
        </w:rPr>
        <w:t>Note – Checking the box above will not relieve any registrant required to file reports pursuant to Section 13 or 15(d) of the Securities Exchange Act of 1934 from their obligations under those Sections.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spacing w:after="0" w:line="149" w:lineRule="exact"/>
        <w:rPr>
          <w:sz w:val="20"/>
          <w:szCs w:val="20"/>
          <w:color w:val="auto"/>
        </w:rPr>
      </w:pPr>
    </w:p>
    <w:p>
      <w:pPr>
        <w:ind w:left="3720"/>
        <w:spacing w:after="0" w:line="207" w:lineRule="exact"/>
        <w:tabs>
          <w:tab w:leader="none" w:pos="718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7"/>
          <w:szCs w:val="17"/>
          <w:color w:val="auto"/>
        </w:rPr>
        <w:t xml:space="preserve">☐ </w:t>
      </w:r>
      <w:r>
        <w:rPr>
          <w:rFonts w:ascii="Arial" w:cs="Arial" w:eastAsia="Arial" w:hAnsi="Arial"/>
          <w:sz w:val="17"/>
          <w:szCs w:val="17"/>
          <w:color w:val="auto"/>
        </w:rPr>
        <w:t>No</w:t>
      </w:r>
    </w:p>
    <w:p>
      <w:pPr>
        <w:spacing w:after="0" w:line="25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w:t>
      </w:r>
    </w:p>
    <w:p>
      <w:pPr>
        <w:spacing w:after="0" w:line="149" w:lineRule="exact"/>
        <w:rPr>
          <w:sz w:val="20"/>
          <w:szCs w:val="20"/>
          <w:color w:val="auto"/>
        </w:rPr>
      </w:pPr>
    </w:p>
    <w:p>
      <w:pPr>
        <w:ind w:left="3700"/>
        <w:spacing w:after="0" w:line="207" w:lineRule="exact"/>
        <w:tabs>
          <w:tab w:leader="none" w:pos="4020" w:val="left"/>
          <w:tab w:leader="none" w:pos="718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ab/>
        <w:t>Yes</w:t>
      </w:r>
      <w:r>
        <w:rPr>
          <w:sz w:val="20"/>
          <w:szCs w:val="20"/>
          <w:color w:val="auto"/>
        </w:rPr>
        <w:tab/>
      </w:r>
      <w:r>
        <w:rPr>
          <w:rFonts w:ascii="MS PGothic" w:cs="MS PGothic" w:eastAsia="MS PGothic" w:hAnsi="MS PGothic"/>
          <w:sz w:val="17"/>
          <w:szCs w:val="17"/>
          <w:color w:val="auto"/>
        </w:rPr>
        <w:t xml:space="preserve">☐ </w:t>
      </w:r>
      <w:r>
        <w:rPr>
          <w:rFonts w:ascii="Arial" w:cs="Arial" w:eastAsia="Arial" w:hAnsi="Arial"/>
          <w:sz w:val="17"/>
          <w:szCs w:val="17"/>
          <w:color w:val="auto"/>
        </w:rPr>
        <w:t>No</w:t>
      </w:r>
    </w:p>
    <w:p>
      <w:pPr>
        <w:spacing w:after="0" w:line="25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Indicate by check mark whether the registrant is a large accelerated filer, an accelerated filer, a non-accelerated filer, or an emerging growth company. See definition of “large accelerated filer,” “accelerated filer,” and “emerging growth company” in Rule 12b-2 of the Exchange Act.</w:t>
      </w:r>
    </w:p>
    <w:p>
      <w:pPr>
        <w:sectPr>
          <w:pgSz w:w="11900" w:h="16838" w:orient="portrait"/>
          <w:cols w:equalWidth="0" w:num="1">
            <w:col w:w="11420"/>
          </w:cols>
          <w:pgMar w:left="240" w:top="908" w:right="239" w:bottom="1440" w:gutter="0" w:footer="0" w:header="0"/>
        </w:sectPr>
      </w:pPr>
    </w:p>
    <w:p>
      <w:pPr>
        <w:spacing w:after="0" w:line="138" w:lineRule="exact"/>
        <w:rPr>
          <w:sz w:val="20"/>
          <w:szCs w:val="20"/>
          <w:color w:val="auto"/>
        </w:rPr>
      </w:pPr>
    </w:p>
    <w:p>
      <w:pPr>
        <w:ind w:left="660"/>
        <w:spacing w:after="0" w:line="184" w:lineRule="exact"/>
        <w:rPr>
          <w:sz w:val="20"/>
          <w:szCs w:val="20"/>
          <w:color w:val="auto"/>
        </w:rPr>
      </w:pPr>
      <w:r>
        <w:rPr>
          <w:rFonts w:ascii="MS PGothic" w:cs="MS PGothic" w:eastAsia="MS PGothic" w:hAnsi="MS PGothic"/>
          <w:sz w:val="16"/>
          <w:szCs w:val="16"/>
          <w:color w:val="auto"/>
        </w:rPr>
        <w:t>☒</w:t>
      </w:r>
      <w:r>
        <w:rPr>
          <w:rFonts w:ascii="Arial" w:cs="Arial" w:eastAsia="Arial" w:hAnsi="Arial"/>
          <w:sz w:val="16"/>
          <w:szCs w:val="16"/>
          <w:color w:val="auto"/>
        </w:rPr>
        <w:t xml:space="preserve"> Large Accelerated Filer</w:t>
      </w:r>
    </w:p>
    <w:p>
      <w:pPr>
        <w:spacing w:after="0" w:line="20" w:lineRule="exact"/>
        <w:rPr>
          <w:sz w:val="20"/>
          <w:szCs w:val="20"/>
          <w:color w:val="auto"/>
        </w:rPr>
      </w:pPr>
      <w:r>
        <w:rPr>
          <w:sz w:val="20"/>
          <w:szCs w:val="20"/>
          <w:color w:val="auto"/>
        </w:rPr>
        <w:br w:type="column"/>
      </w:r>
    </w:p>
    <w:p>
      <w:pPr>
        <w:spacing w:after="0" w:line="118" w:lineRule="exact"/>
        <w:rPr>
          <w:sz w:val="20"/>
          <w:szCs w:val="20"/>
          <w:color w:val="auto"/>
        </w:rPr>
      </w:pPr>
    </w:p>
    <w:p>
      <w:pPr>
        <w:spacing w:after="0" w:line="184" w:lineRule="exact"/>
        <w:rPr>
          <w:sz w:val="20"/>
          <w:szCs w:val="20"/>
          <w:color w:val="auto"/>
        </w:rPr>
      </w:pPr>
      <w:r>
        <w:rPr>
          <w:rFonts w:ascii="MS PGothic" w:cs="MS PGothic" w:eastAsia="MS PGothic" w:hAnsi="MS PGothic"/>
          <w:sz w:val="16"/>
          <w:szCs w:val="16"/>
          <w:color w:val="auto"/>
        </w:rPr>
        <w:t>☐</w:t>
      </w:r>
      <w:r>
        <w:rPr>
          <w:rFonts w:ascii="Arial" w:cs="Arial" w:eastAsia="Arial" w:hAnsi="Arial"/>
          <w:sz w:val="16"/>
          <w:szCs w:val="16"/>
          <w:color w:val="auto"/>
        </w:rPr>
        <w:t xml:space="preserve"> Accelerated Filer</w:t>
      </w:r>
    </w:p>
    <w:p>
      <w:pPr>
        <w:spacing w:after="0" w:line="20" w:lineRule="exact"/>
        <w:rPr>
          <w:sz w:val="20"/>
          <w:szCs w:val="20"/>
          <w:color w:val="auto"/>
        </w:rPr>
      </w:pPr>
      <w:r>
        <w:rPr>
          <w:sz w:val="20"/>
          <w:szCs w:val="20"/>
          <w:color w:val="auto"/>
        </w:rPr>
        <w:br w:type="column"/>
      </w:r>
    </w:p>
    <w:p>
      <w:pPr>
        <w:spacing w:after="0" w:line="118" w:lineRule="exact"/>
        <w:rPr>
          <w:sz w:val="20"/>
          <w:szCs w:val="20"/>
          <w:color w:val="auto"/>
        </w:rPr>
      </w:pPr>
    </w:p>
    <w:p>
      <w:pPr>
        <w:spacing w:after="0" w:line="207" w:lineRule="exact"/>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Non-accelerated Filer</w:t>
      </w:r>
    </w:p>
    <w:p>
      <w:pPr>
        <w:spacing w:after="0" w:line="58" w:lineRule="exact"/>
        <w:rPr>
          <w:sz w:val="20"/>
          <w:szCs w:val="20"/>
          <w:color w:val="auto"/>
        </w:rPr>
      </w:pPr>
    </w:p>
    <w:p>
      <w:pPr>
        <w:spacing w:after="0" w:line="184" w:lineRule="exact"/>
        <w:rPr>
          <w:sz w:val="20"/>
          <w:szCs w:val="20"/>
          <w:color w:val="auto"/>
        </w:rPr>
      </w:pPr>
      <w:r>
        <w:rPr>
          <w:rFonts w:ascii="MS PGothic" w:cs="MS PGothic" w:eastAsia="MS PGothic" w:hAnsi="MS PGothic"/>
          <w:sz w:val="16"/>
          <w:szCs w:val="16"/>
          <w:color w:val="auto"/>
        </w:rPr>
        <w:t>☐</w:t>
      </w:r>
      <w:r>
        <w:rPr>
          <w:rFonts w:ascii="Arial" w:cs="Arial" w:eastAsia="Arial" w:hAnsi="Arial"/>
          <w:sz w:val="16"/>
          <w:szCs w:val="16"/>
          <w:color w:val="auto"/>
        </w:rPr>
        <w:t xml:space="preserve"> Emerging growth company</w:t>
      </w:r>
    </w:p>
    <w:p>
      <w:pPr>
        <w:spacing w:after="0" w:line="200" w:lineRule="exact"/>
        <w:rPr>
          <w:sz w:val="20"/>
          <w:szCs w:val="20"/>
          <w:color w:val="auto"/>
        </w:rPr>
      </w:pPr>
    </w:p>
    <w:p>
      <w:pPr>
        <w:sectPr>
          <w:pgSz w:w="11900" w:h="16838" w:orient="portrait"/>
          <w:cols w:equalWidth="0" w:num="3">
            <w:col w:w="3280" w:space="720"/>
            <w:col w:w="2720" w:space="720"/>
            <w:col w:w="3980"/>
          </w:cols>
          <w:pgMar w:left="240" w:top="908" w:right="239" w:bottom="1440" w:gutter="0" w:footer="0" w:header="0"/>
          <w:type w:val="continuous"/>
        </w:sectPr>
      </w:pPr>
    </w:p>
    <w:p>
      <w:pPr>
        <w:spacing w:after="0" w:line="32" w:lineRule="exact"/>
        <w:rPr>
          <w:sz w:val="20"/>
          <w:szCs w:val="20"/>
          <w:color w:val="auto"/>
        </w:rPr>
      </w:pPr>
    </w:p>
    <w:p>
      <w:pPr>
        <w:jc w:val="both"/>
        <w:ind w:left="660"/>
        <w:spacing w:after="0" w:line="227" w:lineRule="exact"/>
        <w:rPr>
          <w:sz w:val="20"/>
          <w:szCs w:val="20"/>
          <w:color w:val="auto"/>
        </w:rPr>
      </w:pPr>
      <w:r>
        <w:rPr>
          <w:rFonts w:ascii="Arial" w:cs="Arial" w:eastAsia="Arial" w:hAnsi="Arial"/>
          <w:sz w:val="18"/>
          <w:szCs w:val="18"/>
          <w:color w:val="auto"/>
        </w:rPr>
        <w:t xml:space="preserve">If an emerging growth company that prepares its financial statements in accordance with U.S. GAAP,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184" w:lineRule="exact"/>
        <w:rPr>
          <w:sz w:val="20"/>
          <w:szCs w:val="20"/>
          <w:color w:val="auto"/>
        </w:rPr>
      </w:pPr>
    </w:p>
    <w:p>
      <w:pPr>
        <w:ind w:left="660" w:hanging="4"/>
        <w:spacing w:after="0" w:line="277" w:lineRule="auto"/>
        <w:tabs>
          <w:tab w:leader="none" w:pos="872"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term “new or revised financial accounting standard” refers to any update issued by the Financial Accounting Standards Board to its Accounting Standards Codification after April 5, 2012.</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Indicate by check mark which basis of accounting the registrant has used to prepare the financial statements included in this filing:</w:t>
      </w:r>
    </w:p>
    <w:p>
      <w:pPr>
        <w:sectPr>
          <w:pgSz w:w="11900" w:h="16838" w:orient="portrait"/>
          <w:cols w:equalWidth="0" w:num="1">
            <w:col w:w="11420"/>
          </w:cols>
          <w:pgMar w:left="240" w:top="908" w:right="239" w:bottom="1440" w:gutter="0" w:footer="0" w:header="0"/>
          <w:type w:val="continuous"/>
        </w:sectPr>
      </w:pPr>
    </w:p>
    <w:p>
      <w:pPr>
        <w:spacing w:after="0" w:line="193" w:lineRule="exact"/>
        <w:rPr>
          <w:sz w:val="20"/>
          <w:szCs w:val="20"/>
          <w:color w:val="auto"/>
        </w:rPr>
      </w:pPr>
    </w:p>
    <w:p>
      <w:pPr>
        <w:ind w:left="660"/>
        <w:spacing w:after="0" w:line="184" w:lineRule="exact"/>
        <w:rPr>
          <w:sz w:val="20"/>
          <w:szCs w:val="20"/>
          <w:color w:val="auto"/>
        </w:rPr>
      </w:pPr>
      <w:r>
        <w:rPr>
          <w:rFonts w:ascii="MS PGothic" w:cs="MS PGothic" w:eastAsia="MS PGothic" w:hAnsi="MS PGothic"/>
          <w:sz w:val="16"/>
          <w:szCs w:val="16"/>
          <w:color w:val="auto"/>
        </w:rPr>
        <w:t>☐</w:t>
      </w:r>
      <w:r>
        <w:rPr>
          <w:rFonts w:ascii="Arial" w:cs="Arial" w:eastAsia="Arial" w:hAnsi="Arial"/>
          <w:sz w:val="16"/>
          <w:szCs w:val="16"/>
          <w:color w:val="auto"/>
        </w:rPr>
        <w:t xml:space="preserve"> U.S. GAAP</w:t>
      </w:r>
    </w:p>
    <w:p>
      <w:pPr>
        <w:spacing w:after="0" w:line="20" w:lineRule="exact"/>
        <w:rPr>
          <w:sz w:val="20"/>
          <w:szCs w:val="20"/>
          <w:color w:val="auto"/>
        </w:rPr>
      </w:pPr>
      <w:r>
        <w:rPr>
          <w:sz w:val="20"/>
          <w:szCs w:val="20"/>
          <w:color w:val="auto"/>
        </w:rPr>
        <w:br w:type="column"/>
      </w:r>
    </w:p>
    <w:p>
      <w:pPr>
        <w:spacing w:after="0" w:line="173" w:lineRule="exact"/>
        <w:rPr>
          <w:sz w:val="20"/>
          <w:szCs w:val="20"/>
          <w:color w:val="auto"/>
        </w:rPr>
      </w:pPr>
    </w:p>
    <w:p>
      <w:pPr>
        <w:ind w:right="580" w:hanging="559"/>
        <w:spacing w:after="0" w:line="342" w:lineRule="auto"/>
        <w:rPr>
          <w:sz w:val="20"/>
          <w:szCs w:val="20"/>
          <w:color w:val="auto"/>
        </w:rPr>
      </w:pPr>
      <w:r>
        <w:rPr>
          <w:rFonts w:ascii="MS PGothic" w:cs="MS PGothic" w:eastAsia="MS PGothic" w:hAnsi="MS PGothic"/>
          <w:sz w:val="16"/>
          <w:szCs w:val="16"/>
          <w:color w:val="auto"/>
        </w:rPr>
        <w:t>☒</w:t>
      </w:r>
      <w:r>
        <w:rPr>
          <w:sz w:val="20"/>
          <w:szCs w:val="20"/>
          <w:color w:val="auto"/>
        </w:rPr>
        <w:t xml:space="preserve"> </w:t>
      </w:r>
      <w:r>
        <w:rPr>
          <w:rFonts w:ascii="Arial" w:cs="Arial" w:eastAsia="Arial" w:hAnsi="Arial"/>
          <w:sz w:val="16"/>
          <w:szCs w:val="16"/>
          <w:color w:val="auto"/>
        </w:rPr>
        <w:t>International Financial Reporting Standards as issued by the International Accounting Standards Board</w:t>
      </w:r>
    </w:p>
    <w:p>
      <w:pPr>
        <w:spacing w:after="0" w:line="20" w:lineRule="exact"/>
        <w:rPr>
          <w:sz w:val="20"/>
          <w:szCs w:val="20"/>
          <w:color w:val="auto"/>
        </w:rPr>
      </w:pPr>
      <w:r>
        <w:rPr>
          <w:sz w:val="20"/>
          <w:szCs w:val="20"/>
          <w:color w:val="auto"/>
        </w:rPr>
        <w:br w:type="column"/>
      </w:r>
    </w:p>
    <w:p>
      <w:pPr>
        <w:spacing w:after="0" w:line="173" w:lineRule="exact"/>
        <w:rPr>
          <w:sz w:val="20"/>
          <w:szCs w:val="20"/>
          <w:color w:val="auto"/>
        </w:rPr>
      </w:pPr>
    </w:p>
    <w:p>
      <w:pPr>
        <w:spacing w:after="0" w:line="173" w:lineRule="exact"/>
        <w:rPr>
          <w:sz w:val="20"/>
          <w:szCs w:val="20"/>
          <w:color w:val="auto"/>
        </w:rPr>
      </w:pPr>
      <w:r>
        <w:rPr>
          <w:rFonts w:ascii="MS PGothic" w:cs="MS PGothic" w:eastAsia="MS PGothic" w:hAnsi="MS PGothic"/>
          <w:sz w:val="15"/>
          <w:szCs w:val="15"/>
          <w:color w:val="auto"/>
        </w:rPr>
        <w:t>☐</w:t>
      </w:r>
      <w:r>
        <w:rPr>
          <w:rFonts w:ascii="Arial" w:cs="Arial" w:eastAsia="Arial" w:hAnsi="Arial"/>
          <w:sz w:val="15"/>
          <w:szCs w:val="15"/>
          <w:color w:val="auto"/>
        </w:rPr>
        <w:t xml:space="preserve"> Other</w:t>
      </w:r>
    </w:p>
    <w:p>
      <w:pPr>
        <w:spacing w:after="0" w:line="508" w:lineRule="exact"/>
        <w:rPr>
          <w:sz w:val="20"/>
          <w:szCs w:val="20"/>
          <w:color w:val="auto"/>
        </w:rPr>
      </w:pPr>
    </w:p>
    <w:p>
      <w:pPr>
        <w:sectPr>
          <w:pgSz w:w="11900" w:h="16838" w:orient="portrait"/>
          <w:cols w:equalWidth="0" w:num="3">
            <w:col w:w="2720" w:space="720"/>
            <w:col w:w="4420" w:space="720"/>
            <w:col w:w="2840"/>
          </w:cols>
          <w:pgMar w:left="240" w:top="908" w:right="239" w:bottom="1440" w:gutter="0" w:footer="0" w:header="0"/>
          <w:type w:val="continuous"/>
        </w:sectPr>
      </w:pPr>
    </w:p>
    <w:p>
      <w:pPr>
        <w:jc w:val="center"/>
        <w:ind w:right="160"/>
        <w:spacing w:after="0"/>
        <w:rPr>
          <w:sz w:val="20"/>
          <w:szCs w:val="20"/>
          <w:color w:val="auto"/>
        </w:rPr>
      </w:pPr>
      <w:r>
        <w:rPr>
          <w:rFonts w:ascii="Arial" w:cs="Arial" w:eastAsia="Arial" w:hAnsi="Arial"/>
          <w:sz w:val="16"/>
          <w:szCs w:val="16"/>
          <w:color w:val="auto"/>
        </w:rPr>
        <w:t>If “Other” has been checked in response to the previous question, indicate by check mark which financial statement item the registrant has elected to follow.</w:t>
      </w:r>
    </w:p>
    <w:p>
      <w:pPr>
        <w:spacing w:after="0" w:line="216" w:lineRule="exact"/>
        <w:rPr>
          <w:sz w:val="20"/>
          <w:szCs w:val="20"/>
          <w:color w:val="auto"/>
        </w:rPr>
      </w:pPr>
    </w:p>
    <w:p>
      <w:pPr>
        <w:ind w:left="3580"/>
        <w:spacing w:after="0" w:line="207" w:lineRule="exact"/>
        <w:tabs>
          <w:tab w:leader="none" w:pos="700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Item 17</w:t>
      </w:r>
      <w:r>
        <w:rPr>
          <w:sz w:val="20"/>
          <w:szCs w:val="20"/>
          <w:color w:val="auto"/>
        </w:rPr>
        <w:tab/>
      </w:r>
      <w:r>
        <w:rPr>
          <w:rFonts w:ascii="MS PGothic" w:cs="MS PGothic" w:eastAsia="MS PGothic" w:hAnsi="MS PGothic"/>
          <w:sz w:val="17"/>
          <w:szCs w:val="17"/>
          <w:color w:val="auto"/>
        </w:rPr>
        <w:t xml:space="preserve">☐ </w:t>
      </w:r>
      <w:r>
        <w:rPr>
          <w:rFonts w:ascii="Arial" w:cs="Arial" w:eastAsia="Arial" w:hAnsi="Arial"/>
          <w:sz w:val="17"/>
          <w:szCs w:val="17"/>
          <w:color w:val="auto"/>
        </w:rPr>
        <w:t>Item 18</w:t>
      </w:r>
    </w:p>
    <w:p>
      <w:pPr>
        <w:spacing w:after="0" w:line="258" w:lineRule="exact"/>
        <w:rPr>
          <w:sz w:val="20"/>
          <w:szCs w:val="20"/>
          <w:color w:val="auto"/>
        </w:rPr>
      </w:pPr>
    </w:p>
    <w:p>
      <w:pPr>
        <w:spacing w:after="0"/>
        <w:rPr>
          <w:sz w:val="20"/>
          <w:szCs w:val="20"/>
          <w:color w:val="auto"/>
        </w:rPr>
      </w:pPr>
      <w:r>
        <w:rPr>
          <w:rFonts w:ascii="Arial" w:cs="Arial" w:eastAsia="Arial" w:hAnsi="Arial"/>
          <w:sz w:val="18"/>
          <w:szCs w:val="18"/>
          <w:color w:val="auto"/>
        </w:rPr>
        <w:t>If this is an annual report, indicate by check mark whether the registrant is a shell company (as defined in Rule 12b-2 of the Exchange Act).</w:t>
      </w:r>
    </w:p>
    <w:p>
      <w:pPr>
        <w:spacing w:after="0" w:line="193" w:lineRule="exact"/>
        <w:rPr>
          <w:sz w:val="20"/>
          <w:szCs w:val="20"/>
          <w:color w:val="auto"/>
        </w:rPr>
      </w:pPr>
    </w:p>
    <w:p>
      <w:pPr>
        <w:ind w:left="3720"/>
        <w:spacing w:after="0" w:line="207" w:lineRule="exact"/>
        <w:tabs>
          <w:tab w:leader="none" w:pos="716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type w:val="continuous"/>
        </w:sectPr>
      </w:pPr>
    </w:p>
    <w:bookmarkStart w:id="2" w:name="page3"/>
    <w:bookmarkEnd w:id="2"/>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7880" w:type="dxa"/>
            <w:vAlign w:val="bottom"/>
            <w:gridSpan w:val="11"/>
          </w:tcPr>
          <w:p>
            <w:pPr>
              <w:jc w:val="center"/>
              <w:ind w:right="240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3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280" w:type="dxa"/>
            <w:vAlign w:val="bottom"/>
            <w:gridSpan w:val="4"/>
          </w:tcPr>
          <w:p>
            <w:pPr>
              <w:jc w:val="center"/>
              <w:ind w:right="4000"/>
              <w:spacing w:after="0"/>
              <w:rPr>
                <w:sz w:val="20"/>
                <w:szCs w:val="20"/>
                <w:color w:val="auto"/>
              </w:rPr>
            </w:pPr>
            <w:r>
              <w:rPr>
                <w:rFonts w:ascii="Arial" w:cs="Arial" w:eastAsia="Arial" w:hAnsi="Arial"/>
                <w:sz w:val="18"/>
                <w:szCs w:val="18"/>
                <w:b w:val="1"/>
                <w:bCs w:val="1"/>
                <w:color w:val="auto"/>
                <w:w w:val="98"/>
              </w:rPr>
              <w:t>TABLE OF CONTENTS</w:t>
            </w:r>
          </w:p>
        </w:tc>
        <w:tc>
          <w:tcPr>
            <w:tcW w:w="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5440" w:type="dxa"/>
            <w:vAlign w:val="bottom"/>
          </w:tcPr>
          <w:p>
            <w:pPr>
              <w:spacing w:after="0"/>
              <w:rPr>
                <w:sz w:val="24"/>
                <w:szCs w:val="24"/>
                <w:color w:val="auto"/>
              </w:rPr>
            </w:pPr>
          </w:p>
        </w:tc>
        <w:tc>
          <w:tcPr>
            <w:tcW w:w="580" w:type="dxa"/>
            <w:vAlign w:val="bottom"/>
            <w:gridSpan w:val="4"/>
          </w:tcPr>
          <w:p>
            <w:pPr>
              <w:ind w:left="100"/>
              <w:spacing w:after="0"/>
              <w:rPr>
                <w:sz w:val="20"/>
                <w:szCs w:val="20"/>
                <w:color w:val="auto"/>
              </w:rPr>
            </w:pPr>
            <w:r>
              <w:rPr>
                <w:rFonts w:ascii="Arial" w:cs="Arial" w:eastAsia="Arial" w:hAnsi="Arial"/>
                <w:sz w:val="18"/>
                <w:szCs w:val="18"/>
                <w:b w:val="1"/>
                <w:bCs w:val="1"/>
                <w:color w:val="auto"/>
              </w:rPr>
              <w:t>Page</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5440" w:type="dxa"/>
            <w:vAlign w:val="bottom"/>
          </w:tcPr>
          <w:p>
            <w:pPr>
              <w:spacing w:after="0"/>
              <w:rPr>
                <w:sz w:val="18"/>
                <w:szCs w:val="18"/>
                <w:color w:val="auto"/>
              </w:rPr>
            </w:pPr>
          </w:p>
        </w:tc>
        <w:tc>
          <w:tcPr>
            <w:tcW w:w="38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8"/>
            <w:shd w:val="clear" w:color="auto" w:fill="CCEEFF"/>
          </w:tcPr>
          <w:p>
            <w:pPr>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PART I</w:t>
              </w:r>
            </w:hyperlink>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4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5440" w:type="dxa"/>
            <w:vAlign w:val="bottom"/>
            <w:shd w:val="clear" w:color="auto" w:fill="CCEEFF"/>
          </w:tcPr>
          <w:p>
            <w:pPr>
              <w:spacing w:after="0"/>
              <w:rPr>
                <w:sz w:val="17"/>
                <w:szCs w:val="17"/>
                <w:color w:val="auto"/>
              </w:rPr>
            </w:pPr>
          </w:p>
        </w:tc>
        <w:tc>
          <w:tcPr>
            <w:tcW w:w="56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5</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544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560" w:type="dxa"/>
            <w:vAlign w:val="bottom"/>
            <w:gridSpan w:val="5"/>
            <w:shd w:val="clear" w:color="auto" w:fill="CCEEFF"/>
          </w:tcPr>
          <w:p>
            <w:pPr>
              <w:spacing w:after="0" w:line="176" w:lineRule="exact"/>
              <w:rPr>
                <w:rFonts w:ascii="Arial" w:cs="Arial" w:eastAsia="Arial" w:hAnsi="Arial"/>
                <w:sz w:val="18"/>
                <w:szCs w:val="18"/>
                <w:b w:val="1"/>
                <w:bCs w:val="1"/>
                <w:color w:val="0000EE"/>
                <w:w w:val="94"/>
              </w:rPr>
            </w:pPr>
            <w:hyperlink w:anchor="page7">
              <w:r>
                <w:rPr>
                  <w:rFonts w:ascii="Arial" w:cs="Arial" w:eastAsia="Arial" w:hAnsi="Arial"/>
                  <w:sz w:val="18"/>
                  <w:szCs w:val="18"/>
                  <w:b w:val="1"/>
                  <w:bCs w:val="1"/>
                  <w:color w:val="0000EE"/>
                  <w:w w:val="94"/>
                </w:rPr>
                <w:t>Item 1.</w:t>
              </w:r>
            </w:hyperlink>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9700" w:type="dxa"/>
            <w:vAlign w:val="bottom"/>
            <w:gridSpan w:val="35"/>
            <w:shd w:val="clear" w:color="auto" w:fill="CCEEFF"/>
          </w:tcPr>
          <w:p>
            <w:pPr>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Identity of Directors, Senior Management and Advisers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5</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2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24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180" w:type="dxa"/>
            <w:vAlign w:val="bottom"/>
            <w:tcBorders>
              <w:top w:val="single" w:sz="8" w:color="0000EE"/>
            </w:tcBorders>
          </w:tcPr>
          <w:p>
            <w:pPr>
              <w:spacing w:after="0"/>
              <w:rPr>
                <w:sz w:val="18"/>
                <w:szCs w:val="18"/>
                <w:color w:val="auto"/>
              </w:rPr>
            </w:pPr>
          </w:p>
        </w:tc>
        <w:tc>
          <w:tcPr>
            <w:tcW w:w="40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544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560" w:type="dxa"/>
            <w:vAlign w:val="bottom"/>
            <w:gridSpan w:val="5"/>
            <w:shd w:val="clear" w:color="auto" w:fill="CCEEFF"/>
          </w:tcPr>
          <w:p>
            <w:pPr>
              <w:spacing w:after="0" w:line="176" w:lineRule="exact"/>
              <w:rPr>
                <w:rFonts w:ascii="Arial" w:cs="Arial" w:eastAsia="Arial" w:hAnsi="Arial"/>
                <w:sz w:val="18"/>
                <w:szCs w:val="18"/>
                <w:b w:val="1"/>
                <w:bCs w:val="1"/>
                <w:color w:val="0000EE"/>
                <w:w w:val="94"/>
              </w:rPr>
            </w:pPr>
            <w:hyperlink w:anchor="page7">
              <w:r>
                <w:rPr>
                  <w:rFonts w:ascii="Arial" w:cs="Arial" w:eastAsia="Arial" w:hAnsi="Arial"/>
                  <w:sz w:val="18"/>
                  <w:szCs w:val="18"/>
                  <w:b w:val="1"/>
                  <w:bCs w:val="1"/>
                  <w:color w:val="0000EE"/>
                  <w:w w:val="94"/>
                </w:rPr>
                <w:t>Item 2.</w:t>
              </w:r>
            </w:hyperlink>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9700" w:type="dxa"/>
            <w:vAlign w:val="bottom"/>
            <w:gridSpan w:val="35"/>
            <w:shd w:val="clear" w:color="auto" w:fill="CCEEFF"/>
          </w:tcPr>
          <w:p>
            <w:pPr>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Offer Statistics and Expected Timetable</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5</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2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24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544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b w:val="1"/>
                <w:bCs w:val="1"/>
                <w:color w:val="0000EE"/>
                <w:w w:val="94"/>
              </w:rPr>
            </w:pPr>
            <w:hyperlink w:anchor="page7">
              <w:r>
                <w:rPr>
                  <w:rFonts w:ascii="Arial" w:cs="Arial" w:eastAsia="Arial" w:hAnsi="Arial"/>
                  <w:sz w:val="18"/>
                  <w:szCs w:val="18"/>
                  <w:b w:val="1"/>
                  <w:bCs w:val="1"/>
                  <w:color w:val="0000EE"/>
                  <w:w w:val="94"/>
                </w:rPr>
                <w:t>Item 3.</w:t>
              </w:r>
            </w:hyperlink>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80" w:type="dxa"/>
            <w:vAlign w:val="bottom"/>
            <w:shd w:val="clear" w:color="auto" w:fill="CCEEFF"/>
          </w:tcPr>
          <w:p>
            <w:pPr>
              <w:spacing w:after="0"/>
              <w:rPr>
                <w:sz w:val="15"/>
                <w:szCs w:val="15"/>
                <w:color w:val="auto"/>
              </w:rPr>
            </w:pPr>
          </w:p>
        </w:tc>
        <w:tc>
          <w:tcPr>
            <w:tcW w:w="9700" w:type="dxa"/>
            <w:vAlign w:val="bottom"/>
            <w:gridSpan w:val="35"/>
            <w:shd w:val="clear" w:color="auto" w:fill="CCEEFF"/>
          </w:tcPr>
          <w:p>
            <w:pPr>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Key Information</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20" w:type="dxa"/>
            <w:vAlign w:val="bottom"/>
            <w:gridSpan w:val="4"/>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A.</w:t>
              </w:r>
            </w:hyperlink>
          </w:p>
        </w:tc>
        <w:tc>
          <w:tcPr>
            <w:tcW w:w="40" w:type="dxa"/>
            <w:vAlign w:val="bottom"/>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Selected Financial Data</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3"/>
            <w:shd w:val="clear" w:color="auto" w:fill="CCEEFF"/>
          </w:tcPr>
          <w:p>
            <w:pPr>
              <w:spacing w:after="0" w:line="176" w:lineRule="exact"/>
              <w:rPr>
                <w:rFonts w:ascii="Arial" w:cs="Arial" w:eastAsia="Arial" w:hAnsi="Arial"/>
                <w:sz w:val="18"/>
                <w:szCs w:val="18"/>
                <w:color w:val="0000EE"/>
                <w:w w:val="81"/>
              </w:rPr>
            </w:pPr>
            <w:hyperlink w:anchor="page10">
              <w:r>
                <w:rPr>
                  <w:rFonts w:ascii="Arial" w:cs="Arial" w:eastAsia="Arial" w:hAnsi="Arial"/>
                  <w:sz w:val="18"/>
                  <w:szCs w:val="18"/>
                  <w:color w:val="0000EE"/>
                  <w:w w:val="81"/>
                </w:rPr>
                <w:t>B.</w:t>
              </w:r>
            </w:hyperlink>
          </w:p>
        </w:tc>
        <w:tc>
          <w:tcPr>
            <w:tcW w:w="400" w:type="dxa"/>
            <w:vAlign w:val="bottom"/>
            <w:gridSpan w:val="2"/>
            <w:shd w:val="clear" w:color="auto" w:fill="CCEEFF"/>
          </w:tcPr>
          <w:p>
            <w:pPr>
              <w:spacing w:after="0"/>
              <w:rPr>
                <w:sz w:val="15"/>
                <w:szCs w:val="15"/>
                <w:color w:val="auto"/>
              </w:rPr>
            </w:pPr>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Capitalization and Indebtedness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3"/>
          </w:tcPr>
          <w:p>
            <w:pPr>
              <w:spacing w:after="0" w:line="176" w:lineRule="exact"/>
              <w:rPr>
                <w:rFonts w:ascii="Arial" w:cs="Arial" w:eastAsia="Arial" w:hAnsi="Arial"/>
                <w:sz w:val="18"/>
                <w:szCs w:val="18"/>
                <w:color w:val="0000EE"/>
                <w:w w:val="77"/>
              </w:rPr>
            </w:pPr>
            <w:hyperlink w:anchor="page10">
              <w:r>
                <w:rPr>
                  <w:rFonts w:ascii="Arial" w:cs="Arial" w:eastAsia="Arial" w:hAnsi="Arial"/>
                  <w:sz w:val="18"/>
                  <w:szCs w:val="18"/>
                  <w:color w:val="0000EE"/>
                  <w:w w:val="77"/>
                </w:rPr>
                <w:t>C.</w:t>
              </w:r>
            </w:hyperlink>
          </w:p>
        </w:tc>
        <w:tc>
          <w:tcPr>
            <w:tcW w:w="400" w:type="dxa"/>
            <w:vAlign w:val="bottom"/>
            <w:gridSpan w:val="2"/>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Reasons for the Offer and Use of Proceeds</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D.</w:t>
              </w:r>
            </w:hyperlink>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Risk Factors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7</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6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4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544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b w:val="1"/>
                <w:bCs w:val="1"/>
                <w:color w:val="0000EE"/>
                <w:w w:val="94"/>
              </w:rPr>
            </w:pPr>
            <w:hyperlink w:anchor="page19">
              <w:r>
                <w:rPr>
                  <w:rFonts w:ascii="Arial" w:cs="Arial" w:eastAsia="Arial" w:hAnsi="Arial"/>
                  <w:sz w:val="18"/>
                  <w:szCs w:val="18"/>
                  <w:b w:val="1"/>
                  <w:bCs w:val="1"/>
                  <w:color w:val="0000EE"/>
                  <w:w w:val="94"/>
                </w:rPr>
                <w:t>Item 4.</w:t>
              </w:r>
            </w:hyperlink>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80" w:type="dxa"/>
            <w:vAlign w:val="bottom"/>
            <w:shd w:val="clear" w:color="auto" w:fill="CCEEFF"/>
          </w:tcPr>
          <w:p>
            <w:pPr>
              <w:spacing w:after="0"/>
              <w:rPr>
                <w:sz w:val="15"/>
                <w:szCs w:val="15"/>
                <w:color w:val="auto"/>
              </w:rPr>
            </w:pPr>
          </w:p>
        </w:tc>
        <w:tc>
          <w:tcPr>
            <w:tcW w:w="9700" w:type="dxa"/>
            <w:vAlign w:val="bottom"/>
            <w:gridSpan w:val="35"/>
            <w:shd w:val="clear" w:color="auto" w:fill="CCEEFF"/>
          </w:tcPr>
          <w:p>
            <w:pPr>
              <w:spacing w:after="0" w:line="176" w:lineRule="exact"/>
              <w:rPr>
                <w:rFonts w:ascii="Arial" w:cs="Arial" w:eastAsia="Arial" w:hAnsi="Arial"/>
                <w:sz w:val="18"/>
                <w:szCs w:val="18"/>
                <w:b w:val="1"/>
                <w:bCs w:val="1"/>
                <w:color w:val="0000EE"/>
              </w:rPr>
            </w:pPr>
            <w:hyperlink w:anchor="page19">
              <w:r>
                <w:rPr>
                  <w:rFonts w:ascii="Arial" w:cs="Arial" w:eastAsia="Arial" w:hAnsi="Arial"/>
                  <w:sz w:val="18"/>
                  <w:szCs w:val="18"/>
                  <w:b w:val="1"/>
                  <w:bCs w:val="1"/>
                  <w:color w:val="0000EE"/>
                </w:rPr>
                <w:t>Information on the Company</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19">
              <w:r>
                <w:rPr>
                  <w:rFonts w:ascii="Arial" w:cs="Arial" w:eastAsia="Arial" w:hAnsi="Arial"/>
                  <w:sz w:val="18"/>
                  <w:szCs w:val="18"/>
                  <w:b w:val="1"/>
                  <w:bCs w:val="1"/>
                  <w:color w:val="0000EE"/>
                </w:rPr>
                <w:t>16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20" w:type="dxa"/>
            <w:vAlign w:val="bottom"/>
            <w:gridSpan w:val="4"/>
          </w:tcPr>
          <w:p>
            <w:pPr>
              <w:spacing w:after="0" w:line="176" w:lineRule="exact"/>
              <w:rPr>
                <w:rFonts w:ascii="Arial" w:cs="Arial" w:eastAsia="Arial" w:hAnsi="Arial"/>
                <w:sz w:val="18"/>
                <w:szCs w:val="18"/>
                <w:color w:val="0000EE"/>
              </w:rPr>
            </w:pPr>
            <w:hyperlink w:anchor="page19">
              <w:r>
                <w:rPr>
                  <w:rFonts w:ascii="Arial" w:cs="Arial" w:eastAsia="Arial" w:hAnsi="Arial"/>
                  <w:sz w:val="18"/>
                  <w:szCs w:val="18"/>
                  <w:color w:val="0000EE"/>
                </w:rPr>
                <w:t>A.</w:t>
              </w:r>
            </w:hyperlink>
          </w:p>
        </w:tc>
        <w:tc>
          <w:tcPr>
            <w:tcW w:w="40" w:type="dxa"/>
            <w:vAlign w:val="bottom"/>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19">
              <w:r>
                <w:rPr>
                  <w:rFonts w:ascii="Arial" w:cs="Arial" w:eastAsia="Arial" w:hAnsi="Arial"/>
                  <w:sz w:val="18"/>
                  <w:szCs w:val="18"/>
                  <w:color w:val="0000EE"/>
                </w:rPr>
                <w:t>History and Development of the Company</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19">
              <w:r>
                <w:rPr>
                  <w:rFonts w:ascii="Arial" w:cs="Arial" w:eastAsia="Arial" w:hAnsi="Arial"/>
                  <w:sz w:val="18"/>
                  <w:szCs w:val="18"/>
                  <w:color w:val="0000EE"/>
                </w:rPr>
                <w:t>16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3"/>
            <w:shd w:val="clear" w:color="auto" w:fill="CCEEFF"/>
          </w:tcPr>
          <w:p>
            <w:pPr>
              <w:spacing w:after="0" w:line="176" w:lineRule="exact"/>
              <w:rPr>
                <w:rFonts w:ascii="Arial" w:cs="Arial" w:eastAsia="Arial" w:hAnsi="Arial"/>
                <w:sz w:val="18"/>
                <w:szCs w:val="18"/>
                <w:color w:val="0000EE"/>
                <w:w w:val="81"/>
              </w:rPr>
            </w:pPr>
            <w:hyperlink w:anchor="page21">
              <w:r>
                <w:rPr>
                  <w:rFonts w:ascii="Arial" w:cs="Arial" w:eastAsia="Arial" w:hAnsi="Arial"/>
                  <w:sz w:val="18"/>
                  <w:szCs w:val="18"/>
                  <w:color w:val="0000EE"/>
                  <w:w w:val="81"/>
                </w:rPr>
                <w:t>B.</w:t>
              </w:r>
            </w:hyperlink>
          </w:p>
        </w:tc>
        <w:tc>
          <w:tcPr>
            <w:tcW w:w="400" w:type="dxa"/>
            <w:vAlign w:val="bottom"/>
            <w:gridSpan w:val="2"/>
            <w:shd w:val="clear" w:color="auto" w:fill="CCEEFF"/>
          </w:tcPr>
          <w:p>
            <w:pPr>
              <w:spacing w:after="0"/>
              <w:rPr>
                <w:sz w:val="15"/>
                <w:szCs w:val="15"/>
                <w:color w:val="auto"/>
              </w:rPr>
            </w:pPr>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21">
              <w:r>
                <w:rPr>
                  <w:rFonts w:ascii="Arial" w:cs="Arial" w:eastAsia="Arial" w:hAnsi="Arial"/>
                  <w:sz w:val="18"/>
                  <w:szCs w:val="18"/>
                  <w:color w:val="0000EE"/>
                </w:rPr>
                <w:t>Business Overview</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21">
              <w:r>
                <w:rPr>
                  <w:rFonts w:ascii="Arial" w:cs="Arial" w:eastAsia="Arial" w:hAnsi="Arial"/>
                  <w:sz w:val="18"/>
                  <w:szCs w:val="18"/>
                  <w:color w:val="0000EE"/>
                </w:rPr>
                <w:t>18</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3"/>
          </w:tcPr>
          <w:p>
            <w:pPr>
              <w:spacing w:after="0" w:line="176" w:lineRule="exact"/>
              <w:rPr>
                <w:rFonts w:ascii="Arial" w:cs="Arial" w:eastAsia="Arial" w:hAnsi="Arial"/>
                <w:sz w:val="18"/>
                <w:szCs w:val="18"/>
                <w:color w:val="0000EE"/>
                <w:w w:val="77"/>
              </w:rPr>
            </w:pPr>
            <w:hyperlink w:anchor="page43">
              <w:r>
                <w:rPr>
                  <w:rFonts w:ascii="Arial" w:cs="Arial" w:eastAsia="Arial" w:hAnsi="Arial"/>
                  <w:sz w:val="18"/>
                  <w:szCs w:val="18"/>
                  <w:color w:val="0000EE"/>
                  <w:w w:val="77"/>
                </w:rPr>
                <w:t>C.</w:t>
              </w:r>
            </w:hyperlink>
          </w:p>
        </w:tc>
        <w:tc>
          <w:tcPr>
            <w:tcW w:w="400" w:type="dxa"/>
            <w:vAlign w:val="bottom"/>
            <w:gridSpan w:val="2"/>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43">
              <w:r>
                <w:rPr>
                  <w:rFonts w:ascii="Arial" w:cs="Arial" w:eastAsia="Arial" w:hAnsi="Arial"/>
                  <w:sz w:val="18"/>
                  <w:szCs w:val="18"/>
                  <w:color w:val="0000EE"/>
                </w:rPr>
                <w:t>Organizational Structure</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43">
              <w:r>
                <w:rPr>
                  <w:rFonts w:ascii="Arial" w:cs="Arial" w:eastAsia="Arial" w:hAnsi="Arial"/>
                  <w:sz w:val="18"/>
                  <w:szCs w:val="18"/>
                  <w:color w:val="0000EE"/>
                </w:rPr>
                <w:t>40</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43">
              <w:r>
                <w:rPr>
                  <w:rFonts w:ascii="Arial" w:cs="Arial" w:eastAsia="Arial" w:hAnsi="Arial"/>
                  <w:sz w:val="18"/>
                  <w:szCs w:val="18"/>
                  <w:color w:val="0000EE"/>
                </w:rPr>
                <w:t>D.</w:t>
              </w:r>
            </w:hyperlink>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43">
              <w:r>
                <w:rPr>
                  <w:rFonts w:ascii="Arial" w:cs="Arial" w:eastAsia="Arial" w:hAnsi="Arial"/>
                  <w:sz w:val="18"/>
                  <w:szCs w:val="18"/>
                  <w:color w:val="0000EE"/>
                </w:rPr>
                <w:t>Property, Plant and Equipment</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43">
              <w:r>
                <w:rPr>
                  <w:rFonts w:ascii="Arial" w:cs="Arial" w:eastAsia="Arial" w:hAnsi="Arial"/>
                  <w:sz w:val="18"/>
                  <w:szCs w:val="18"/>
                  <w:color w:val="0000EE"/>
                </w:rPr>
                <w:t>40</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6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4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2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544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8"/>
            <w:shd w:val="clear" w:color="auto" w:fill="CCEEFF"/>
          </w:tcPr>
          <w:p>
            <w:pPr>
              <w:spacing w:after="0" w:line="176" w:lineRule="exact"/>
              <w:rPr>
                <w:rFonts w:ascii="Arial" w:cs="Arial" w:eastAsia="Arial" w:hAnsi="Arial"/>
                <w:sz w:val="18"/>
                <w:szCs w:val="18"/>
                <w:b w:val="1"/>
                <w:bCs w:val="1"/>
                <w:color w:val="0000EE"/>
              </w:rPr>
            </w:pPr>
            <w:hyperlink w:anchor="page43">
              <w:r>
                <w:rPr>
                  <w:rFonts w:ascii="Arial" w:cs="Arial" w:eastAsia="Arial" w:hAnsi="Arial"/>
                  <w:sz w:val="18"/>
                  <w:szCs w:val="18"/>
                  <w:b w:val="1"/>
                  <w:bCs w:val="1"/>
                  <w:color w:val="0000EE"/>
                </w:rPr>
                <w:t>Item 4A.</w:t>
              </w:r>
            </w:hyperlink>
          </w:p>
        </w:tc>
        <w:tc>
          <w:tcPr>
            <w:tcW w:w="9700" w:type="dxa"/>
            <w:vAlign w:val="bottom"/>
            <w:gridSpan w:val="35"/>
            <w:shd w:val="clear" w:color="auto" w:fill="CCEEFF"/>
          </w:tcPr>
          <w:p>
            <w:pPr>
              <w:spacing w:after="0" w:line="176" w:lineRule="exact"/>
              <w:rPr>
                <w:rFonts w:ascii="Arial" w:cs="Arial" w:eastAsia="Arial" w:hAnsi="Arial"/>
                <w:sz w:val="18"/>
                <w:szCs w:val="18"/>
                <w:b w:val="1"/>
                <w:bCs w:val="1"/>
                <w:color w:val="0000EE"/>
              </w:rPr>
            </w:pPr>
            <w:hyperlink w:anchor="page43">
              <w:r>
                <w:rPr>
                  <w:rFonts w:ascii="Arial" w:cs="Arial" w:eastAsia="Arial" w:hAnsi="Arial"/>
                  <w:sz w:val="18"/>
                  <w:szCs w:val="18"/>
                  <w:b w:val="1"/>
                  <w:bCs w:val="1"/>
                  <w:color w:val="0000EE"/>
                </w:rPr>
                <w:t>Unresolved Staff Comments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43">
              <w:r>
                <w:rPr>
                  <w:rFonts w:ascii="Arial" w:cs="Arial" w:eastAsia="Arial" w:hAnsi="Arial"/>
                  <w:sz w:val="18"/>
                  <w:szCs w:val="18"/>
                  <w:b w:val="1"/>
                  <w:bCs w:val="1"/>
                  <w:color w:val="0000EE"/>
                </w:rPr>
                <w:t>40</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2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544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b w:val="1"/>
                <w:bCs w:val="1"/>
                <w:color w:val="0000EE"/>
                <w:w w:val="94"/>
              </w:rPr>
            </w:pPr>
            <w:hyperlink w:anchor="page43">
              <w:r>
                <w:rPr>
                  <w:rFonts w:ascii="Arial" w:cs="Arial" w:eastAsia="Arial" w:hAnsi="Arial"/>
                  <w:sz w:val="18"/>
                  <w:szCs w:val="18"/>
                  <w:b w:val="1"/>
                  <w:bCs w:val="1"/>
                  <w:color w:val="0000EE"/>
                  <w:w w:val="94"/>
                </w:rPr>
                <w:t>Item 5.</w:t>
              </w:r>
            </w:hyperlink>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80" w:type="dxa"/>
            <w:vAlign w:val="bottom"/>
            <w:shd w:val="clear" w:color="auto" w:fill="CCEEFF"/>
          </w:tcPr>
          <w:p>
            <w:pPr>
              <w:spacing w:after="0"/>
              <w:rPr>
                <w:sz w:val="15"/>
                <w:szCs w:val="15"/>
                <w:color w:val="auto"/>
              </w:rPr>
            </w:pPr>
          </w:p>
        </w:tc>
        <w:tc>
          <w:tcPr>
            <w:tcW w:w="9700" w:type="dxa"/>
            <w:vAlign w:val="bottom"/>
            <w:gridSpan w:val="35"/>
            <w:shd w:val="clear" w:color="auto" w:fill="CCEEFF"/>
          </w:tcPr>
          <w:p>
            <w:pPr>
              <w:spacing w:after="0" w:line="176" w:lineRule="exact"/>
              <w:rPr>
                <w:rFonts w:ascii="Arial" w:cs="Arial" w:eastAsia="Arial" w:hAnsi="Arial"/>
                <w:sz w:val="18"/>
                <w:szCs w:val="18"/>
                <w:b w:val="1"/>
                <w:bCs w:val="1"/>
                <w:color w:val="0000EE"/>
              </w:rPr>
            </w:pPr>
            <w:hyperlink w:anchor="page43">
              <w:r>
                <w:rPr>
                  <w:rFonts w:ascii="Arial" w:cs="Arial" w:eastAsia="Arial" w:hAnsi="Arial"/>
                  <w:sz w:val="18"/>
                  <w:szCs w:val="18"/>
                  <w:b w:val="1"/>
                  <w:bCs w:val="1"/>
                  <w:color w:val="0000EE"/>
                </w:rPr>
                <w:t>Operating and Financial Review and Prospects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43">
              <w:r>
                <w:rPr>
                  <w:rFonts w:ascii="Arial" w:cs="Arial" w:eastAsia="Arial" w:hAnsi="Arial"/>
                  <w:sz w:val="18"/>
                  <w:szCs w:val="18"/>
                  <w:b w:val="1"/>
                  <w:bCs w:val="1"/>
                  <w:color w:val="0000EE"/>
                </w:rPr>
                <w:t>40</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20" w:type="dxa"/>
            <w:vAlign w:val="bottom"/>
            <w:gridSpan w:val="4"/>
          </w:tcPr>
          <w:p>
            <w:pPr>
              <w:spacing w:after="0" w:line="176" w:lineRule="exact"/>
              <w:rPr>
                <w:rFonts w:ascii="Arial" w:cs="Arial" w:eastAsia="Arial" w:hAnsi="Arial"/>
                <w:sz w:val="18"/>
                <w:szCs w:val="18"/>
                <w:color w:val="0000EE"/>
              </w:rPr>
            </w:pPr>
            <w:hyperlink w:anchor="page44">
              <w:r>
                <w:rPr>
                  <w:rFonts w:ascii="Arial" w:cs="Arial" w:eastAsia="Arial" w:hAnsi="Arial"/>
                  <w:sz w:val="18"/>
                  <w:szCs w:val="18"/>
                  <w:color w:val="0000EE"/>
                </w:rPr>
                <w:t>A.</w:t>
              </w:r>
            </w:hyperlink>
          </w:p>
        </w:tc>
        <w:tc>
          <w:tcPr>
            <w:tcW w:w="40" w:type="dxa"/>
            <w:vAlign w:val="bottom"/>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44">
              <w:r>
                <w:rPr>
                  <w:rFonts w:ascii="Arial" w:cs="Arial" w:eastAsia="Arial" w:hAnsi="Arial"/>
                  <w:sz w:val="18"/>
                  <w:szCs w:val="18"/>
                  <w:color w:val="0000EE"/>
                </w:rPr>
                <w:t>Operating Results</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44">
              <w:r>
                <w:rPr>
                  <w:rFonts w:ascii="Arial" w:cs="Arial" w:eastAsia="Arial" w:hAnsi="Arial"/>
                  <w:sz w:val="18"/>
                  <w:szCs w:val="18"/>
                  <w:color w:val="0000EE"/>
                </w:rPr>
                <w:t>41</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60" w:type="dxa"/>
            <w:vAlign w:val="bottom"/>
            <w:tcBorders>
              <w:bottom w:val="single" w:sz="8" w:color="0000EE"/>
            </w:tcBorders>
            <w:gridSpan w:val="3"/>
            <w:shd w:val="clear" w:color="auto" w:fill="CCEEFF"/>
          </w:tcPr>
          <w:p>
            <w:pPr>
              <w:spacing w:after="0" w:line="176" w:lineRule="exact"/>
              <w:rPr>
                <w:rFonts w:ascii="Arial" w:cs="Arial" w:eastAsia="Arial" w:hAnsi="Arial"/>
                <w:sz w:val="18"/>
                <w:szCs w:val="18"/>
                <w:color w:val="0000EE"/>
                <w:w w:val="81"/>
              </w:rPr>
            </w:pPr>
            <w:hyperlink w:anchor="page66">
              <w:r>
                <w:rPr>
                  <w:rFonts w:ascii="Arial" w:cs="Arial" w:eastAsia="Arial" w:hAnsi="Arial"/>
                  <w:sz w:val="18"/>
                  <w:szCs w:val="18"/>
                  <w:color w:val="0000EE"/>
                  <w:w w:val="81"/>
                </w:rPr>
                <w:t>B.</w:t>
              </w:r>
            </w:hyperlink>
          </w:p>
        </w:tc>
        <w:tc>
          <w:tcPr>
            <w:tcW w:w="400" w:type="dxa"/>
            <w:vAlign w:val="bottom"/>
            <w:tcBorders>
              <w:bottom w:val="single" w:sz="8" w:color="CCEEFF"/>
            </w:tcBorders>
            <w:gridSpan w:val="2"/>
            <w:shd w:val="clear" w:color="auto" w:fill="CCEEFF"/>
          </w:tcPr>
          <w:p>
            <w:pPr>
              <w:spacing w:after="0"/>
              <w:rPr>
                <w:sz w:val="17"/>
                <w:szCs w:val="17"/>
                <w:color w:val="auto"/>
              </w:rPr>
            </w:pPr>
          </w:p>
        </w:tc>
        <w:tc>
          <w:tcPr>
            <w:tcW w:w="2340" w:type="dxa"/>
            <w:vAlign w:val="bottom"/>
            <w:tcBorders>
              <w:bottom w:val="single" w:sz="8" w:color="0000EE"/>
            </w:tcBorders>
            <w:gridSpan w:val="25"/>
            <w:shd w:val="clear" w:color="auto" w:fill="CCEEFF"/>
          </w:tcPr>
          <w:p>
            <w:pPr>
              <w:spacing w:after="0" w:line="176" w:lineRule="exact"/>
              <w:rPr>
                <w:rFonts w:ascii="Arial" w:cs="Arial" w:eastAsia="Arial" w:hAnsi="Arial"/>
                <w:sz w:val="18"/>
                <w:szCs w:val="18"/>
                <w:color w:val="0000EE"/>
                <w:w w:val="91"/>
              </w:rPr>
            </w:pPr>
            <w:hyperlink w:anchor="page66">
              <w:r>
                <w:rPr>
                  <w:rFonts w:ascii="Arial" w:cs="Arial" w:eastAsia="Arial" w:hAnsi="Arial"/>
                  <w:sz w:val="18"/>
                  <w:szCs w:val="18"/>
                  <w:color w:val="0000EE"/>
                  <w:w w:val="91"/>
                </w:rPr>
                <w:t>Liquidity and Capital Resources</w:t>
              </w:r>
            </w:hyperlink>
          </w:p>
        </w:tc>
        <w:tc>
          <w:tcPr>
            <w:tcW w:w="7940" w:type="dxa"/>
            <w:vAlign w:val="bottom"/>
            <w:tcBorders>
              <w:bottom w:val="single" w:sz="8" w:color="CCEEFF"/>
            </w:tcBorders>
            <w:gridSpan w:val="13"/>
            <w:shd w:val="clear" w:color="auto" w:fill="CCEEFF"/>
          </w:tcPr>
          <w:p>
            <w:pPr>
              <w:spacing w:after="0"/>
              <w:rPr>
                <w:sz w:val="17"/>
                <w:szCs w:val="17"/>
                <w:color w:val="auto"/>
              </w:rPr>
            </w:pPr>
          </w:p>
        </w:tc>
        <w:tc>
          <w:tcPr>
            <w:tcW w:w="3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0000EE"/>
            </w:tcBorders>
            <w:gridSpan w:val="2"/>
            <w:shd w:val="clear" w:color="auto" w:fill="CCEEFF"/>
          </w:tcPr>
          <w:p>
            <w:pPr>
              <w:jc w:val="right"/>
              <w:spacing w:after="0" w:line="176" w:lineRule="exact"/>
              <w:rPr>
                <w:rFonts w:ascii="Arial" w:cs="Arial" w:eastAsia="Arial" w:hAnsi="Arial"/>
                <w:sz w:val="18"/>
                <w:szCs w:val="18"/>
                <w:color w:val="0000EE"/>
                <w:w w:val="79"/>
              </w:rPr>
            </w:pPr>
            <w:hyperlink w:anchor="page66">
              <w:r>
                <w:rPr>
                  <w:rFonts w:ascii="Arial" w:cs="Arial" w:eastAsia="Arial" w:hAnsi="Arial"/>
                  <w:sz w:val="18"/>
                  <w:szCs w:val="18"/>
                  <w:color w:val="0000EE"/>
                  <w:w w:val="79"/>
                </w:rPr>
                <w:t>63</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560" w:type="dxa"/>
            <w:vAlign w:val="bottom"/>
            <w:gridSpan w:val="5"/>
          </w:tcPr>
          <w:p>
            <w:pPr>
              <w:spacing w:after="0" w:line="176" w:lineRule="exact"/>
              <w:rPr>
                <w:rFonts w:ascii="Arial" w:cs="Arial" w:eastAsia="Arial" w:hAnsi="Arial"/>
                <w:sz w:val="18"/>
                <w:szCs w:val="18"/>
                <w:color w:val="0000EE"/>
              </w:rPr>
            </w:pPr>
            <w:hyperlink w:anchor="page76">
              <w:r>
                <w:rPr>
                  <w:rFonts w:ascii="Arial" w:cs="Arial" w:eastAsia="Arial" w:hAnsi="Arial"/>
                  <w:sz w:val="18"/>
                  <w:szCs w:val="18"/>
                  <w:color w:val="0000EE"/>
                </w:rPr>
                <w:t>C.</w:t>
              </w:r>
            </w:hyperlink>
          </w:p>
        </w:tc>
        <w:tc>
          <w:tcPr>
            <w:tcW w:w="10280" w:type="dxa"/>
            <w:vAlign w:val="bottom"/>
            <w:gridSpan w:val="38"/>
          </w:tcPr>
          <w:p>
            <w:pPr>
              <w:spacing w:after="0" w:line="176" w:lineRule="exact"/>
              <w:rPr>
                <w:rFonts w:ascii="Arial" w:cs="Arial" w:eastAsia="Arial" w:hAnsi="Arial"/>
                <w:sz w:val="18"/>
                <w:szCs w:val="18"/>
                <w:color w:val="0000EE"/>
              </w:rPr>
            </w:pPr>
            <w:hyperlink w:anchor="page76">
              <w:r>
                <w:rPr>
                  <w:rFonts w:ascii="Arial" w:cs="Arial" w:eastAsia="Arial" w:hAnsi="Arial"/>
                  <w:sz w:val="18"/>
                  <w:szCs w:val="18"/>
                  <w:color w:val="0000EE"/>
                </w:rPr>
                <w:t>Research and Development, Patents and Licenses, etc.</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76">
              <w:r>
                <w:rPr>
                  <w:rFonts w:ascii="Arial" w:cs="Arial" w:eastAsia="Arial" w:hAnsi="Arial"/>
                  <w:sz w:val="18"/>
                  <w:szCs w:val="18"/>
                  <w:color w:val="0000EE"/>
                </w:rPr>
                <w:t>73</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76">
              <w:r>
                <w:rPr>
                  <w:rFonts w:ascii="Arial" w:cs="Arial" w:eastAsia="Arial" w:hAnsi="Arial"/>
                  <w:sz w:val="18"/>
                  <w:szCs w:val="18"/>
                  <w:color w:val="0000EE"/>
                </w:rPr>
                <w:t>D.</w:t>
              </w:r>
            </w:hyperlink>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76">
              <w:r>
                <w:rPr>
                  <w:rFonts w:ascii="Arial" w:cs="Arial" w:eastAsia="Arial" w:hAnsi="Arial"/>
                  <w:sz w:val="18"/>
                  <w:szCs w:val="18"/>
                  <w:color w:val="0000EE"/>
                </w:rPr>
                <w:t>Trend Information</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76">
              <w:r>
                <w:rPr>
                  <w:rFonts w:ascii="Arial" w:cs="Arial" w:eastAsia="Arial" w:hAnsi="Arial"/>
                  <w:sz w:val="18"/>
                  <w:szCs w:val="18"/>
                  <w:color w:val="0000EE"/>
                </w:rPr>
                <w:t>73</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3"/>
          </w:tcPr>
          <w:p>
            <w:pPr>
              <w:spacing w:after="0" w:line="176" w:lineRule="exact"/>
              <w:rPr>
                <w:rFonts w:ascii="Arial" w:cs="Arial" w:eastAsia="Arial" w:hAnsi="Arial"/>
                <w:sz w:val="18"/>
                <w:szCs w:val="18"/>
                <w:color w:val="0000EE"/>
                <w:w w:val="81"/>
              </w:rPr>
            </w:pPr>
            <w:hyperlink w:anchor="page78">
              <w:r>
                <w:rPr>
                  <w:rFonts w:ascii="Arial" w:cs="Arial" w:eastAsia="Arial" w:hAnsi="Arial"/>
                  <w:sz w:val="18"/>
                  <w:szCs w:val="18"/>
                  <w:color w:val="0000EE"/>
                  <w:w w:val="81"/>
                </w:rPr>
                <w:t>E.</w:t>
              </w:r>
            </w:hyperlink>
          </w:p>
        </w:tc>
        <w:tc>
          <w:tcPr>
            <w:tcW w:w="400" w:type="dxa"/>
            <w:vAlign w:val="bottom"/>
            <w:gridSpan w:val="2"/>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78">
              <w:r>
                <w:rPr>
                  <w:rFonts w:ascii="Arial" w:cs="Arial" w:eastAsia="Arial" w:hAnsi="Arial"/>
                  <w:sz w:val="18"/>
                  <w:szCs w:val="18"/>
                  <w:color w:val="0000EE"/>
                </w:rPr>
                <w:t>Off-Balance Sheet Arrangements</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78">
              <w:r>
                <w:rPr>
                  <w:rFonts w:ascii="Arial" w:cs="Arial" w:eastAsia="Arial" w:hAnsi="Arial"/>
                  <w:sz w:val="18"/>
                  <w:szCs w:val="18"/>
                  <w:color w:val="0000EE"/>
                </w:rPr>
                <w:t>75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79">
              <w:r>
                <w:rPr>
                  <w:rFonts w:ascii="Arial" w:cs="Arial" w:eastAsia="Arial" w:hAnsi="Arial"/>
                  <w:sz w:val="18"/>
                  <w:szCs w:val="18"/>
                  <w:color w:val="0000EE"/>
                </w:rPr>
                <w:t>F.</w:t>
              </w:r>
            </w:hyperlink>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79">
              <w:r>
                <w:rPr>
                  <w:rFonts w:ascii="Arial" w:cs="Arial" w:eastAsia="Arial" w:hAnsi="Arial"/>
                  <w:sz w:val="18"/>
                  <w:szCs w:val="18"/>
                  <w:color w:val="0000EE"/>
                </w:rPr>
                <w:t>Tabular Disclosure of Contractual Obligations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79">
              <w:r>
                <w:rPr>
                  <w:rFonts w:ascii="Arial" w:cs="Arial" w:eastAsia="Arial" w:hAnsi="Arial"/>
                  <w:sz w:val="18"/>
                  <w:szCs w:val="18"/>
                  <w:color w:val="0000EE"/>
                </w:rPr>
                <w:t>76</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36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4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2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24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544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b w:val="1"/>
                <w:bCs w:val="1"/>
                <w:color w:val="0000EE"/>
                <w:w w:val="94"/>
              </w:rPr>
            </w:pPr>
            <w:hyperlink w:anchor="page80">
              <w:r>
                <w:rPr>
                  <w:rFonts w:ascii="Arial" w:cs="Arial" w:eastAsia="Arial" w:hAnsi="Arial"/>
                  <w:sz w:val="18"/>
                  <w:szCs w:val="18"/>
                  <w:b w:val="1"/>
                  <w:bCs w:val="1"/>
                  <w:color w:val="0000EE"/>
                  <w:w w:val="94"/>
                </w:rPr>
                <w:t>Item 6.</w:t>
              </w:r>
            </w:hyperlink>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80" w:type="dxa"/>
            <w:vAlign w:val="bottom"/>
            <w:shd w:val="clear" w:color="auto" w:fill="CCEEFF"/>
          </w:tcPr>
          <w:p>
            <w:pPr>
              <w:spacing w:after="0"/>
              <w:rPr>
                <w:sz w:val="15"/>
                <w:szCs w:val="15"/>
                <w:color w:val="auto"/>
              </w:rPr>
            </w:pPr>
          </w:p>
        </w:tc>
        <w:tc>
          <w:tcPr>
            <w:tcW w:w="9700" w:type="dxa"/>
            <w:vAlign w:val="bottom"/>
            <w:gridSpan w:val="35"/>
            <w:shd w:val="clear" w:color="auto" w:fill="CCEEFF"/>
          </w:tcPr>
          <w:p>
            <w:pPr>
              <w:spacing w:after="0" w:line="176" w:lineRule="exact"/>
              <w:rPr>
                <w:rFonts w:ascii="Arial" w:cs="Arial" w:eastAsia="Arial" w:hAnsi="Arial"/>
                <w:sz w:val="18"/>
                <w:szCs w:val="18"/>
                <w:b w:val="1"/>
                <w:bCs w:val="1"/>
                <w:color w:val="0000EE"/>
              </w:rPr>
            </w:pPr>
            <w:hyperlink w:anchor="page80">
              <w:r>
                <w:rPr>
                  <w:rFonts w:ascii="Arial" w:cs="Arial" w:eastAsia="Arial" w:hAnsi="Arial"/>
                  <w:sz w:val="18"/>
                  <w:szCs w:val="18"/>
                  <w:b w:val="1"/>
                  <w:bCs w:val="1"/>
                  <w:color w:val="0000EE"/>
                </w:rPr>
                <w:t>Directors, Executive Officers and Employees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80">
              <w:r>
                <w:rPr>
                  <w:rFonts w:ascii="Arial" w:cs="Arial" w:eastAsia="Arial" w:hAnsi="Arial"/>
                  <w:sz w:val="18"/>
                  <w:szCs w:val="18"/>
                  <w:b w:val="1"/>
                  <w:bCs w:val="1"/>
                  <w:color w:val="0000EE"/>
                </w:rPr>
                <w:t>77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20" w:type="dxa"/>
            <w:vAlign w:val="bottom"/>
            <w:gridSpan w:val="4"/>
          </w:tcPr>
          <w:p>
            <w:pPr>
              <w:spacing w:after="0" w:line="176" w:lineRule="exact"/>
              <w:rPr>
                <w:rFonts w:ascii="Arial" w:cs="Arial" w:eastAsia="Arial" w:hAnsi="Arial"/>
                <w:sz w:val="18"/>
                <w:szCs w:val="18"/>
                <w:color w:val="0000EE"/>
              </w:rPr>
            </w:pPr>
            <w:hyperlink w:anchor="page80">
              <w:r>
                <w:rPr>
                  <w:rFonts w:ascii="Arial" w:cs="Arial" w:eastAsia="Arial" w:hAnsi="Arial"/>
                  <w:sz w:val="18"/>
                  <w:szCs w:val="18"/>
                  <w:color w:val="0000EE"/>
                </w:rPr>
                <w:t>A.</w:t>
              </w:r>
            </w:hyperlink>
          </w:p>
        </w:tc>
        <w:tc>
          <w:tcPr>
            <w:tcW w:w="40" w:type="dxa"/>
            <w:vAlign w:val="bottom"/>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80">
              <w:r>
                <w:rPr>
                  <w:rFonts w:ascii="Arial" w:cs="Arial" w:eastAsia="Arial" w:hAnsi="Arial"/>
                  <w:sz w:val="18"/>
                  <w:szCs w:val="18"/>
                  <w:color w:val="0000EE"/>
                </w:rPr>
                <w:t>Directors and Executive Officers</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80">
              <w:r>
                <w:rPr>
                  <w:rFonts w:ascii="Arial" w:cs="Arial" w:eastAsia="Arial" w:hAnsi="Arial"/>
                  <w:sz w:val="18"/>
                  <w:szCs w:val="18"/>
                  <w:color w:val="0000EE"/>
                </w:rPr>
                <w:t>77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3"/>
            <w:shd w:val="clear" w:color="auto" w:fill="CCEEFF"/>
          </w:tcPr>
          <w:p>
            <w:pPr>
              <w:spacing w:after="0" w:line="176" w:lineRule="exact"/>
              <w:rPr>
                <w:rFonts w:ascii="Arial" w:cs="Arial" w:eastAsia="Arial" w:hAnsi="Arial"/>
                <w:sz w:val="18"/>
                <w:szCs w:val="18"/>
                <w:color w:val="0000EE"/>
                <w:w w:val="81"/>
              </w:rPr>
            </w:pPr>
            <w:hyperlink w:anchor="page86">
              <w:r>
                <w:rPr>
                  <w:rFonts w:ascii="Arial" w:cs="Arial" w:eastAsia="Arial" w:hAnsi="Arial"/>
                  <w:sz w:val="18"/>
                  <w:szCs w:val="18"/>
                  <w:color w:val="0000EE"/>
                  <w:w w:val="81"/>
                </w:rPr>
                <w:t>B.</w:t>
              </w:r>
            </w:hyperlink>
          </w:p>
        </w:tc>
        <w:tc>
          <w:tcPr>
            <w:tcW w:w="400" w:type="dxa"/>
            <w:vAlign w:val="bottom"/>
            <w:gridSpan w:val="2"/>
            <w:shd w:val="clear" w:color="auto" w:fill="CCEEFF"/>
          </w:tcPr>
          <w:p>
            <w:pPr>
              <w:spacing w:after="0"/>
              <w:rPr>
                <w:sz w:val="15"/>
                <w:szCs w:val="15"/>
                <w:color w:val="auto"/>
              </w:rPr>
            </w:pPr>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86">
              <w:r>
                <w:rPr>
                  <w:rFonts w:ascii="Arial" w:cs="Arial" w:eastAsia="Arial" w:hAnsi="Arial"/>
                  <w:sz w:val="18"/>
                  <w:szCs w:val="18"/>
                  <w:color w:val="0000EE"/>
                </w:rPr>
                <w:t>Compensation</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86">
              <w:r>
                <w:rPr>
                  <w:rFonts w:ascii="Arial" w:cs="Arial" w:eastAsia="Arial" w:hAnsi="Arial"/>
                  <w:sz w:val="18"/>
                  <w:szCs w:val="18"/>
                  <w:color w:val="0000EE"/>
                </w:rPr>
                <w:t>83</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3"/>
          </w:tcPr>
          <w:p>
            <w:pPr>
              <w:spacing w:after="0" w:line="176" w:lineRule="exact"/>
              <w:rPr>
                <w:rFonts w:ascii="Arial" w:cs="Arial" w:eastAsia="Arial" w:hAnsi="Arial"/>
                <w:sz w:val="18"/>
                <w:szCs w:val="18"/>
                <w:color w:val="0000EE"/>
                <w:w w:val="77"/>
              </w:rPr>
            </w:pPr>
            <w:hyperlink w:anchor="page90">
              <w:r>
                <w:rPr>
                  <w:rFonts w:ascii="Arial" w:cs="Arial" w:eastAsia="Arial" w:hAnsi="Arial"/>
                  <w:sz w:val="18"/>
                  <w:szCs w:val="18"/>
                  <w:color w:val="0000EE"/>
                  <w:w w:val="77"/>
                </w:rPr>
                <w:t>C.</w:t>
              </w:r>
            </w:hyperlink>
          </w:p>
        </w:tc>
        <w:tc>
          <w:tcPr>
            <w:tcW w:w="400" w:type="dxa"/>
            <w:vAlign w:val="bottom"/>
            <w:gridSpan w:val="2"/>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90">
              <w:r>
                <w:rPr>
                  <w:rFonts w:ascii="Arial" w:cs="Arial" w:eastAsia="Arial" w:hAnsi="Arial"/>
                  <w:sz w:val="18"/>
                  <w:szCs w:val="18"/>
                  <w:color w:val="0000EE"/>
                </w:rPr>
                <w:t>Board Practices</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90">
              <w:r>
                <w:rPr>
                  <w:rFonts w:ascii="Arial" w:cs="Arial" w:eastAsia="Arial" w:hAnsi="Arial"/>
                  <w:sz w:val="18"/>
                  <w:szCs w:val="18"/>
                  <w:color w:val="0000EE"/>
                </w:rPr>
                <w:t>87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D.</w:t>
              </w:r>
            </w:hyperlink>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Employees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92</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3"/>
          </w:tcPr>
          <w:p>
            <w:pPr>
              <w:spacing w:after="0" w:line="176" w:lineRule="exact"/>
              <w:rPr>
                <w:rFonts w:ascii="Arial" w:cs="Arial" w:eastAsia="Arial" w:hAnsi="Arial"/>
                <w:sz w:val="18"/>
                <w:szCs w:val="18"/>
                <w:color w:val="0000EE"/>
                <w:w w:val="81"/>
              </w:rPr>
            </w:pPr>
            <w:hyperlink w:anchor="page95">
              <w:r>
                <w:rPr>
                  <w:rFonts w:ascii="Arial" w:cs="Arial" w:eastAsia="Arial" w:hAnsi="Arial"/>
                  <w:sz w:val="18"/>
                  <w:szCs w:val="18"/>
                  <w:color w:val="0000EE"/>
                  <w:w w:val="81"/>
                </w:rPr>
                <w:t>E.</w:t>
              </w:r>
            </w:hyperlink>
          </w:p>
        </w:tc>
        <w:tc>
          <w:tcPr>
            <w:tcW w:w="400" w:type="dxa"/>
            <w:vAlign w:val="bottom"/>
            <w:gridSpan w:val="2"/>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Share Ownership</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92</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544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tcPr>
          <w:p>
            <w:pPr>
              <w:spacing w:after="0" w:line="176" w:lineRule="exact"/>
              <w:rPr>
                <w:rFonts w:ascii="Arial" w:cs="Arial" w:eastAsia="Arial" w:hAnsi="Arial"/>
                <w:sz w:val="18"/>
                <w:szCs w:val="18"/>
                <w:b w:val="1"/>
                <w:bCs w:val="1"/>
                <w:color w:val="0000EE"/>
                <w:w w:val="94"/>
              </w:rPr>
            </w:pPr>
            <w:hyperlink w:anchor="page95">
              <w:r>
                <w:rPr>
                  <w:rFonts w:ascii="Arial" w:cs="Arial" w:eastAsia="Arial" w:hAnsi="Arial"/>
                  <w:sz w:val="18"/>
                  <w:szCs w:val="18"/>
                  <w:b w:val="1"/>
                  <w:bCs w:val="1"/>
                  <w:color w:val="0000EE"/>
                  <w:w w:val="94"/>
                </w:rPr>
                <w:t>Item 7.</w:t>
              </w:r>
            </w:hyperlink>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9700" w:type="dxa"/>
            <w:vAlign w:val="bottom"/>
            <w:gridSpan w:val="35"/>
          </w:tcPr>
          <w:p>
            <w:pPr>
              <w:spacing w:after="0" w:line="176" w:lineRule="exact"/>
              <w:rPr>
                <w:rFonts w:ascii="Arial" w:cs="Arial" w:eastAsia="Arial" w:hAnsi="Arial"/>
                <w:sz w:val="18"/>
                <w:szCs w:val="18"/>
                <w:b w:val="1"/>
                <w:bCs w:val="1"/>
                <w:color w:val="0000EE"/>
              </w:rPr>
            </w:pPr>
            <w:hyperlink w:anchor="page95">
              <w:r>
                <w:rPr>
                  <w:rFonts w:ascii="Arial" w:cs="Arial" w:eastAsia="Arial" w:hAnsi="Arial"/>
                  <w:sz w:val="18"/>
                  <w:szCs w:val="18"/>
                  <w:b w:val="1"/>
                  <w:bCs w:val="1"/>
                  <w:color w:val="0000EE"/>
                </w:rPr>
                <w:t>Major Stockholders and Related Party Transactions</w:t>
              </w:r>
            </w:hyperlink>
          </w:p>
        </w:tc>
        <w:tc>
          <w:tcPr>
            <w:tcW w:w="560" w:type="dxa"/>
            <w:vAlign w:val="bottom"/>
            <w:gridSpan w:val="3"/>
          </w:tcPr>
          <w:p>
            <w:pPr>
              <w:jc w:val="right"/>
              <w:spacing w:after="0" w:line="176" w:lineRule="exact"/>
              <w:rPr>
                <w:rFonts w:ascii="Arial" w:cs="Arial" w:eastAsia="Arial" w:hAnsi="Arial"/>
                <w:sz w:val="18"/>
                <w:szCs w:val="18"/>
                <w:b w:val="1"/>
                <w:bCs w:val="1"/>
                <w:color w:val="0000EE"/>
              </w:rPr>
            </w:pPr>
            <w:hyperlink w:anchor="page95">
              <w:r>
                <w:rPr>
                  <w:rFonts w:ascii="Arial" w:cs="Arial" w:eastAsia="Arial" w:hAnsi="Arial"/>
                  <w:sz w:val="18"/>
                  <w:szCs w:val="18"/>
                  <w:b w:val="1"/>
                  <w:bCs w:val="1"/>
                  <w:color w:val="0000EE"/>
                </w:rPr>
                <w:t>92</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A.</w:t>
              </w:r>
            </w:hyperlink>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Major Stockholders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92</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3"/>
          </w:tcPr>
          <w:p>
            <w:pPr>
              <w:spacing w:after="0" w:line="176" w:lineRule="exact"/>
              <w:rPr>
                <w:rFonts w:ascii="Arial" w:cs="Arial" w:eastAsia="Arial" w:hAnsi="Arial"/>
                <w:sz w:val="18"/>
                <w:szCs w:val="18"/>
                <w:color w:val="0000EE"/>
                <w:w w:val="81"/>
              </w:rPr>
            </w:pPr>
            <w:hyperlink w:anchor="page97">
              <w:r>
                <w:rPr>
                  <w:rFonts w:ascii="Arial" w:cs="Arial" w:eastAsia="Arial" w:hAnsi="Arial"/>
                  <w:sz w:val="18"/>
                  <w:szCs w:val="18"/>
                  <w:color w:val="0000EE"/>
                  <w:w w:val="81"/>
                </w:rPr>
                <w:t>B.</w:t>
              </w:r>
            </w:hyperlink>
          </w:p>
        </w:tc>
        <w:tc>
          <w:tcPr>
            <w:tcW w:w="400" w:type="dxa"/>
            <w:vAlign w:val="bottom"/>
            <w:gridSpan w:val="2"/>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97">
              <w:r>
                <w:rPr>
                  <w:rFonts w:ascii="Arial" w:cs="Arial" w:eastAsia="Arial" w:hAnsi="Arial"/>
                  <w:sz w:val="18"/>
                  <w:szCs w:val="18"/>
                  <w:color w:val="0000EE"/>
                </w:rPr>
                <w:t>Related Party Transactions</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97">
              <w:r>
                <w:rPr>
                  <w:rFonts w:ascii="Arial" w:cs="Arial" w:eastAsia="Arial" w:hAnsi="Arial"/>
                  <w:sz w:val="18"/>
                  <w:szCs w:val="18"/>
                  <w:color w:val="0000EE"/>
                </w:rPr>
                <w:t>94</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98">
              <w:r>
                <w:rPr>
                  <w:rFonts w:ascii="Arial" w:cs="Arial" w:eastAsia="Arial" w:hAnsi="Arial"/>
                  <w:sz w:val="18"/>
                  <w:szCs w:val="18"/>
                  <w:color w:val="0000EE"/>
                </w:rPr>
                <w:t>C.</w:t>
              </w:r>
            </w:hyperlink>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98">
              <w:r>
                <w:rPr>
                  <w:rFonts w:ascii="Arial" w:cs="Arial" w:eastAsia="Arial" w:hAnsi="Arial"/>
                  <w:sz w:val="18"/>
                  <w:szCs w:val="18"/>
                  <w:color w:val="0000EE"/>
                </w:rPr>
                <w:t>Interests of Experts and Counsel</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98">
              <w:r>
                <w:rPr>
                  <w:rFonts w:ascii="Arial" w:cs="Arial" w:eastAsia="Arial" w:hAnsi="Arial"/>
                  <w:sz w:val="18"/>
                  <w:szCs w:val="18"/>
                  <w:color w:val="0000EE"/>
                </w:rPr>
                <w:t>95</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6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4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2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544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b w:val="1"/>
                <w:bCs w:val="1"/>
                <w:color w:val="0000EE"/>
                <w:w w:val="94"/>
              </w:rPr>
            </w:pPr>
            <w:hyperlink w:anchor="page98">
              <w:r>
                <w:rPr>
                  <w:rFonts w:ascii="Arial" w:cs="Arial" w:eastAsia="Arial" w:hAnsi="Arial"/>
                  <w:sz w:val="18"/>
                  <w:szCs w:val="18"/>
                  <w:b w:val="1"/>
                  <w:bCs w:val="1"/>
                  <w:color w:val="0000EE"/>
                  <w:w w:val="94"/>
                </w:rPr>
                <w:t>Item 8.</w:t>
              </w:r>
            </w:hyperlink>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80" w:type="dxa"/>
            <w:vAlign w:val="bottom"/>
            <w:shd w:val="clear" w:color="auto" w:fill="CCEEFF"/>
          </w:tcPr>
          <w:p>
            <w:pPr>
              <w:spacing w:after="0"/>
              <w:rPr>
                <w:sz w:val="15"/>
                <w:szCs w:val="15"/>
                <w:color w:val="auto"/>
              </w:rPr>
            </w:pPr>
          </w:p>
        </w:tc>
        <w:tc>
          <w:tcPr>
            <w:tcW w:w="9700" w:type="dxa"/>
            <w:vAlign w:val="bottom"/>
            <w:gridSpan w:val="35"/>
            <w:shd w:val="clear" w:color="auto" w:fill="CCEEFF"/>
          </w:tcPr>
          <w:p>
            <w:pPr>
              <w:spacing w:after="0" w:line="176" w:lineRule="exact"/>
              <w:rPr>
                <w:rFonts w:ascii="Arial" w:cs="Arial" w:eastAsia="Arial" w:hAnsi="Arial"/>
                <w:sz w:val="18"/>
                <w:szCs w:val="18"/>
                <w:b w:val="1"/>
                <w:bCs w:val="1"/>
                <w:color w:val="0000EE"/>
              </w:rPr>
            </w:pPr>
            <w:hyperlink w:anchor="page98">
              <w:r>
                <w:rPr>
                  <w:rFonts w:ascii="Arial" w:cs="Arial" w:eastAsia="Arial" w:hAnsi="Arial"/>
                  <w:sz w:val="18"/>
                  <w:szCs w:val="18"/>
                  <w:b w:val="1"/>
                  <w:bCs w:val="1"/>
                  <w:color w:val="0000EE"/>
                </w:rPr>
                <w:t>Financial Information</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98">
              <w:r>
                <w:rPr>
                  <w:rFonts w:ascii="Arial" w:cs="Arial" w:eastAsia="Arial" w:hAnsi="Arial"/>
                  <w:sz w:val="18"/>
                  <w:szCs w:val="18"/>
                  <w:b w:val="1"/>
                  <w:bCs w:val="1"/>
                  <w:color w:val="0000EE"/>
                </w:rPr>
                <w:t>95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20" w:type="dxa"/>
            <w:vAlign w:val="bottom"/>
            <w:gridSpan w:val="4"/>
          </w:tcPr>
          <w:p>
            <w:pPr>
              <w:spacing w:after="0" w:line="176" w:lineRule="exact"/>
              <w:rPr>
                <w:rFonts w:ascii="Arial" w:cs="Arial" w:eastAsia="Arial" w:hAnsi="Arial"/>
                <w:sz w:val="18"/>
                <w:szCs w:val="18"/>
                <w:color w:val="0000EE"/>
              </w:rPr>
            </w:pPr>
            <w:hyperlink w:anchor="page98">
              <w:r>
                <w:rPr>
                  <w:rFonts w:ascii="Arial" w:cs="Arial" w:eastAsia="Arial" w:hAnsi="Arial"/>
                  <w:sz w:val="18"/>
                  <w:szCs w:val="18"/>
                  <w:color w:val="0000EE"/>
                </w:rPr>
                <w:t>A.</w:t>
              </w:r>
            </w:hyperlink>
          </w:p>
        </w:tc>
        <w:tc>
          <w:tcPr>
            <w:tcW w:w="40" w:type="dxa"/>
            <w:vAlign w:val="bottom"/>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98">
              <w:r>
                <w:rPr>
                  <w:rFonts w:ascii="Arial" w:cs="Arial" w:eastAsia="Arial" w:hAnsi="Arial"/>
                  <w:sz w:val="18"/>
                  <w:szCs w:val="18"/>
                  <w:color w:val="0000EE"/>
                </w:rPr>
                <w:t>Consolidated Statements and Other Financial Information</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98">
              <w:r>
                <w:rPr>
                  <w:rFonts w:ascii="Arial" w:cs="Arial" w:eastAsia="Arial" w:hAnsi="Arial"/>
                  <w:sz w:val="18"/>
                  <w:szCs w:val="18"/>
                  <w:color w:val="0000EE"/>
                </w:rPr>
                <w:t>95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99">
              <w:r>
                <w:rPr>
                  <w:rFonts w:ascii="Arial" w:cs="Arial" w:eastAsia="Arial" w:hAnsi="Arial"/>
                  <w:sz w:val="18"/>
                  <w:szCs w:val="18"/>
                  <w:color w:val="0000EE"/>
                </w:rPr>
                <w:t>B.</w:t>
              </w:r>
            </w:hyperlink>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99">
              <w:r>
                <w:rPr>
                  <w:rFonts w:ascii="Arial" w:cs="Arial" w:eastAsia="Arial" w:hAnsi="Arial"/>
                  <w:sz w:val="18"/>
                  <w:szCs w:val="18"/>
                  <w:color w:val="0000EE"/>
                </w:rPr>
                <w:t>Significant Changes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99">
              <w:r>
                <w:rPr>
                  <w:rFonts w:ascii="Arial" w:cs="Arial" w:eastAsia="Arial" w:hAnsi="Arial"/>
                  <w:sz w:val="18"/>
                  <w:szCs w:val="18"/>
                  <w:color w:val="0000EE"/>
                </w:rPr>
                <w:t>96</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36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4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30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544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b w:val="1"/>
                <w:bCs w:val="1"/>
                <w:color w:val="0000EE"/>
                <w:w w:val="94"/>
              </w:rPr>
            </w:pPr>
            <w:hyperlink w:anchor="page99">
              <w:r>
                <w:rPr>
                  <w:rFonts w:ascii="Arial" w:cs="Arial" w:eastAsia="Arial" w:hAnsi="Arial"/>
                  <w:sz w:val="18"/>
                  <w:szCs w:val="18"/>
                  <w:b w:val="1"/>
                  <w:bCs w:val="1"/>
                  <w:color w:val="0000EE"/>
                  <w:w w:val="94"/>
                </w:rPr>
                <w:t>Item 9.</w:t>
              </w:r>
            </w:hyperlink>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80" w:type="dxa"/>
            <w:vAlign w:val="bottom"/>
            <w:shd w:val="clear" w:color="auto" w:fill="CCEEFF"/>
          </w:tcPr>
          <w:p>
            <w:pPr>
              <w:spacing w:after="0"/>
              <w:rPr>
                <w:sz w:val="15"/>
                <w:szCs w:val="15"/>
                <w:color w:val="auto"/>
              </w:rPr>
            </w:pPr>
          </w:p>
        </w:tc>
        <w:tc>
          <w:tcPr>
            <w:tcW w:w="9700" w:type="dxa"/>
            <w:vAlign w:val="bottom"/>
            <w:gridSpan w:val="35"/>
            <w:shd w:val="clear" w:color="auto" w:fill="CCEEFF"/>
          </w:tcPr>
          <w:p>
            <w:pPr>
              <w:spacing w:after="0" w:line="176" w:lineRule="exact"/>
              <w:rPr>
                <w:rFonts w:ascii="Arial" w:cs="Arial" w:eastAsia="Arial" w:hAnsi="Arial"/>
                <w:sz w:val="18"/>
                <w:szCs w:val="18"/>
                <w:b w:val="1"/>
                <w:bCs w:val="1"/>
                <w:color w:val="0000EE"/>
              </w:rPr>
            </w:pPr>
            <w:hyperlink w:anchor="page99">
              <w:r>
                <w:rPr>
                  <w:rFonts w:ascii="Arial" w:cs="Arial" w:eastAsia="Arial" w:hAnsi="Arial"/>
                  <w:sz w:val="18"/>
                  <w:szCs w:val="18"/>
                  <w:b w:val="1"/>
                  <w:bCs w:val="1"/>
                  <w:color w:val="0000EE"/>
                </w:rPr>
                <w:t>The Offer and Listing</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99">
              <w:r>
                <w:rPr>
                  <w:rFonts w:ascii="Arial" w:cs="Arial" w:eastAsia="Arial" w:hAnsi="Arial"/>
                  <w:sz w:val="18"/>
                  <w:szCs w:val="18"/>
                  <w:b w:val="1"/>
                  <w:bCs w:val="1"/>
                  <w:color w:val="0000EE"/>
                </w:rPr>
                <w:t>96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544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20" w:type="dxa"/>
            <w:vAlign w:val="bottom"/>
            <w:gridSpan w:val="4"/>
          </w:tcPr>
          <w:p>
            <w:pPr>
              <w:spacing w:after="0" w:line="176" w:lineRule="exact"/>
              <w:rPr>
                <w:rFonts w:ascii="Arial" w:cs="Arial" w:eastAsia="Arial" w:hAnsi="Arial"/>
                <w:sz w:val="18"/>
                <w:szCs w:val="18"/>
                <w:color w:val="0000EE"/>
              </w:rPr>
            </w:pPr>
            <w:hyperlink w:anchor="page99">
              <w:r>
                <w:rPr>
                  <w:rFonts w:ascii="Arial" w:cs="Arial" w:eastAsia="Arial" w:hAnsi="Arial"/>
                  <w:sz w:val="18"/>
                  <w:szCs w:val="18"/>
                  <w:color w:val="0000EE"/>
                </w:rPr>
                <w:t>A.</w:t>
              </w:r>
            </w:hyperlink>
          </w:p>
        </w:tc>
        <w:tc>
          <w:tcPr>
            <w:tcW w:w="40" w:type="dxa"/>
            <w:vAlign w:val="bottom"/>
          </w:tcPr>
          <w:p>
            <w:pPr>
              <w:spacing w:after="0"/>
              <w:rPr>
                <w:sz w:val="15"/>
                <w:szCs w:val="15"/>
                <w:color w:val="auto"/>
              </w:rPr>
            </w:pPr>
          </w:p>
        </w:tc>
        <w:tc>
          <w:tcPr>
            <w:tcW w:w="10280" w:type="dxa"/>
            <w:vAlign w:val="bottom"/>
            <w:gridSpan w:val="38"/>
          </w:tcPr>
          <w:p>
            <w:pPr>
              <w:spacing w:after="0" w:line="176" w:lineRule="exact"/>
              <w:rPr>
                <w:rFonts w:ascii="Arial" w:cs="Arial" w:eastAsia="Arial" w:hAnsi="Arial"/>
                <w:sz w:val="18"/>
                <w:szCs w:val="18"/>
                <w:color w:val="0000EE"/>
              </w:rPr>
            </w:pPr>
            <w:hyperlink w:anchor="page99">
              <w:r>
                <w:rPr>
                  <w:rFonts w:ascii="Arial" w:cs="Arial" w:eastAsia="Arial" w:hAnsi="Arial"/>
                  <w:sz w:val="18"/>
                  <w:szCs w:val="18"/>
                  <w:color w:val="0000EE"/>
                </w:rPr>
                <w:t>Offer and Listing Details</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99">
              <w:r>
                <w:rPr>
                  <w:rFonts w:ascii="Arial" w:cs="Arial" w:eastAsia="Arial" w:hAnsi="Arial"/>
                  <w:sz w:val="18"/>
                  <w:szCs w:val="18"/>
                  <w:color w:val="0000EE"/>
                </w:rPr>
                <w:t>96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60" w:type="dxa"/>
            <w:vAlign w:val="bottom"/>
            <w:tcBorders>
              <w:bottom w:val="single" w:sz="8" w:color="0000EE"/>
            </w:tcBorders>
            <w:gridSpan w:val="3"/>
            <w:shd w:val="clear" w:color="auto" w:fill="CCEEFF"/>
          </w:tcPr>
          <w:p>
            <w:pPr>
              <w:spacing w:after="0" w:line="176" w:lineRule="exact"/>
              <w:rPr>
                <w:rFonts w:ascii="Arial" w:cs="Arial" w:eastAsia="Arial" w:hAnsi="Arial"/>
                <w:sz w:val="18"/>
                <w:szCs w:val="18"/>
                <w:color w:val="0000EE"/>
                <w:w w:val="81"/>
              </w:rPr>
            </w:pPr>
            <w:hyperlink w:anchor="page100">
              <w:r>
                <w:rPr>
                  <w:rFonts w:ascii="Arial" w:cs="Arial" w:eastAsia="Arial" w:hAnsi="Arial"/>
                  <w:sz w:val="18"/>
                  <w:szCs w:val="18"/>
                  <w:color w:val="0000EE"/>
                  <w:w w:val="81"/>
                </w:rPr>
                <w:t>B.</w:t>
              </w:r>
            </w:hyperlink>
          </w:p>
        </w:tc>
        <w:tc>
          <w:tcPr>
            <w:tcW w:w="400" w:type="dxa"/>
            <w:vAlign w:val="bottom"/>
            <w:tcBorders>
              <w:bottom w:val="single" w:sz="8" w:color="CCEEFF"/>
            </w:tcBorders>
            <w:gridSpan w:val="2"/>
            <w:shd w:val="clear" w:color="auto" w:fill="CCEEFF"/>
          </w:tcPr>
          <w:p>
            <w:pPr>
              <w:spacing w:after="0"/>
              <w:rPr>
                <w:sz w:val="17"/>
                <w:szCs w:val="17"/>
                <w:color w:val="auto"/>
              </w:rPr>
            </w:pPr>
          </w:p>
        </w:tc>
        <w:tc>
          <w:tcPr>
            <w:tcW w:w="1440" w:type="dxa"/>
            <w:vAlign w:val="bottom"/>
            <w:tcBorders>
              <w:bottom w:val="single" w:sz="8" w:color="0000EE"/>
            </w:tcBorders>
            <w:gridSpan w:val="13"/>
            <w:shd w:val="clear" w:color="auto" w:fill="CCEEFF"/>
          </w:tcPr>
          <w:p>
            <w:pPr>
              <w:spacing w:after="0" w:line="176" w:lineRule="exact"/>
              <w:rPr>
                <w:rFonts w:ascii="Arial" w:cs="Arial" w:eastAsia="Arial" w:hAnsi="Arial"/>
                <w:sz w:val="18"/>
                <w:szCs w:val="18"/>
                <w:color w:val="0000EE"/>
                <w:w w:val="93"/>
              </w:rPr>
            </w:pPr>
            <w:hyperlink w:anchor="page100">
              <w:r>
                <w:rPr>
                  <w:rFonts w:ascii="Arial" w:cs="Arial" w:eastAsia="Arial" w:hAnsi="Arial"/>
                  <w:sz w:val="18"/>
                  <w:szCs w:val="18"/>
                  <w:color w:val="0000EE"/>
                  <w:w w:val="93"/>
                </w:rPr>
                <w:t>Plan of Distribution</w:t>
              </w:r>
            </w:hyperlink>
          </w:p>
        </w:tc>
        <w:tc>
          <w:tcPr>
            <w:tcW w:w="8840" w:type="dxa"/>
            <w:vAlign w:val="bottom"/>
            <w:tcBorders>
              <w:bottom w:val="single" w:sz="8" w:color="CCEEFF"/>
            </w:tcBorders>
            <w:gridSpan w:val="25"/>
            <w:shd w:val="clear" w:color="auto" w:fill="CCEEFF"/>
          </w:tcPr>
          <w:p>
            <w:pPr>
              <w:spacing w:after="0"/>
              <w:rPr>
                <w:sz w:val="17"/>
                <w:szCs w:val="17"/>
                <w:color w:val="auto"/>
              </w:rPr>
            </w:pPr>
          </w:p>
        </w:tc>
        <w:tc>
          <w:tcPr>
            <w:tcW w:w="3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0000EE"/>
            </w:tcBorders>
            <w:gridSpan w:val="2"/>
            <w:shd w:val="clear" w:color="auto" w:fill="CCEEFF"/>
          </w:tcPr>
          <w:p>
            <w:pPr>
              <w:jc w:val="right"/>
              <w:spacing w:after="0" w:line="176" w:lineRule="exact"/>
              <w:rPr>
                <w:rFonts w:ascii="Arial" w:cs="Arial" w:eastAsia="Arial" w:hAnsi="Arial"/>
                <w:sz w:val="18"/>
                <w:szCs w:val="18"/>
                <w:color w:val="0000EE"/>
                <w:w w:val="79"/>
              </w:rPr>
            </w:pPr>
            <w:hyperlink w:anchor="page100">
              <w:r>
                <w:rPr>
                  <w:rFonts w:ascii="Arial" w:cs="Arial" w:eastAsia="Arial" w:hAnsi="Arial"/>
                  <w:sz w:val="18"/>
                  <w:szCs w:val="18"/>
                  <w:color w:val="0000EE"/>
                  <w:w w:val="79"/>
                </w:rPr>
                <w:t>97</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560" w:type="dxa"/>
            <w:vAlign w:val="bottom"/>
            <w:gridSpan w:val="5"/>
          </w:tcPr>
          <w:p>
            <w:pPr>
              <w:spacing w:after="0" w:line="176" w:lineRule="exact"/>
              <w:rPr>
                <w:rFonts w:ascii="Arial" w:cs="Arial" w:eastAsia="Arial" w:hAnsi="Arial"/>
                <w:sz w:val="18"/>
                <w:szCs w:val="18"/>
                <w:color w:val="0000EE"/>
              </w:rPr>
            </w:pPr>
            <w:hyperlink w:anchor="page100">
              <w:r>
                <w:rPr>
                  <w:rFonts w:ascii="Arial" w:cs="Arial" w:eastAsia="Arial" w:hAnsi="Arial"/>
                  <w:sz w:val="18"/>
                  <w:szCs w:val="18"/>
                  <w:color w:val="0000EE"/>
                </w:rPr>
                <w:t>C.</w:t>
              </w:r>
            </w:hyperlink>
          </w:p>
        </w:tc>
        <w:tc>
          <w:tcPr>
            <w:tcW w:w="10280" w:type="dxa"/>
            <w:vAlign w:val="bottom"/>
            <w:gridSpan w:val="38"/>
          </w:tcPr>
          <w:p>
            <w:pPr>
              <w:spacing w:after="0" w:line="176" w:lineRule="exact"/>
              <w:rPr>
                <w:rFonts w:ascii="Arial" w:cs="Arial" w:eastAsia="Arial" w:hAnsi="Arial"/>
                <w:sz w:val="18"/>
                <w:szCs w:val="18"/>
                <w:color w:val="0000EE"/>
              </w:rPr>
            </w:pPr>
            <w:hyperlink w:anchor="page100">
              <w:r>
                <w:rPr>
                  <w:rFonts w:ascii="Arial" w:cs="Arial" w:eastAsia="Arial" w:hAnsi="Arial"/>
                  <w:sz w:val="18"/>
                  <w:szCs w:val="18"/>
                  <w:color w:val="0000EE"/>
                </w:rPr>
                <w:t>Markets</w:t>
              </w:r>
            </w:hyperlink>
          </w:p>
        </w:tc>
        <w:tc>
          <w:tcPr>
            <w:tcW w:w="560" w:type="dxa"/>
            <w:vAlign w:val="bottom"/>
            <w:gridSpan w:val="3"/>
          </w:tcPr>
          <w:p>
            <w:pPr>
              <w:jc w:val="right"/>
              <w:spacing w:after="0" w:line="176" w:lineRule="exact"/>
              <w:rPr>
                <w:rFonts w:ascii="Arial" w:cs="Arial" w:eastAsia="Arial" w:hAnsi="Arial"/>
                <w:sz w:val="18"/>
                <w:szCs w:val="18"/>
                <w:color w:val="0000EE"/>
              </w:rPr>
            </w:pPr>
            <w:hyperlink w:anchor="page100">
              <w:r>
                <w:rPr>
                  <w:rFonts w:ascii="Arial" w:cs="Arial" w:eastAsia="Arial" w:hAnsi="Arial"/>
                  <w:sz w:val="18"/>
                  <w:szCs w:val="18"/>
                  <w:color w:val="0000EE"/>
                </w:rPr>
                <w:t>97</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100">
              <w:r>
                <w:rPr>
                  <w:rFonts w:ascii="Arial" w:cs="Arial" w:eastAsia="Arial" w:hAnsi="Arial"/>
                  <w:sz w:val="18"/>
                  <w:szCs w:val="18"/>
                  <w:color w:val="0000EE"/>
                </w:rPr>
                <w:t>D.</w:t>
              </w:r>
            </w:hyperlink>
          </w:p>
        </w:tc>
        <w:tc>
          <w:tcPr>
            <w:tcW w:w="10280" w:type="dxa"/>
            <w:vAlign w:val="bottom"/>
            <w:gridSpan w:val="38"/>
            <w:shd w:val="clear" w:color="auto" w:fill="CCEEFF"/>
          </w:tcPr>
          <w:p>
            <w:pPr>
              <w:spacing w:after="0" w:line="176" w:lineRule="exact"/>
              <w:rPr>
                <w:rFonts w:ascii="Arial" w:cs="Arial" w:eastAsia="Arial" w:hAnsi="Arial"/>
                <w:sz w:val="18"/>
                <w:szCs w:val="18"/>
                <w:color w:val="0000EE"/>
              </w:rPr>
            </w:pPr>
            <w:hyperlink w:anchor="page100">
              <w:r>
                <w:rPr>
                  <w:rFonts w:ascii="Arial" w:cs="Arial" w:eastAsia="Arial" w:hAnsi="Arial"/>
                  <w:sz w:val="18"/>
                  <w:szCs w:val="18"/>
                  <w:color w:val="0000EE"/>
                </w:rPr>
                <w:t>Selling Shareholders</w:t>
              </w:r>
            </w:hyperlink>
          </w:p>
        </w:tc>
        <w:tc>
          <w:tcPr>
            <w:tcW w:w="56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100">
              <w:r>
                <w:rPr>
                  <w:rFonts w:ascii="Arial" w:cs="Arial" w:eastAsia="Arial" w:hAnsi="Arial"/>
                  <w:sz w:val="18"/>
                  <w:szCs w:val="18"/>
                  <w:color w:val="0000EE"/>
                </w:rPr>
                <w:t>97</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60" w:type="dxa"/>
            <w:vAlign w:val="bottom"/>
            <w:tcBorders>
              <w:top w:val="single" w:sz="8" w:color="0000EE"/>
            </w:tcBorders>
            <w:gridSpan w:val="3"/>
          </w:tcPr>
          <w:p>
            <w:pPr>
              <w:spacing w:after="0" w:line="176" w:lineRule="exact"/>
              <w:rPr>
                <w:rFonts w:ascii="Arial" w:cs="Arial" w:eastAsia="Arial" w:hAnsi="Arial"/>
                <w:sz w:val="18"/>
                <w:szCs w:val="18"/>
                <w:color w:val="0000EE"/>
                <w:w w:val="81"/>
              </w:rPr>
            </w:pPr>
            <w:hyperlink w:anchor="page100">
              <w:r>
                <w:rPr>
                  <w:rFonts w:ascii="Arial" w:cs="Arial" w:eastAsia="Arial" w:hAnsi="Arial"/>
                  <w:sz w:val="18"/>
                  <w:szCs w:val="18"/>
                  <w:color w:val="0000EE"/>
                  <w:w w:val="81"/>
                </w:rPr>
                <w:t>E.</w:t>
              </w:r>
            </w:hyperlink>
          </w:p>
        </w:tc>
        <w:tc>
          <w:tcPr>
            <w:tcW w:w="400" w:type="dxa"/>
            <w:vAlign w:val="bottom"/>
            <w:tcBorders>
              <w:top w:val="single" w:sz="8" w:color="CCEEFF"/>
            </w:tcBorders>
            <w:gridSpan w:val="2"/>
          </w:tcPr>
          <w:p>
            <w:pPr>
              <w:spacing w:after="0"/>
              <w:rPr>
                <w:sz w:val="15"/>
                <w:szCs w:val="15"/>
                <w:color w:val="auto"/>
              </w:rPr>
            </w:pPr>
          </w:p>
        </w:tc>
        <w:tc>
          <w:tcPr>
            <w:tcW w:w="1500" w:type="dxa"/>
            <w:vAlign w:val="bottom"/>
            <w:tcBorders>
              <w:top w:val="single" w:sz="8" w:color="0000EE"/>
            </w:tcBorders>
            <w:gridSpan w:val="15"/>
          </w:tcPr>
          <w:p>
            <w:pPr>
              <w:spacing w:after="0" w:line="176" w:lineRule="exact"/>
              <w:rPr>
                <w:rFonts w:ascii="Arial" w:cs="Arial" w:eastAsia="Arial" w:hAnsi="Arial"/>
                <w:sz w:val="18"/>
                <w:szCs w:val="18"/>
                <w:color w:val="0000EE"/>
              </w:rPr>
            </w:pPr>
            <w:hyperlink w:anchor="page100">
              <w:r>
                <w:rPr>
                  <w:rFonts w:ascii="Arial" w:cs="Arial" w:eastAsia="Arial" w:hAnsi="Arial"/>
                  <w:sz w:val="18"/>
                  <w:szCs w:val="18"/>
                  <w:color w:val="0000EE"/>
                </w:rPr>
                <w:t>Dilution</w:t>
              </w:r>
            </w:hyperlink>
          </w:p>
        </w:tc>
        <w:tc>
          <w:tcPr>
            <w:tcW w:w="8780" w:type="dxa"/>
            <w:vAlign w:val="bottom"/>
            <w:tcBorders>
              <w:top w:val="single" w:sz="8" w:color="CCEEFF"/>
            </w:tcBorders>
            <w:gridSpan w:val="23"/>
          </w:tcPr>
          <w:p>
            <w:pPr>
              <w:spacing w:after="0"/>
              <w:rPr>
                <w:sz w:val="15"/>
                <w:szCs w:val="15"/>
                <w:color w:val="auto"/>
              </w:rPr>
            </w:pPr>
          </w:p>
        </w:tc>
        <w:tc>
          <w:tcPr>
            <w:tcW w:w="380" w:type="dxa"/>
            <w:vAlign w:val="bottom"/>
            <w:tcBorders>
              <w:top w:val="single" w:sz="8" w:color="CCEEFF"/>
            </w:tcBorders>
          </w:tcPr>
          <w:p>
            <w:pPr>
              <w:spacing w:after="0"/>
              <w:rPr>
                <w:sz w:val="15"/>
                <w:szCs w:val="15"/>
                <w:color w:val="auto"/>
              </w:rPr>
            </w:pPr>
          </w:p>
        </w:tc>
        <w:tc>
          <w:tcPr>
            <w:tcW w:w="180" w:type="dxa"/>
            <w:vAlign w:val="bottom"/>
            <w:tcBorders>
              <w:top w:val="single" w:sz="8" w:color="0000EE"/>
            </w:tcBorders>
            <w:gridSpan w:val="2"/>
          </w:tcPr>
          <w:p>
            <w:pPr>
              <w:jc w:val="right"/>
              <w:spacing w:after="0" w:line="176" w:lineRule="exact"/>
              <w:rPr>
                <w:rFonts w:ascii="Arial" w:cs="Arial" w:eastAsia="Arial" w:hAnsi="Arial"/>
                <w:sz w:val="18"/>
                <w:szCs w:val="18"/>
                <w:color w:val="0000EE"/>
                <w:w w:val="79"/>
              </w:rPr>
            </w:pPr>
            <w:hyperlink w:anchor="page100">
              <w:r>
                <w:rPr>
                  <w:rFonts w:ascii="Arial" w:cs="Arial" w:eastAsia="Arial" w:hAnsi="Arial"/>
                  <w:sz w:val="18"/>
                  <w:szCs w:val="18"/>
                  <w:color w:val="0000EE"/>
                  <w:w w:val="79"/>
                </w:rPr>
                <w:t>97</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696"/>
        </w:trPr>
        <w:tc>
          <w:tcPr>
            <w:tcW w:w="20" w:type="dxa"/>
            <w:vAlign w:val="bottom"/>
            <w:tcBorders>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20" w:type="dxa"/>
            <w:vAlign w:val="bottom"/>
            <w:tcBorders>
              <w:top w:val="single" w:sz="8" w:color="0000EE"/>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top w:val="single" w:sz="8" w:color="0000EE"/>
              <w:bottom w:val="single" w:sz="8" w:color="auto"/>
            </w:tcBorders>
          </w:tcPr>
          <w:p>
            <w:pPr>
              <w:spacing w:after="0"/>
              <w:rPr>
                <w:sz w:val="24"/>
                <w:szCs w:val="24"/>
                <w:color w:val="auto"/>
              </w:rPr>
            </w:pPr>
          </w:p>
        </w:tc>
        <w:tc>
          <w:tcPr>
            <w:tcW w:w="80" w:type="dxa"/>
            <w:vAlign w:val="bottom"/>
            <w:tcBorders>
              <w:top w:val="single" w:sz="8" w:color="0000EE"/>
              <w:bottom w:val="single" w:sz="8" w:color="auto"/>
            </w:tcBorders>
          </w:tcPr>
          <w:p>
            <w:pPr>
              <w:spacing w:after="0"/>
              <w:rPr>
                <w:sz w:val="24"/>
                <w:szCs w:val="24"/>
                <w:color w:val="auto"/>
              </w:rPr>
            </w:pPr>
          </w:p>
        </w:tc>
        <w:tc>
          <w:tcPr>
            <w:tcW w:w="480" w:type="dxa"/>
            <w:vAlign w:val="bottom"/>
            <w:tcBorders>
              <w:top w:val="single" w:sz="8" w:color="0000EE"/>
              <w:bottom w:val="single" w:sz="8" w:color="auto"/>
            </w:tcBorders>
          </w:tcPr>
          <w:p>
            <w:pPr>
              <w:spacing w:after="0"/>
              <w:rPr>
                <w:sz w:val="24"/>
                <w:szCs w:val="24"/>
                <w:color w:val="auto"/>
              </w:rPr>
            </w:pPr>
          </w:p>
        </w:tc>
        <w:tc>
          <w:tcPr>
            <w:tcW w:w="20" w:type="dxa"/>
            <w:vAlign w:val="bottom"/>
            <w:tcBorders>
              <w:top w:val="single" w:sz="8" w:color="0000EE"/>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544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100" w:type="dxa"/>
            <w:vAlign w:val="bottom"/>
            <w:tcBorders>
              <w:top w:val="single" w:sz="8" w:color="0000EE"/>
              <w:bottom w:val="single" w:sz="8" w:color="auto"/>
            </w:tcBorders>
          </w:tcPr>
          <w:p>
            <w:pPr>
              <w:spacing w:after="0"/>
              <w:rPr>
                <w:sz w:val="24"/>
                <w:szCs w:val="24"/>
                <w:color w:val="auto"/>
              </w:rPr>
            </w:pPr>
          </w:p>
        </w:tc>
        <w:tc>
          <w:tcPr>
            <w:tcW w:w="80" w:type="dxa"/>
            <w:vAlign w:val="bottom"/>
            <w:tcBorders>
              <w:top w:val="single" w:sz="8" w:color="0000EE"/>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20" w:type="dxa"/>
            <w:vAlign w:val="bottom"/>
          </w:tcPr>
          <w:p>
            <w:pPr>
              <w:spacing w:after="0"/>
              <w:rPr>
                <w:sz w:val="19"/>
                <w:szCs w:val="19"/>
                <w:color w:val="auto"/>
              </w:rPr>
            </w:pPr>
          </w:p>
        </w:tc>
        <w:tc>
          <w:tcPr>
            <w:tcW w:w="120" w:type="dxa"/>
            <w:vAlign w:val="bottom"/>
            <w:gridSpan w:val="2"/>
            <w:shd w:val="clear" w:color="auto" w:fill="CCEEFF"/>
          </w:tcPr>
          <w:p>
            <w:pPr>
              <w:spacing w:after="0"/>
              <w:rPr>
                <w:rFonts w:ascii="Arial" w:cs="Arial" w:eastAsia="Arial" w:hAnsi="Arial"/>
                <w:sz w:val="15"/>
                <w:szCs w:val="15"/>
                <w:color w:val="0000EE"/>
                <w:w w:val="74"/>
              </w:rPr>
            </w:pPr>
            <w:hyperlink w:anchor="page100">
              <w:r>
                <w:rPr>
                  <w:rFonts w:ascii="Arial" w:cs="Arial" w:eastAsia="Arial" w:hAnsi="Arial"/>
                  <w:sz w:val="15"/>
                  <w:szCs w:val="15"/>
                  <w:color w:val="0000EE"/>
                  <w:w w:val="74"/>
                </w:rPr>
                <w:t>F.</w:t>
              </w:r>
            </w:hyperlink>
          </w:p>
        </w:tc>
        <w:tc>
          <w:tcPr>
            <w:tcW w:w="440" w:type="dxa"/>
            <w:vAlign w:val="bottom"/>
            <w:gridSpan w:val="3"/>
            <w:shd w:val="clear" w:color="auto" w:fill="CCEEFF"/>
          </w:tcPr>
          <w:p>
            <w:pPr>
              <w:spacing w:after="0"/>
              <w:rPr>
                <w:sz w:val="19"/>
                <w:szCs w:val="19"/>
                <w:color w:val="auto"/>
              </w:rPr>
            </w:pPr>
          </w:p>
        </w:tc>
        <w:tc>
          <w:tcPr>
            <w:tcW w:w="8540" w:type="dxa"/>
            <w:vAlign w:val="bottom"/>
            <w:gridSpan w:val="35"/>
            <w:shd w:val="clear" w:color="auto" w:fill="CCEEFF"/>
          </w:tcPr>
          <w:p>
            <w:pPr>
              <w:spacing w:after="0"/>
              <w:rPr>
                <w:rFonts w:ascii="Arial" w:cs="Arial" w:eastAsia="Arial" w:hAnsi="Arial"/>
                <w:sz w:val="18"/>
                <w:szCs w:val="18"/>
                <w:color w:val="0000EE"/>
              </w:rPr>
            </w:pPr>
            <w:hyperlink w:anchor="page100">
              <w:r>
                <w:rPr>
                  <w:rFonts w:ascii="Arial" w:cs="Arial" w:eastAsia="Arial" w:hAnsi="Arial"/>
                  <w:sz w:val="18"/>
                  <w:szCs w:val="18"/>
                  <w:color w:val="0000EE"/>
                </w:rPr>
                <w:t>Expenses of the Issue</w:t>
              </w:r>
            </w:hyperlink>
          </w:p>
        </w:tc>
        <w:tc>
          <w:tcPr>
            <w:tcW w:w="2300" w:type="dxa"/>
            <w:vAlign w:val="bottom"/>
            <w:gridSpan w:val="3"/>
            <w:shd w:val="clear" w:color="auto" w:fill="CCEEFF"/>
          </w:tcPr>
          <w:p>
            <w:pPr>
              <w:jc w:val="right"/>
              <w:spacing w:after="0"/>
              <w:rPr>
                <w:rFonts w:ascii="Arial" w:cs="Arial" w:eastAsia="Arial" w:hAnsi="Arial"/>
                <w:sz w:val="18"/>
                <w:szCs w:val="18"/>
                <w:color w:val="0000EE"/>
              </w:rPr>
            </w:pPr>
            <w:hyperlink w:anchor="page100">
              <w:r>
                <w:rPr>
                  <w:rFonts w:ascii="Arial" w:cs="Arial" w:eastAsia="Arial" w:hAnsi="Arial"/>
                  <w:sz w:val="18"/>
                  <w:szCs w:val="18"/>
                  <w:color w:val="0000EE"/>
                </w:rPr>
                <w:t>97</w:t>
              </w:r>
            </w:hyperlink>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2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24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56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44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360" w:type="dxa"/>
            <w:vAlign w:val="bottom"/>
            <w:tcBorders>
              <w:top w:val="single" w:sz="8" w:color="CCEEFF"/>
            </w:tcBorders>
          </w:tcPr>
          <w:p>
            <w:pPr>
              <w:spacing w:after="0"/>
              <w:rPr>
                <w:sz w:val="18"/>
                <w:szCs w:val="18"/>
                <w:color w:val="auto"/>
              </w:rPr>
            </w:pPr>
          </w:p>
        </w:tc>
        <w:tc>
          <w:tcPr>
            <w:tcW w:w="32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420" w:type="dxa"/>
            <w:vAlign w:val="bottom"/>
            <w:tcBorders>
              <w:top w:val="single" w:sz="8" w:color="CCEEFF"/>
            </w:tcBorders>
          </w:tcPr>
          <w:p>
            <w:pPr>
              <w:spacing w:after="0"/>
              <w:rPr>
                <w:sz w:val="18"/>
                <w:szCs w:val="18"/>
                <w:color w:val="auto"/>
              </w:rPr>
            </w:pPr>
          </w:p>
        </w:tc>
        <w:tc>
          <w:tcPr>
            <w:tcW w:w="90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80" w:type="dxa"/>
            <w:vAlign w:val="bottom"/>
            <w:tcBorders>
              <w:top w:val="single" w:sz="8" w:color="0000EE"/>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620" w:type="dxa"/>
            <w:vAlign w:val="bottom"/>
            <w:gridSpan w:val="7"/>
            <w:shd w:val="clear" w:color="auto" w:fill="CCEEFF"/>
          </w:tcPr>
          <w:p>
            <w:pPr>
              <w:spacing w:after="0" w:line="176" w:lineRule="exact"/>
              <w:rPr>
                <w:rFonts w:ascii="Arial" w:cs="Arial" w:eastAsia="Arial" w:hAnsi="Arial"/>
                <w:sz w:val="18"/>
                <w:szCs w:val="18"/>
                <w:b w:val="1"/>
                <w:bCs w:val="1"/>
                <w:color w:val="0000EE"/>
                <w:w w:val="89"/>
              </w:rPr>
            </w:pPr>
            <w:hyperlink w:anchor="page100">
              <w:r>
                <w:rPr>
                  <w:rFonts w:ascii="Arial" w:cs="Arial" w:eastAsia="Arial" w:hAnsi="Arial"/>
                  <w:sz w:val="18"/>
                  <w:szCs w:val="18"/>
                  <w:b w:val="1"/>
                  <w:bCs w:val="1"/>
                  <w:color w:val="0000EE"/>
                  <w:w w:val="89"/>
                </w:rPr>
                <w:t>Item 10.</w:t>
              </w:r>
            </w:hyperlink>
          </w:p>
        </w:tc>
        <w:tc>
          <w:tcPr>
            <w:tcW w:w="520" w:type="dxa"/>
            <w:vAlign w:val="bottom"/>
            <w:gridSpan w:val="5"/>
            <w:shd w:val="clear" w:color="auto" w:fill="CCEEFF"/>
          </w:tcPr>
          <w:p>
            <w:pPr>
              <w:spacing w:after="0"/>
              <w:rPr>
                <w:sz w:val="15"/>
                <w:szCs w:val="15"/>
                <w:color w:val="auto"/>
              </w:rPr>
            </w:pPr>
          </w:p>
        </w:tc>
        <w:tc>
          <w:tcPr>
            <w:tcW w:w="7960" w:type="dxa"/>
            <w:vAlign w:val="bottom"/>
            <w:gridSpan w:val="28"/>
            <w:shd w:val="clear" w:color="auto" w:fill="CCEEFF"/>
          </w:tcPr>
          <w:p>
            <w:pPr>
              <w:spacing w:after="0" w:line="176" w:lineRule="exact"/>
              <w:rPr>
                <w:rFonts w:ascii="Arial" w:cs="Arial" w:eastAsia="Arial" w:hAnsi="Arial"/>
                <w:sz w:val="18"/>
                <w:szCs w:val="18"/>
                <w:b w:val="1"/>
                <w:bCs w:val="1"/>
                <w:color w:val="0000EE"/>
              </w:rPr>
            </w:pPr>
            <w:hyperlink w:anchor="page100">
              <w:r>
                <w:rPr>
                  <w:rFonts w:ascii="Arial" w:cs="Arial" w:eastAsia="Arial" w:hAnsi="Arial"/>
                  <w:sz w:val="18"/>
                  <w:szCs w:val="18"/>
                  <w:b w:val="1"/>
                  <w:bCs w:val="1"/>
                  <w:color w:val="0000EE"/>
                </w:rPr>
                <w:t>Additional Information</w:t>
              </w:r>
            </w:hyperlink>
          </w:p>
        </w:tc>
        <w:tc>
          <w:tcPr>
            <w:tcW w:w="2300" w:type="dxa"/>
            <w:vAlign w:val="bottom"/>
            <w:gridSpan w:val="3"/>
            <w:shd w:val="clear" w:color="auto" w:fill="CCEEFF"/>
          </w:tcPr>
          <w:p>
            <w:pPr>
              <w:jc w:val="right"/>
              <w:spacing w:after="0" w:line="176" w:lineRule="exact"/>
              <w:rPr>
                <w:rFonts w:ascii="Arial" w:cs="Arial" w:eastAsia="Arial" w:hAnsi="Arial"/>
                <w:sz w:val="18"/>
                <w:szCs w:val="18"/>
                <w:b w:val="1"/>
                <w:bCs w:val="1"/>
                <w:color w:val="0000EE"/>
              </w:rPr>
            </w:pPr>
            <w:hyperlink w:anchor="page100">
              <w:r>
                <w:rPr>
                  <w:rFonts w:ascii="Arial" w:cs="Arial" w:eastAsia="Arial" w:hAnsi="Arial"/>
                  <w:sz w:val="18"/>
                  <w:szCs w:val="18"/>
                  <w:b w:val="1"/>
                  <w:bCs w:val="1"/>
                  <w:color w:val="0000EE"/>
                </w:rPr>
                <w:t>97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56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tcPr>
          <w:p>
            <w:pPr>
              <w:spacing w:after="0" w:line="176" w:lineRule="exact"/>
              <w:rPr>
                <w:rFonts w:ascii="Arial" w:cs="Arial" w:eastAsia="Arial" w:hAnsi="Arial"/>
                <w:sz w:val="18"/>
                <w:szCs w:val="18"/>
                <w:color w:val="0000EE"/>
              </w:rPr>
            </w:pPr>
            <w:hyperlink w:anchor="page100">
              <w:r>
                <w:rPr>
                  <w:rFonts w:ascii="Arial" w:cs="Arial" w:eastAsia="Arial" w:hAnsi="Arial"/>
                  <w:sz w:val="18"/>
                  <w:szCs w:val="18"/>
                  <w:color w:val="0000EE"/>
                </w:rPr>
                <w:t>A.</w:t>
              </w:r>
            </w:hyperlink>
          </w:p>
        </w:tc>
        <w:tc>
          <w:tcPr>
            <w:tcW w:w="8540" w:type="dxa"/>
            <w:vAlign w:val="bottom"/>
            <w:gridSpan w:val="35"/>
          </w:tcPr>
          <w:p>
            <w:pPr>
              <w:spacing w:after="0" w:line="176" w:lineRule="exact"/>
              <w:rPr>
                <w:rFonts w:ascii="Arial" w:cs="Arial" w:eastAsia="Arial" w:hAnsi="Arial"/>
                <w:sz w:val="18"/>
                <w:szCs w:val="18"/>
                <w:color w:val="0000EE"/>
              </w:rPr>
            </w:pPr>
            <w:hyperlink w:anchor="page100">
              <w:r>
                <w:rPr>
                  <w:rFonts w:ascii="Arial" w:cs="Arial" w:eastAsia="Arial" w:hAnsi="Arial"/>
                  <w:sz w:val="18"/>
                  <w:szCs w:val="18"/>
                  <w:color w:val="0000EE"/>
                </w:rPr>
                <w:t>Share Capital</w:t>
              </w:r>
            </w:hyperlink>
          </w:p>
        </w:tc>
        <w:tc>
          <w:tcPr>
            <w:tcW w:w="2300" w:type="dxa"/>
            <w:vAlign w:val="bottom"/>
            <w:gridSpan w:val="3"/>
          </w:tcPr>
          <w:p>
            <w:pPr>
              <w:jc w:val="right"/>
              <w:spacing w:after="0" w:line="176" w:lineRule="exact"/>
              <w:rPr>
                <w:rFonts w:ascii="Arial" w:cs="Arial" w:eastAsia="Arial" w:hAnsi="Arial"/>
                <w:sz w:val="18"/>
                <w:szCs w:val="18"/>
                <w:color w:val="0000EE"/>
              </w:rPr>
            </w:pPr>
            <w:hyperlink w:anchor="page100">
              <w:r>
                <w:rPr>
                  <w:rFonts w:ascii="Arial" w:cs="Arial" w:eastAsia="Arial" w:hAnsi="Arial"/>
                  <w:sz w:val="18"/>
                  <w:szCs w:val="18"/>
                  <w:color w:val="0000EE"/>
                </w:rPr>
                <w:t>97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60" w:type="dxa"/>
            <w:vAlign w:val="bottom"/>
            <w:tcBorders>
              <w:bottom w:val="single" w:sz="8" w:color="0000EE"/>
            </w:tcBorders>
            <w:gridSpan w:val="4"/>
            <w:shd w:val="clear" w:color="auto" w:fill="CCEEFF"/>
          </w:tcPr>
          <w:p>
            <w:pPr>
              <w:spacing w:after="0" w:line="176" w:lineRule="exact"/>
              <w:rPr>
                <w:rFonts w:ascii="Arial" w:cs="Arial" w:eastAsia="Arial" w:hAnsi="Arial"/>
                <w:sz w:val="18"/>
                <w:szCs w:val="18"/>
                <w:color w:val="0000EE"/>
                <w:w w:val="81"/>
              </w:rPr>
            </w:pPr>
            <w:hyperlink w:anchor="page100">
              <w:r>
                <w:rPr>
                  <w:rFonts w:ascii="Arial" w:cs="Arial" w:eastAsia="Arial" w:hAnsi="Arial"/>
                  <w:sz w:val="18"/>
                  <w:szCs w:val="18"/>
                  <w:color w:val="0000EE"/>
                  <w:w w:val="81"/>
                </w:rPr>
                <w:t>B.</w:t>
              </w:r>
            </w:hyperlink>
          </w:p>
        </w:tc>
        <w:tc>
          <w:tcPr>
            <w:tcW w:w="400" w:type="dxa"/>
            <w:vAlign w:val="bottom"/>
            <w:tcBorders>
              <w:bottom w:val="single" w:sz="8" w:color="CCEEFF"/>
            </w:tcBorders>
            <w:shd w:val="clear" w:color="auto" w:fill="CCEEFF"/>
          </w:tcPr>
          <w:p>
            <w:pPr>
              <w:spacing w:after="0"/>
              <w:rPr>
                <w:sz w:val="17"/>
                <w:szCs w:val="17"/>
                <w:color w:val="auto"/>
              </w:rPr>
            </w:pPr>
          </w:p>
        </w:tc>
        <w:tc>
          <w:tcPr>
            <w:tcW w:w="3040" w:type="dxa"/>
            <w:vAlign w:val="bottom"/>
            <w:tcBorders>
              <w:bottom w:val="single" w:sz="8" w:color="0000EE"/>
            </w:tcBorders>
            <w:gridSpan w:val="25"/>
            <w:shd w:val="clear" w:color="auto" w:fill="CCEEFF"/>
          </w:tcPr>
          <w:p>
            <w:pPr>
              <w:spacing w:after="0" w:line="176" w:lineRule="exact"/>
              <w:rPr>
                <w:rFonts w:ascii="Arial" w:cs="Arial" w:eastAsia="Arial" w:hAnsi="Arial"/>
                <w:sz w:val="18"/>
                <w:szCs w:val="18"/>
                <w:color w:val="0000EE"/>
                <w:w w:val="92"/>
              </w:rPr>
            </w:pPr>
            <w:hyperlink w:anchor="page100">
              <w:r>
                <w:rPr>
                  <w:rFonts w:ascii="Arial" w:cs="Arial" w:eastAsia="Arial" w:hAnsi="Arial"/>
                  <w:sz w:val="18"/>
                  <w:szCs w:val="18"/>
                  <w:color w:val="0000EE"/>
                  <w:w w:val="92"/>
                </w:rPr>
                <w:t>Memorandum and Articles of Association</w:t>
              </w:r>
            </w:hyperlink>
          </w:p>
        </w:tc>
        <w:tc>
          <w:tcPr>
            <w:tcW w:w="5500" w:type="dxa"/>
            <w:vAlign w:val="bottom"/>
            <w:tcBorders>
              <w:bottom w:val="single" w:sz="8" w:color="CCEEFF"/>
            </w:tcBorders>
            <w:gridSpan w:val="10"/>
            <w:shd w:val="clear" w:color="auto" w:fill="CCEEFF"/>
          </w:tcPr>
          <w:p>
            <w:pPr>
              <w:spacing w:after="0"/>
              <w:rPr>
                <w:sz w:val="17"/>
                <w:szCs w:val="17"/>
                <w:color w:val="auto"/>
              </w:rPr>
            </w:pPr>
          </w:p>
        </w:tc>
        <w:tc>
          <w:tcPr>
            <w:tcW w:w="2120" w:type="dxa"/>
            <w:vAlign w:val="bottom"/>
            <w:tcBorders>
              <w:bottom w:val="single" w:sz="8" w:color="CCEEFF"/>
            </w:tcBorders>
            <w:gridSpan w:val="2"/>
            <w:shd w:val="clear" w:color="auto" w:fill="CCEEFF"/>
          </w:tcPr>
          <w:p>
            <w:pPr>
              <w:spacing w:after="0"/>
              <w:rPr>
                <w:sz w:val="17"/>
                <w:szCs w:val="17"/>
                <w:color w:val="auto"/>
              </w:rPr>
            </w:pPr>
          </w:p>
        </w:tc>
        <w:tc>
          <w:tcPr>
            <w:tcW w:w="180" w:type="dxa"/>
            <w:vAlign w:val="bottom"/>
            <w:tcBorders>
              <w:bottom w:val="single" w:sz="8" w:color="0000EE"/>
            </w:tcBorders>
            <w:shd w:val="clear" w:color="auto" w:fill="CCEEFF"/>
          </w:tcPr>
          <w:p>
            <w:pPr>
              <w:jc w:val="right"/>
              <w:spacing w:after="0" w:line="176" w:lineRule="exact"/>
              <w:rPr>
                <w:rFonts w:ascii="Arial" w:cs="Arial" w:eastAsia="Arial" w:hAnsi="Arial"/>
                <w:sz w:val="18"/>
                <w:szCs w:val="18"/>
                <w:color w:val="0000EE"/>
                <w:w w:val="79"/>
              </w:rPr>
            </w:pPr>
            <w:hyperlink w:anchor="page100">
              <w:r>
                <w:rPr>
                  <w:rFonts w:ascii="Arial" w:cs="Arial" w:eastAsia="Arial" w:hAnsi="Arial"/>
                  <w:sz w:val="18"/>
                  <w:szCs w:val="18"/>
                  <w:color w:val="0000EE"/>
                  <w:w w:val="79"/>
                </w:rPr>
                <w:t>97</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560" w:type="dxa"/>
            <w:vAlign w:val="bottom"/>
            <w:gridSpan w:val="5"/>
          </w:tcPr>
          <w:p>
            <w:pPr>
              <w:spacing w:after="0" w:line="176" w:lineRule="exact"/>
              <w:rPr>
                <w:rFonts w:ascii="Arial" w:cs="Arial" w:eastAsia="Arial" w:hAnsi="Arial"/>
                <w:sz w:val="18"/>
                <w:szCs w:val="18"/>
                <w:color w:val="0000EE"/>
              </w:rPr>
            </w:pPr>
            <w:hyperlink w:anchor="page103">
              <w:r>
                <w:rPr>
                  <w:rFonts w:ascii="Arial" w:cs="Arial" w:eastAsia="Arial" w:hAnsi="Arial"/>
                  <w:sz w:val="18"/>
                  <w:szCs w:val="18"/>
                  <w:color w:val="0000EE"/>
                </w:rPr>
                <w:t>C.</w:t>
              </w:r>
            </w:hyperlink>
          </w:p>
        </w:tc>
        <w:tc>
          <w:tcPr>
            <w:tcW w:w="8540" w:type="dxa"/>
            <w:vAlign w:val="bottom"/>
            <w:gridSpan w:val="35"/>
          </w:tcPr>
          <w:p>
            <w:pPr>
              <w:spacing w:after="0" w:line="176" w:lineRule="exact"/>
              <w:rPr>
                <w:rFonts w:ascii="Arial" w:cs="Arial" w:eastAsia="Arial" w:hAnsi="Arial"/>
                <w:sz w:val="18"/>
                <w:szCs w:val="18"/>
                <w:color w:val="0000EE"/>
              </w:rPr>
            </w:pPr>
            <w:hyperlink w:anchor="page103">
              <w:r>
                <w:rPr>
                  <w:rFonts w:ascii="Arial" w:cs="Arial" w:eastAsia="Arial" w:hAnsi="Arial"/>
                  <w:sz w:val="18"/>
                  <w:szCs w:val="18"/>
                  <w:color w:val="0000EE"/>
                </w:rPr>
                <w:t>Material Contracts</w:t>
              </w:r>
            </w:hyperlink>
          </w:p>
        </w:tc>
        <w:tc>
          <w:tcPr>
            <w:tcW w:w="2300" w:type="dxa"/>
            <w:vAlign w:val="bottom"/>
            <w:gridSpan w:val="3"/>
          </w:tcPr>
          <w:p>
            <w:pPr>
              <w:jc w:val="right"/>
              <w:spacing w:after="0" w:line="176" w:lineRule="exact"/>
              <w:rPr>
                <w:rFonts w:ascii="Arial" w:cs="Arial" w:eastAsia="Arial" w:hAnsi="Arial"/>
                <w:sz w:val="18"/>
                <w:szCs w:val="18"/>
                <w:color w:val="0000EE"/>
              </w:rPr>
            </w:pPr>
            <w:hyperlink w:anchor="page103">
              <w:r>
                <w:rPr>
                  <w:rFonts w:ascii="Arial" w:cs="Arial" w:eastAsia="Arial" w:hAnsi="Arial"/>
                  <w:sz w:val="18"/>
                  <w:szCs w:val="18"/>
                  <w:color w:val="0000EE"/>
                </w:rPr>
                <w:t>100</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103">
              <w:r>
                <w:rPr>
                  <w:rFonts w:ascii="Arial" w:cs="Arial" w:eastAsia="Arial" w:hAnsi="Arial"/>
                  <w:sz w:val="18"/>
                  <w:szCs w:val="18"/>
                  <w:color w:val="0000EE"/>
                </w:rPr>
                <w:t>D.</w:t>
              </w:r>
            </w:hyperlink>
          </w:p>
        </w:tc>
        <w:tc>
          <w:tcPr>
            <w:tcW w:w="8540" w:type="dxa"/>
            <w:vAlign w:val="bottom"/>
            <w:gridSpan w:val="35"/>
            <w:shd w:val="clear" w:color="auto" w:fill="CCEEFF"/>
          </w:tcPr>
          <w:p>
            <w:pPr>
              <w:spacing w:after="0" w:line="176" w:lineRule="exact"/>
              <w:rPr>
                <w:rFonts w:ascii="Arial" w:cs="Arial" w:eastAsia="Arial" w:hAnsi="Arial"/>
                <w:sz w:val="18"/>
                <w:szCs w:val="18"/>
                <w:color w:val="0000EE"/>
              </w:rPr>
            </w:pPr>
            <w:hyperlink w:anchor="page103">
              <w:r>
                <w:rPr>
                  <w:rFonts w:ascii="Arial" w:cs="Arial" w:eastAsia="Arial" w:hAnsi="Arial"/>
                  <w:sz w:val="18"/>
                  <w:szCs w:val="18"/>
                  <w:color w:val="0000EE"/>
                </w:rPr>
                <w:t>Exchange Controls</w:t>
              </w:r>
            </w:hyperlink>
          </w:p>
        </w:tc>
        <w:tc>
          <w:tcPr>
            <w:tcW w:w="230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103">
              <w:r>
                <w:rPr>
                  <w:rFonts w:ascii="Arial" w:cs="Arial" w:eastAsia="Arial" w:hAnsi="Arial"/>
                  <w:sz w:val="18"/>
                  <w:szCs w:val="18"/>
                  <w:color w:val="0000EE"/>
                </w:rPr>
                <w:t>100</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56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4"/>
          </w:tcPr>
          <w:p>
            <w:pPr>
              <w:spacing w:after="0" w:line="176" w:lineRule="exact"/>
              <w:rPr>
                <w:rFonts w:ascii="Arial" w:cs="Arial" w:eastAsia="Arial" w:hAnsi="Arial"/>
                <w:sz w:val="18"/>
                <w:szCs w:val="18"/>
                <w:color w:val="0000EE"/>
                <w:w w:val="81"/>
              </w:rPr>
            </w:pPr>
            <w:hyperlink w:anchor="page103">
              <w:r>
                <w:rPr>
                  <w:rFonts w:ascii="Arial" w:cs="Arial" w:eastAsia="Arial" w:hAnsi="Arial"/>
                  <w:sz w:val="18"/>
                  <w:szCs w:val="18"/>
                  <w:color w:val="0000EE"/>
                  <w:w w:val="81"/>
                </w:rPr>
                <w:t>E.</w:t>
              </w:r>
            </w:hyperlink>
          </w:p>
        </w:tc>
        <w:tc>
          <w:tcPr>
            <w:tcW w:w="400" w:type="dxa"/>
            <w:vAlign w:val="bottom"/>
          </w:tcPr>
          <w:p>
            <w:pPr>
              <w:spacing w:after="0"/>
              <w:rPr>
                <w:sz w:val="15"/>
                <w:szCs w:val="15"/>
                <w:color w:val="auto"/>
              </w:rPr>
            </w:pPr>
          </w:p>
        </w:tc>
        <w:tc>
          <w:tcPr>
            <w:tcW w:w="1380" w:type="dxa"/>
            <w:vAlign w:val="bottom"/>
            <w:gridSpan w:val="12"/>
          </w:tcPr>
          <w:p>
            <w:pPr>
              <w:spacing w:after="0" w:line="176" w:lineRule="exact"/>
              <w:rPr>
                <w:rFonts w:ascii="Arial" w:cs="Arial" w:eastAsia="Arial" w:hAnsi="Arial"/>
                <w:sz w:val="18"/>
                <w:szCs w:val="18"/>
                <w:color w:val="0000EE"/>
              </w:rPr>
            </w:pPr>
            <w:hyperlink w:anchor="page103">
              <w:r>
                <w:rPr>
                  <w:rFonts w:ascii="Arial" w:cs="Arial" w:eastAsia="Arial" w:hAnsi="Arial"/>
                  <w:sz w:val="18"/>
                  <w:szCs w:val="18"/>
                  <w:color w:val="0000EE"/>
                </w:rPr>
                <w:t>Taxation</w:t>
              </w:r>
            </w:hyperlink>
          </w:p>
        </w:tc>
        <w:tc>
          <w:tcPr>
            <w:tcW w:w="7160" w:type="dxa"/>
            <w:vAlign w:val="bottom"/>
            <w:gridSpan w:val="23"/>
          </w:tcPr>
          <w:p>
            <w:pPr>
              <w:spacing w:after="0"/>
              <w:rPr>
                <w:sz w:val="15"/>
                <w:szCs w:val="15"/>
                <w:color w:val="auto"/>
              </w:rPr>
            </w:pPr>
          </w:p>
        </w:tc>
        <w:tc>
          <w:tcPr>
            <w:tcW w:w="2300" w:type="dxa"/>
            <w:vAlign w:val="bottom"/>
            <w:gridSpan w:val="3"/>
          </w:tcPr>
          <w:p>
            <w:pPr>
              <w:jc w:val="right"/>
              <w:spacing w:after="0" w:line="176" w:lineRule="exact"/>
              <w:rPr>
                <w:rFonts w:ascii="Arial" w:cs="Arial" w:eastAsia="Arial" w:hAnsi="Arial"/>
                <w:sz w:val="18"/>
                <w:szCs w:val="18"/>
                <w:color w:val="0000EE"/>
              </w:rPr>
            </w:pPr>
            <w:hyperlink w:anchor="page103">
              <w:r>
                <w:rPr>
                  <w:rFonts w:ascii="Arial" w:cs="Arial" w:eastAsia="Arial" w:hAnsi="Arial"/>
                  <w:sz w:val="18"/>
                  <w:szCs w:val="18"/>
                  <w:color w:val="0000EE"/>
                </w:rPr>
                <w:t>100</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20" w:type="dxa"/>
            <w:vAlign w:val="bottom"/>
            <w:gridSpan w:val="2"/>
            <w:shd w:val="clear" w:color="auto" w:fill="CCEEFF"/>
          </w:tcPr>
          <w:p>
            <w:pPr>
              <w:spacing w:after="0"/>
              <w:rPr>
                <w:rFonts w:ascii="Arial" w:cs="Arial" w:eastAsia="Arial" w:hAnsi="Arial"/>
                <w:sz w:val="15"/>
                <w:szCs w:val="15"/>
                <w:color w:val="0000EE"/>
                <w:w w:val="74"/>
              </w:rPr>
            </w:pPr>
            <w:hyperlink w:anchor="page108">
              <w:r>
                <w:rPr>
                  <w:rFonts w:ascii="Arial" w:cs="Arial" w:eastAsia="Arial" w:hAnsi="Arial"/>
                  <w:sz w:val="15"/>
                  <w:szCs w:val="15"/>
                  <w:color w:val="0000EE"/>
                  <w:w w:val="74"/>
                </w:rPr>
                <w:t>F.</w:t>
              </w:r>
            </w:hyperlink>
          </w:p>
        </w:tc>
        <w:tc>
          <w:tcPr>
            <w:tcW w:w="440" w:type="dxa"/>
            <w:vAlign w:val="bottom"/>
            <w:gridSpan w:val="3"/>
            <w:shd w:val="clear" w:color="auto" w:fill="CCEEFF"/>
          </w:tcPr>
          <w:p>
            <w:pPr>
              <w:spacing w:after="0"/>
              <w:rPr>
                <w:sz w:val="15"/>
                <w:szCs w:val="15"/>
                <w:color w:val="auto"/>
              </w:rPr>
            </w:pPr>
          </w:p>
        </w:tc>
        <w:tc>
          <w:tcPr>
            <w:tcW w:w="2160" w:type="dxa"/>
            <w:vAlign w:val="bottom"/>
            <w:gridSpan w:val="19"/>
            <w:shd w:val="clear" w:color="auto" w:fill="CCEEFF"/>
          </w:tcPr>
          <w:p>
            <w:pPr>
              <w:spacing w:after="0" w:line="176" w:lineRule="exact"/>
              <w:rPr>
                <w:rFonts w:ascii="Arial" w:cs="Arial" w:eastAsia="Arial" w:hAnsi="Arial"/>
                <w:sz w:val="18"/>
                <w:szCs w:val="18"/>
                <w:color w:val="0000EE"/>
                <w:w w:val="90"/>
              </w:rPr>
            </w:pPr>
            <w:hyperlink w:anchor="page108">
              <w:r>
                <w:rPr>
                  <w:rFonts w:ascii="Arial" w:cs="Arial" w:eastAsia="Arial" w:hAnsi="Arial"/>
                  <w:sz w:val="18"/>
                  <w:szCs w:val="18"/>
                  <w:color w:val="0000EE"/>
                  <w:w w:val="90"/>
                </w:rPr>
                <w:t>Dividends and Paying Agents</w:t>
              </w:r>
            </w:hyperlink>
          </w:p>
        </w:tc>
        <w:tc>
          <w:tcPr>
            <w:tcW w:w="6380" w:type="dxa"/>
            <w:vAlign w:val="bottom"/>
            <w:gridSpan w:val="16"/>
            <w:shd w:val="clear" w:color="auto" w:fill="CCEEFF"/>
          </w:tcPr>
          <w:p>
            <w:pPr>
              <w:spacing w:after="0"/>
              <w:rPr>
                <w:sz w:val="15"/>
                <w:szCs w:val="15"/>
                <w:color w:val="auto"/>
              </w:rPr>
            </w:pPr>
          </w:p>
        </w:tc>
        <w:tc>
          <w:tcPr>
            <w:tcW w:w="230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105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56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tcPr>
          <w:p>
            <w:pPr>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G.</w:t>
              </w:r>
            </w:hyperlink>
          </w:p>
        </w:tc>
        <w:tc>
          <w:tcPr>
            <w:tcW w:w="8540" w:type="dxa"/>
            <w:vAlign w:val="bottom"/>
            <w:gridSpan w:val="35"/>
          </w:tcPr>
          <w:p>
            <w:pPr>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Statement by Experts</w:t>
              </w:r>
            </w:hyperlink>
          </w:p>
        </w:tc>
        <w:tc>
          <w:tcPr>
            <w:tcW w:w="2300" w:type="dxa"/>
            <w:vAlign w:val="bottom"/>
            <w:gridSpan w:val="3"/>
          </w:tcPr>
          <w:p>
            <w:pPr>
              <w:jc w:val="right"/>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105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 w:type="dxa"/>
            <w:vAlign w:val="bottom"/>
            <w:gridSpan w:val="5"/>
            <w:shd w:val="clear" w:color="auto" w:fill="CCEEFF"/>
          </w:tcPr>
          <w:p>
            <w:pPr>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H.</w:t>
              </w:r>
            </w:hyperlink>
          </w:p>
        </w:tc>
        <w:tc>
          <w:tcPr>
            <w:tcW w:w="8540" w:type="dxa"/>
            <w:vAlign w:val="bottom"/>
            <w:gridSpan w:val="35"/>
            <w:shd w:val="clear" w:color="auto" w:fill="CCEEFF"/>
          </w:tcPr>
          <w:p>
            <w:pPr>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Documents on Display</w:t>
              </w:r>
            </w:hyperlink>
          </w:p>
        </w:tc>
        <w:tc>
          <w:tcPr>
            <w:tcW w:w="230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105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56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60" w:type="dxa"/>
            <w:vAlign w:val="bottom"/>
            <w:gridSpan w:val="4"/>
          </w:tcPr>
          <w:p>
            <w:pPr>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I.</w:t>
              </w:r>
            </w:hyperlink>
          </w:p>
        </w:tc>
        <w:tc>
          <w:tcPr>
            <w:tcW w:w="400" w:type="dxa"/>
            <w:vAlign w:val="bottom"/>
          </w:tcPr>
          <w:p>
            <w:pPr>
              <w:spacing w:after="0"/>
              <w:rPr>
                <w:sz w:val="15"/>
                <w:szCs w:val="15"/>
                <w:color w:val="auto"/>
              </w:rPr>
            </w:pPr>
          </w:p>
        </w:tc>
        <w:tc>
          <w:tcPr>
            <w:tcW w:w="8540" w:type="dxa"/>
            <w:vAlign w:val="bottom"/>
            <w:gridSpan w:val="35"/>
          </w:tcPr>
          <w:p>
            <w:pPr>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Subsidiary Information</w:t>
              </w:r>
            </w:hyperlink>
          </w:p>
        </w:tc>
        <w:tc>
          <w:tcPr>
            <w:tcW w:w="2300" w:type="dxa"/>
            <w:vAlign w:val="bottom"/>
            <w:gridSpan w:val="3"/>
          </w:tcPr>
          <w:p>
            <w:pPr>
              <w:jc w:val="right"/>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105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b w:val="1"/>
                <w:bCs w:val="1"/>
                <w:color w:val="0000EE"/>
              </w:rPr>
            </w:pPr>
            <w:hyperlink w:anchor="page108">
              <w:r>
                <w:rPr>
                  <w:rFonts w:ascii="Arial" w:cs="Arial" w:eastAsia="Arial" w:hAnsi="Arial"/>
                  <w:sz w:val="18"/>
                  <w:szCs w:val="18"/>
                  <w:b w:val="1"/>
                  <w:bCs w:val="1"/>
                  <w:color w:val="0000EE"/>
                </w:rPr>
                <w:t>Item 11.</w:t>
              </w:r>
            </w:hyperlink>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08">
              <w:r>
                <w:rPr>
                  <w:rFonts w:ascii="Arial" w:cs="Arial" w:eastAsia="Arial" w:hAnsi="Arial"/>
                  <w:sz w:val="18"/>
                  <w:szCs w:val="18"/>
                  <w:b w:val="1"/>
                  <w:bCs w:val="1"/>
                  <w:color w:val="0000EE"/>
                </w:rPr>
                <w:t>Quantitative and Qualitative Disclosure About Market Risk</w:t>
              </w:r>
            </w:hyperlink>
          </w:p>
        </w:tc>
        <w:tc>
          <w:tcPr>
            <w:tcW w:w="2300" w:type="dxa"/>
            <w:vAlign w:val="bottom"/>
            <w:gridSpan w:val="3"/>
          </w:tcPr>
          <w:p>
            <w:pPr>
              <w:jc w:val="right"/>
              <w:spacing w:after="0" w:line="176" w:lineRule="exact"/>
              <w:rPr>
                <w:rFonts w:ascii="Arial" w:cs="Arial" w:eastAsia="Arial" w:hAnsi="Arial"/>
                <w:sz w:val="18"/>
                <w:szCs w:val="18"/>
                <w:b w:val="1"/>
                <w:bCs w:val="1"/>
                <w:color w:val="0000EE"/>
              </w:rPr>
            </w:pPr>
            <w:hyperlink w:anchor="page108">
              <w:r>
                <w:rPr>
                  <w:rFonts w:ascii="Arial" w:cs="Arial" w:eastAsia="Arial" w:hAnsi="Arial"/>
                  <w:sz w:val="18"/>
                  <w:szCs w:val="18"/>
                  <w:b w:val="1"/>
                  <w:bCs w:val="1"/>
                  <w:color w:val="0000EE"/>
                </w:rPr>
                <w:t>105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56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4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b w:val="1"/>
                <w:bCs w:val="1"/>
                <w:color w:val="0000EE"/>
              </w:rPr>
            </w:pPr>
            <w:hyperlink w:anchor="page113">
              <w:r>
                <w:rPr>
                  <w:rFonts w:ascii="Arial" w:cs="Arial" w:eastAsia="Arial" w:hAnsi="Arial"/>
                  <w:sz w:val="18"/>
                  <w:szCs w:val="18"/>
                  <w:b w:val="1"/>
                  <w:bCs w:val="1"/>
                  <w:color w:val="0000EE"/>
                </w:rPr>
                <w:t>Item 12.</w:t>
              </w:r>
            </w:hyperlink>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3">
              <w:r>
                <w:rPr>
                  <w:rFonts w:ascii="Arial" w:cs="Arial" w:eastAsia="Arial" w:hAnsi="Arial"/>
                  <w:sz w:val="18"/>
                  <w:szCs w:val="18"/>
                  <w:b w:val="1"/>
                  <w:bCs w:val="1"/>
                  <w:color w:val="0000EE"/>
                </w:rPr>
                <w:t>Description of Securities Other than Equity Securities</w:t>
              </w:r>
            </w:hyperlink>
          </w:p>
        </w:tc>
        <w:tc>
          <w:tcPr>
            <w:tcW w:w="2300" w:type="dxa"/>
            <w:vAlign w:val="bottom"/>
            <w:gridSpan w:val="3"/>
          </w:tcPr>
          <w:p>
            <w:pPr>
              <w:jc w:val="right"/>
              <w:spacing w:after="0" w:line="176" w:lineRule="exact"/>
              <w:rPr>
                <w:rFonts w:ascii="Arial" w:cs="Arial" w:eastAsia="Arial" w:hAnsi="Arial"/>
                <w:sz w:val="18"/>
                <w:szCs w:val="18"/>
                <w:b w:val="1"/>
                <w:bCs w:val="1"/>
                <w:color w:val="0000EE"/>
              </w:rPr>
            </w:pPr>
            <w:hyperlink w:anchor="page113">
              <w:r>
                <w:rPr>
                  <w:rFonts w:ascii="Arial" w:cs="Arial" w:eastAsia="Arial" w:hAnsi="Arial"/>
                  <w:sz w:val="18"/>
                  <w:szCs w:val="18"/>
                  <w:b w:val="1"/>
                  <w:bCs w:val="1"/>
                  <w:color w:val="0000EE"/>
                </w:rPr>
                <w:t>110</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56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4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PART II</w:t>
              </w:r>
            </w:hyperlink>
          </w:p>
        </w:tc>
        <w:tc>
          <w:tcPr>
            <w:tcW w:w="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040" w:type="dxa"/>
            <w:vAlign w:val="bottom"/>
          </w:tcPr>
          <w:p>
            <w:pPr>
              <w:spacing w:after="0"/>
              <w:rPr>
                <w:sz w:val="15"/>
                <w:szCs w:val="15"/>
                <w:color w:val="auto"/>
              </w:rPr>
            </w:pPr>
          </w:p>
        </w:tc>
        <w:tc>
          <w:tcPr>
            <w:tcW w:w="2300" w:type="dxa"/>
            <w:vAlign w:val="bottom"/>
            <w:gridSpan w:val="3"/>
          </w:tcPr>
          <w:p>
            <w:pPr>
              <w:jc w:val="right"/>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111</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Item 13.</w:t>
              </w:r>
            </w:hyperlink>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Defaults, Dividend Arrearages and Delinquencies</w:t>
              </w:r>
            </w:hyperlink>
          </w:p>
        </w:tc>
        <w:tc>
          <w:tcPr>
            <w:tcW w:w="2300" w:type="dxa"/>
            <w:vAlign w:val="bottom"/>
            <w:gridSpan w:val="3"/>
          </w:tcPr>
          <w:p>
            <w:pPr>
              <w:jc w:val="right"/>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111</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56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4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Item 14.</w:t>
              </w:r>
            </w:hyperlink>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Material Modifications to the Rights of Security Holders and Use of Proceeds</w:t>
              </w:r>
            </w:hyperlink>
          </w:p>
        </w:tc>
        <w:tc>
          <w:tcPr>
            <w:tcW w:w="2300" w:type="dxa"/>
            <w:vAlign w:val="bottom"/>
            <w:gridSpan w:val="3"/>
          </w:tcPr>
          <w:p>
            <w:pPr>
              <w:jc w:val="right"/>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111</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56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4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900" w:type="dxa"/>
            <w:vAlign w:val="bottom"/>
            <w:tcBorders>
              <w:top w:val="single" w:sz="8" w:color="0000EE"/>
            </w:tcBorders>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Item 15.</w:t>
              </w:r>
            </w:hyperlink>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Controls and Procedures</w:t>
              </w:r>
            </w:hyperlink>
          </w:p>
        </w:tc>
        <w:tc>
          <w:tcPr>
            <w:tcW w:w="2300" w:type="dxa"/>
            <w:vAlign w:val="bottom"/>
            <w:gridSpan w:val="3"/>
          </w:tcPr>
          <w:p>
            <w:pPr>
              <w:jc w:val="right"/>
              <w:spacing w:after="0" w:line="176" w:lineRule="exact"/>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111</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b w:val="1"/>
                <w:bCs w:val="1"/>
                <w:color w:val="0000EE"/>
              </w:rPr>
            </w:pPr>
            <w:hyperlink w:anchor="page116">
              <w:r>
                <w:rPr>
                  <w:rFonts w:ascii="Arial" w:cs="Arial" w:eastAsia="Arial" w:hAnsi="Arial"/>
                  <w:sz w:val="18"/>
                  <w:szCs w:val="18"/>
                  <w:b w:val="1"/>
                  <w:bCs w:val="1"/>
                  <w:color w:val="0000EE"/>
                </w:rPr>
                <w:t>Item 16.</w:t>
              </w:r>
            </w:hyperlink>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6">
              <w:r>
                <w:rPr>
                  <w:rFonts w:ascii="Arial" w:cs="Arial" w:eastAsia="Arial" w:hAnsi="Arial"/>
                  <w:sz w:val="18"/>
                  <w:szCs w:val="18"/>
                  <w:b w:val="1"/>
                  <w:bCs w:val="1"/>
                  <w:color w:val="0000EE"/>
                </w:rPr>
                <w:t>[Reserved]</w:t>
              </w:r>
            </w:hyperlink>
          </w:p>
        </w:tc>
        <w:tc>
          <w:tcPr>
            <w:tcW w:w="2300" w:type="dxa"/>
            <w:vAlign w:val="bottom"/>
            <w:gridSpan w:val="3"/>
          </w:tcPr>
          <w:p>
            <w:pPr>
              <w:jc w:val="right"/>
              <w:spacing w:after="0" w:line="176" w:lineRule="exact"/>
              <w:rPr>
                <w:rFonts w:ascii="Arial" w:cs="Arial" w:eastAsia="Arial" w:hAnsi="Arial"/>
                <w:sz w:val="18"/>
                <w:szCs w:val="18"/>
                <w:b w:val="1"/>
                <w:bCs w:val="1"/>
                <w:color w:val="0000EE"/>
              </w:rPr>
            </w:pPr>
            <w:hyperlink w:anchor="page116">
              <w:r>
                <w:rPr>
                  <w:rFonts w:ascii="Arial" w:cs="Arial" w:eastAsia="Arial" w:hAnsi="Arial"/>
                  <w:sz w:val="18"/>
                  <w:szCs w:val="18"/>
                  <w:b w:val="1"/>
                  <w:bCs w:val="1"/>
                  <w:color w:val="0000EE"/>
                </w:rPr>
                <w:t>113</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720" w:type="dxa"/>
            <w:vAlign w:val="bottom"/>
            <w:gridSpan w:val="11"/>
            <w:shd w:val="clear" w:color="auto" w:fill="CCEEFF"/>
          </w:tcPr>
          <w:p>
            <w:pPr>
              <w:spacing w:after="0" w:line="176" w:lineRule="exact"/>
              <w:rPr>
                <w:rFonts w:ascii="Arial" w:cs="Arial" w:eastAsia="Arial" w:hAnsi="Arial"/>
                <w:sz w:val="18"/>
                <w:szCs w:val="18"/>
                <w:color w:val="0000EE"/>
                <w:w w:val="90"/>
              </w:rPr>
            </w:pPr>
            <w:hyperlink w:anchor="page116">
              <w:r>
                <w:rPr>
                  <w:rFonts w:ascii="Arial" w:cs="Arial" w:eastAsia="Arial" w:hAnsi="Arial"/>
                  <w:sz w:val="18"/>
                  <w:szCs w:val="18"/>
                  <w:color w:val="0000EE"/>
                  <w:w w:val="90"/>
                </w:rPr>
                <w:t>Item 16A.</w:t>
              </w:r>
            </w:hyperlink>
          </w:p>
        </w:tc>
        <w:tc>
          <w:tcPr>
            <w:tcW w:w="420" w:type="dxa"/>
            <w:vAlign w:val="bottom"/>
            <w:shd w:val="clear" w:color="auto" w:fill="CCEEFF"/>
          </w:tcPr>
          <w:p>
            <w:pPr>
              <w:spacing w:after="0"/>
              <w:rPr>
                <w:sz w:val="15"/>
                <w:szCs w:val="15"/>
                <w:color w:val="auto"/>
              </w:rPr>
            </w:pPr>
          </w:p>
        </w:tc>
        <w:tc>
          <w:tcPr>
            <w:tcW w:w="7960" w:type="dxa"/>
            <w:vAlign w:val="bottom"/>
            <w:gridSpan w:val="28"/>
            <w:shd w:val="clear" w:color="auto" w:fill="CCEEFF"/>
          </w:tcPr>
          <w:p>
            <w:pPr>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Audit and Compliance Committee Financial Expert</w:t>
              </w:r>
            </w:hyperlink>
          </w:p>
        </w:tc>
        <w:tc>
          <w:tcPr>
            <w:tcW w:w="230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113</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56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0000EE"/>
            </w:tcBorders>
            <w:shd w:val="clear" w:color="auto" w:fill="CCEEFF"/>
          </w:tcPr>
          <w:p>
            <w:pPr>
              <w:spacing w:after="0" w:line="20" w:lineRule="exact"/>
              <w:rPr>
                <w:sz w:val="1"/>
                <w:szCs w:val="1"/>
                <w:color w:val="auto"/>
              </w:rPr>
            </w:pPr>
          </w:p>
        </w:tc>
        <w:tc>
          <w:tcPr>
            <w:tcW w:w="44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720" w:type="dxa"/>
            <w:vAlign w:val="bottom"/>
            <w:gridSpan w:val="11"/>
          </w:tcPr>
          <w:p>
            <w:pPr>
              <w:spacing w:after="0" w:line="176" w:lineRule="exact"/>
              <w:rPr>
                <w:rFonts w:ascii="Arial" w:cs="Arial" w:eastAsia="Arial" w:hAnsi="Arial"/>
                <w:sz w:val="18"/>
                <w:szCs w:val="18"/>
                <w:color w:val="0000EE"/>
                <w:w w:val="90"/>
              </w:rPr>
            </w:pPr>
            <w:hyperlink w:anchor="page116">
              <w:r>
                <w:rPr>
                  <w:rFonts w:ascii="Arial" w:cs="Arial" w:eastAsia="Arial" w:hAnsi="Arial"/>
                  <w:sz w:val="18"/>
                  <w:szCs w:val="18"/>
                  <w:color w:val="0000EE"/>
                  <w:w w:val="90"/>
                </w:rPr>
                <w:t>Item 16B.</w:t>
              </w:r>
            </w:hyperlink>
          </w:p>
        </w:tc>
        <w:tc>
          <w:tcPr>
            <w:tcW w:w="420" w:type="dxa"/>
            <w:vAlign w:val="bottom"/>
          </w:tcPr>
          <w:p>
            <w:pPr>
              <w:spacing w:after="0"/>
              <w:rPr>
                <w:sz w:val="15"/>
                <w:szCs w:val="15"/>
                <w:color w:val="auto"/>
              </w:rPr>
            </w:pPr>
          </w:p>
        </w:tc>
        <w:tc>
          <w:tcPr>
            <w:tcW w:w="3700" w:type="dxa"/>
            <w:vAlign w:val="bottom"/>
            <w:gridSpan w:val="21"/>
          </w:tcPr>
          <w:p>
            <w:pPr>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Code of Ethics</w:t>
              </w:r>
            </w:hyperlink>
          </w:p>
        </w:tc>
        <w:tc>
          <w:tcPr>
            <w:tcW w:w="4260" w:type="dxa"/>
            <w:vAlign w:val="bottom"/>
            <w:gridSpan w:val="7"/>
          </w:tcPr>
          <w:p>
            <w:pPr>
              <w:spacing w:after="0"/>
              <w:rPr>
                <w:sz w:val="15"/>
                <w:szCs w:val="15"/>
                <w:color w:val="auto"/>
              </w:rPr>
            </w:pPr>
          </w:p>
        </w:tc>
        <w:tc>
          <w:tcPr>
            <w:tcW w:w="2300" w:type="dxa"/>
            <w:vAlign w:val="bottom"/>
            <w:gridSpan w:val="3"/>
          </w:tcPr>
          <w:p>
            <w:pPr>
              <w:jc w:val="right"/>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113</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shd w:val="clear" w:color="auto" w:fill="CCEEFF"/>
          </w:tcPr>
          <w:p>
            <w:pPr>
              <w:spacing w:after="0" w:line="176" w:lineRule="exact"/>
              <w:rPr>
                <w:rFonts w:ascii="Arial" w:cs="Arial" w:eastAsia="Arial" w:hAnsi="Arial"/>
                <w:sz w:val="18"/>
                <w:szCs w:val="18"/>
                <w:color w:val="0000EE"/>
              </w:rPr>
            </w:pPr>
            <w:hyperlink w:anchor="page117">
              <w:r>
                <w:rPr>
                  <w:rFonts w:ascii="Arial" w:cs="Arial" w:eastAsia="Arial" w:hAnsi="Arial"/>
                  <w:sz w:val="18"/>
                  <w:szCs w:val="18"/>
                  <w:color w:val="0000EE"/>
                </w:rPr>
                <w:t>Item 16C.</w:t>
              </w:r>
            </w:hyperlink>
          </w:p>
        </w:tc>
        <w:tc>
          <w:tcPr>
            <w:tcW w:w="7960" w:type="dxa"/>
            <w:vAlign w:val="bottom"/>
            <w:gridSpan w:val="28"/>
            <w:shd w:val="clear" w:color="auto" w:fill="CCEEFF"/>
          </w:tcPr>
          <w:p>
            <w:pPr>
              <w:spacing w:after="0" w:line="176" w:lineRule="exact"/>
              <w:rPr>
                <w:rFonts w:ascii="Arial" w:cs="Arial" w:eastAsia="Arial" w:hAnsi="Arial"/>
                <w:sz w:val="18"/>
                <w:szCs w:val="18"/>
                <w:color w:val="0000EE"/>
              </w:rPr>
            </w:pPr>
            <w:hyperlink w:anchor="page117">
              <w:r>
                <w:rPr>
                  <w:rFonts w:ascii="Arial" w:cs="Arial" w:eastAsia="Arial" w:hAnsi="Arial"/>
                  <w:sz w:val="18"/>
                  <w:szCs w:val="18"/>
                  <w:color w:val="0000EE"/>
                </w:rPr>
                <w:t>Principal Accountant Fees and Services</w:t>
              </w:r>
            </w:hyperlink>
          </w:p>
        </w:tc>
        <w:tc>
          <w:tcPr>
            <w:tcW w:w="230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117">
              <w:r>
                <w:rPr>
                  <w:rFonts w:ascii="Arial" w:cs="Arial" w:eastAsia="Arial" w:hAnsi="Arial"/>
                  <w:sz w:val="18"/>
                  <w:szCs w:val="18"/>
                  <w:color w:val="0000EE"/>
                </w:rPr>
                <w:t>114</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56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0000EE"/>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color w:val="0000EE"/>
              </w:rPr>
            </w:pPr>
            <w:hyperlink w:anchor="page117">
              <w:r>
                <w:rPr>
                  <w:rFonts w:ascii="Arial" w:cs="Arial" w:eastAsia="Arial" w:hAnsi="Arial"/>
                  <w:sz w:val="18"/>
                  <w:szCs w:val="18"/>
                  <w:color w:val="0000EE"/>
                </w:rPr>
                <w:t>Item 16D.</w:t>
              </w:r>
            </w:hyperlink>
          </w:p>
        </w:tc>
        <w:tc>
          <w:tcPr>
            <w:tcW w:w="7960" w:type="dxa"/>
            <w:vAlign w:val="bottom"/>
            <w:gridSpan w:val="28"/>
          </w:tcPr>
          <w:p>
            <w:pPr>
              <w:spacing w:after="0" w:line="176" w:lineRule="exact"/>
              <w:rPr>
                <w:rFonts w:ascii="Arial" w:cs="Arial" w:eastAsia="Arial" w:hAnsi="Arial"/>
                <w:sz w:val="18"/>
                <w:szCs w:val="18"/>
                <w:color w:val="0000EE"/>
              </w:rPr>
            </w:pPr>
            <w:hyperlink w:anchor="page117">
              <w:r>
                <w:rPr>
                  <w:rFonts w:ascii="Arial" w:cs="Arial" w:eastAsia="Arial" w:hAnsi="Arial"/>
                  <w:sz w:val="18"/>
                  <w:szCs w:val="18"/>
                  <w:color w:val="0000EE"/>
                </w:rPr>
                <w:t>Exemptions from the Listing Standards for Audit Committees</w:t>
              </w:r>
            </w:hyperlink>
          </w:p>
        </w:tc>
        <w:tc>
          <w:tcPr>
            <w:tcW w:w="2300" w:type="dxa"/>
            <w:vAlign w:val="bottom"/>
            <w:gridSpan w:val="3"/>
          </w:tcPr>
          <w:p>
            <w:pPr>
              <w:jc w:val="right"/>
              <w:spacing w:after="0" w:line="176" w:lineRule="exact"/>
              <w:rPr>
                <w:rFonts w:ascii="Arial" w:cs="Arial" w:eastAsia="Arial" w:hAnsi="Arial"/>
                <w:sz w:val="18"/>
                <w:szCs w:val="18"/>
                <w:color w:val="0000EE"/>
              </w:rPr>
            </w:pPr>
            <w:hyperlink w:anchor="page117">
              <w:r>
                <w:rPr>
                  <w:rFonts w:ascii="Arial" w:cs="Arial" w:eastAsia="Arial" w:hAnsi="Arial"/>
                  <w:sz w:val="18"/>
                  <w:szCs w:val="18"/>
                  <w:color w:val="0000EE"/>
                </w:rPr>
                <w:t>114</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56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4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700" w:type="dxa"/>
            <w:vAlign w:val="bottom"/>
            <w:gridSpan w:val="10"/>
            <w:shd w:val="clear" w:color="auto" w:fill="CCEEFF"/>
          </w:tcPr>
          <w:p>
            <w:pPr>
              <w:spacing w:after="0" w:line="176" w:lineRule="exact"/>
              <w:rPr>
                <w:rFonts w:ascii="Arial" w:cs="Arial" w:eastAsia="Arial" w:hAnsi="Arial"/>
                <w:sz w:val="18"/>
                <w:szCs w:val="18"/>
                <w:color w:val="0000EE"/>
                <w:w w:val="88"/>
              </w:rPr>
            </w:pPr>
            <w:hyperlink w:anchor="page117">
              <w:r>
                <w:rPr>
                  <w:rFonts w:ascii="Arial" w:cs="Arial" w:eastAsia="Arial" w:hAnsi="Arial"/>
                  <w:sz w:val="18"/>
                  <w:szCs w:val="18"/>
                  <w:color w:val="0000EE"/>
                  <w:w w:val="88"/>
                </w:rPr>
                <w:t>Item 16E.</w:t>
              </w:r>
            </w:hyperlink>
          </w:p>
        </w:tc>
        <w:tc>
          <w:tcPr>
            <w:tcW w:w="440" w:type="dxa"/>
            <w:vAlign w:val="bottom"/>
            <w:gridSpan w:val="2"/>
            <w:shd w:val="clear" w:color="auto" w:fill="CCEEFF"/>
          </w:tcPr>
          <w:p>
            <w:pPr>
              <w:spacing w:after="0"/>
              <w:rPr>
                <w:sz w:val="15"/>
                <w:szCs w:val="15"/>
                <w:color w:val="auto"/>
              </w:rPr>
            </w:pPr>
          </w:p>
        </w:tc>
        <w:tc>
          <w:tcPr>
            <w:tcW w:w="7960" w:type="dxa"/>
            <w:vAlign w:val="bottom"/>
            <w:gridSpan w:val="28"/>
            <w:shd w:val="clear" w:color="auto" w:fill="CCEEFF"/>
          </w:tcPr>
          <w:p>
            <w:pPr>
              <w:spacing w:after="0" w:line="176" w:lineRule="exact"/>
              <w:rPr>
                <w:rFonts w:ascii="Arial" w:cs="Arial" w:eastAsia="Arial" w:hAnsi="Arial"/>
                <w:sz w:val="18"/>
                <w:szCs w:val="18"/>
                <w:color w:val="0000EE"/>
              </w:rPr>
            </w:pPr>
            <w:hyperlink w:anchor="page117">
              <w:r>
                <w:rPr>
                  <w:rFonts w:ascii="Arial" w:cs="Arial" w:eastAsia="Arial" w:hAnsi="Arial"/>
                  <w:sz w:val="18"/>
                  <w:szCs w:val="18"/>
                  <w:color w:val="0000EE"/>
                </w:rPr>
                <w:t>Purchases of Equity Securities by the Issuer and Affiliated Purchasers</w:t>
              </w:r>
            </w:hyperlink>
          </w:p>
        </w:tc>
        <w:tc>
          <w:tcPr>
            <w:tcW w:w="230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117">
              <w:r>
                <w:rPr>
                  <w:rFonts w:ascii="Arial" w:cs="Arial" w:eastAsia="Arial" w:hAnsi="Arial"/>
                  <w:sz w:val="18"/>
                  <w:szCs w:val="18"/>
                  <w:color w:val="0000EE"/>
                </w:rPr>
                <w:t>114</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56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0000EE"/>
            </w:tcBorders>
            <w:shd w:val="clear" w:color="auto" w:fill="CCEEFF"/>
          </w:tcPr>
          <w:p>
            <w:pPr>
              <w:spacing w:after="0" w:line="20" w:lineRule="exact"/>
              <w:rPr>
                <w:sz w:val="1"/>
                <w:szCs w:val="1"/>
                <w:color w:val="auto"/>
              </w:rPr>
            </w:pPr>
          </w:p>
        </w:tc>
        <w:tc>
          <w:tcPr>
            <w:tcW w:w="44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20" w:type="dxa"/>
            <w:vAlign w:val="bottom"/>
            <w:tcBorders>
              <w:top w:val="single" w:sz="8" w:color="0000EE"/>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700" w:type="dxa"/>
            <w:vAlign w:val="bottom"/>
            <w:gridSpan w:val="10"/>
          </w:tcPr>
          <w:p>
            <w:pPr>
              <w:spacing w:after="0" w:line="176" w:lineRule="exact"/>
              <w:rPr>
                <w:rFonts w:ascii="Arial" w:cs="Arial" w:eastAsia="Arial" w:hAnsi="Arial"/>
                <w:sz w:val="18"/>
                <w:szCs w:val="18"/>
                <w:color w:val="0000EE"/>
                <w:w w:val="89"/>
              </w:rPr>
            </w:pPr>
            <w:hyperlink w:anchor="page117">
              <w:r>
                <w:rPr>
                  <w:rFonts w:ascii="Arial" w:cs="Arial" w:eastAsia="Arial" w:hAnsi="Arial"/>
                  <w:sz w:val="18"/>
                  <w:szCs w:val="18"/>
                  <w:color w:val="0000EE"/>
                  <w:w w:val="89"/>
                </w:rPr>
                <w:t>Item 16F.</w:t>
              </w:r>
            </w:hyperlink>
          </w:p>
        </w:tc>
        <w:tc>
          <w:tcPr>
            <w:tcW w:w="440" w:type="dxa"/>
            <w:vAlign w:val="bottom"/>
            <w:gridSpan w:val="2"/>
          </w:tcPr>
          <w:p>
            <w:pPr>
              <w:spacing w:after="0"/>
              <w:rPr>
                <w:sz w:val="15"/>
                <w:szCs w:val="15"/>
                <w:color w:val="auto"/>
              </w:rPr>
            </w:pPr>
          </w:p>
        </w:tc>
        <w:tc>
          <w:tcPr>
            <w:tcW w:w="5020" w:type="dxa"/>
            <w:vAlign w:val="bottom"/>
            <w:gridSpan w:val="26"/>
          </w:tcPr>
          <w:p>
            <w:pPr>
              <w:spacing w:after="0" w:line="176" w:lineRule="exact"/>
              <w:rPr>
                <w:rFonts w:ascii="Arial" w:cs="Arial" w:eastAsia="Arial" w:hAnsi="Arial"/>
                <w:sz w:val="18"/>
                <w:szCs w:val="18"/>
                <w:color w:val="0000EE"/>
              </w:rPr>
            </w:pPr>
            <w:hyperlink w:anchor="page117">
              <w:r>
                <w:rPr>
                  <w:rFonts w:ascii="Arial" w:cs="Arial" w:eastAsia="Arial" w:hAnsi="Arial"/>
                  <w:sz w:val="18"/>
                  <w:szCs w:val="18"/>
                  <w:color w:val="0000EE"/>
                </w:rPr>
                <w:t>Change in Registrant’s Certifying Accountant</w:t>
              </w:r>
            </w:hyperlink>
          </w:p>
        </w:tc>
        <w:tc>
          <w:tcPr>
            <w:tcW w:w="2940" w:type="dxa"/>
            <w:vAlign w:val="bottom"/>
            <w:gridSpan w:val="2"/>
          </w:tcPr>
          <w:p>
            <w:pPr>
              <w:spacing w:after="0"/>
              <w:rPr>
                <w:sz w:val="15"/>
                <w:szCs w:val="15"/>
                <w:color w:val="auto"/>
              </w:rPr>
            </w:pPr>
          </w:p>
        </w:tc>
        <w:tc>
          <w:tcPr>
            <w:tcW w:w="2300" w:type="dxa"/>
            <w:vAlign w:val="bottom"/>
            <w:gridSpan w:val="3"/>
          </w:tcPr>
          <w:p>
            <w:pPr>
              <w:jc w:val="right"/>
              <w:spacing w:after="0" w:line="176" w:lineRule="exact"/>
              <w:rPr>
                <w:rFonts w:ascii="Arial" w:cs="Arial" w:eastAsia="Arial" w:hAnsi="Arial"/>
                <w:sz w:val="18"/>
                <w:szCs w:val="18"/>
                <w:color w:val="0000EE"/>
              </w:rPr>
            </w:pPr>
            <w:hyperlink w:anchor="page117">
              <w:r>
                <w:rPr>
                  <w:rFonts w:ascii="Arial" w:cs="Arial" w:eastAsia="Arial" w:hAnsi="Arial"/>
                  <w:sz w:val="18"/>
                  <w:szCs w:val="18"/>
                  <w:color w:val="0000EE"/>
                </w:rPr>
                <w:t>114</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56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40" w:type="dxa"/>
            <w:vAlign w:val="bottom"/>
            <w:tcBorders>
              <w:top w:val="single" w:sz="8" w:color="0000EE"/>
            </w:tcBorders>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720" w:type="dxa"/>
            <w:vAlign w:val="bottom"/>
            <w:gridSpan w:val="11"/>
            <w:shd w:val="clear" w:color="auto" w:fill="CCEEFF"/>
          </w:tcPr>
          <w:p>
            <w:pPr>
              <w:spacing w:after="0" w:line="176" w:lineRule="exact"/>
              <w:rPr>
                <w:rFonts w:ascii="Arial" w:cs="Arial" w:eastAsia="Arial" w:hAnsi="Arial"/>
                <w:sz w:val="18"/>
                <w:szCs w:val="18"/>
                <w:color w:val="0000EE"/>
                <w:w w:val="88"/>
              </w:rPr>
            </w:pPr>
            <w:hyperlink w:anchor="page118">
              <w:r>
                <w:rPr>
                  <w:rFonts w:ascii="Arial" w:cs="Arial" w:eastAsia="Arial" w:hAnsi="Arial"/>
                  <w:sz w:val="18"/>
                  <w:szCs w:val="18"/>
                  <w:color w:val="0000EE"/>
                  <w:w w:val="88"/>
                </w:rPr>
                <w:t>Item 16G.</w:t>
              </w:r>
            </w:hyperlink>
          </w:p>
        </w:tc>
        <w:tc>
          <w:tcPr>
            <w:tcW w:w="420" w:type="dxa"/>
            <w:vAlign w:val="bottom"/>
            <w:shd w:val="clear" w:color="auto" w:fill="CCEEFF"/>
          </w:tcPr>
          <w:p>
            <w:pPr>
              <w:spacing w:after="0"/>
              <w:rPr>
                <w:sz w:val="15"/>
                <w:szCs w:val="15"/>
                <w:color w:val="auto"/>
              </w:rPr>
            </w:pPr>
          </w:p>
        </w:tc>
        <w:tc>
          <w:tcPr>
            <w:tcW w:w="1640" w:type="dxa"/>
            <w:vAlign w:val="bottom"/>
            <w:gridSpan w:val="14"/>
            <w:shd w:val="clear" w:color="auto" w:fill="CCEEFF"/>
          </w:tcPr>
          <w:p>
            <w:pPr>
              <w:spacing w:after="0" w:line="176" w:lineRule="exact"/>
              <w:rPr>
                <w:rFonts w:ascii="Arial" w:cs="Arial" w:eastAsia="Arial" w:hAnsi="Arial"/>
                <w:sz w:val="18"/>
                <w:szCs w:val="18"/>
                <w:color w:val="0000EE"/>
                <w:w w:val="88"/>
              </w:rPr>
            </w:pPr>
            <w:hyperlink w:anchor="page118">
              <w:r>
                <w:rPr>
                  <w:rFonts w:ascii="Arial" w:cs="Arial" w:eastAsia="Arial" w:hAnsi="Arial"/>
                  <w:sz w:val="18"/>
                  <w:szCs w:val="18"/>
                  <w:color w:val="0000EE"/>
                  <w:w w:val="88"/>
                </w:rPr>
                <w:t>Corporate Governance</w:t>
              </w:r>
            </w:hyperlink>
          </w:p>
        </w:tc>
        <w:tc>
          <w:tcPr>
            <w:tcW w:w="6320" w:type="dxa"/>
            <w:vAlign w:val="bottom"/>
            <w:gridSpan w:val="14"/>
            <w:shd w:val="clear" w:color="auto" w:fill="CCEEFF"/>
          </w:tcPr>
          <w:p>
            <w:pPr>
              <w:spacing w:after="0"/>
              <w:rPr>
                <w:sz w:val="15"/>
                <w:szCs w:val="15"/>
                <w:color w:val="auto"/>
              </w:rPr>
            </w:pPr>
          </w:p>
        </w:tc>
        <w:tc>
          <w:tcPr>
            <w:tcW w:w="2300" w:type="dxa"/>
            <w:vAlign w:val="bottom"/>
            <w:gridSpan w:val="3"/>
            <w:shd w:val="clear" w:color="auto" w:fill="CCEEFF"/>
          </w:tcPr>
          <w:p>
            <w:pPr>
              <w:jc w:val="right"/>
              <w:spacing w:after="0" w:line="176" w:lineRule="exact"/>
              <w:rPr>
                <w:rFonts w:ascii="Arial" w:cs="Arial" w:eastAsia="Arial" w:hAnsi="Arial"/>
                <w:sz w:val="18"/>
                <w:szCs w:val="18"/>
                <w:color w:val="0000EE"/>
              </w:rPr>
            </w:pPr>
            <w:hyperlink w:anchor="page118">
              <w:r>
                <w:rPr>
                  <w:rFonts w:ascii="Arial" w:cs="Arial" w:eastAsia="Arial" w:hAnsi="Arial"/>
                  <w:sz w:val="18"/>
                  <w:szCs w:val="18"/>
                  <w:color w:val="0000EE"/>
                </w:rPr>
                <w:t>115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56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720" w:type="dxa"/>
            <w:vAlign w:val="bottom"/>
            <w:gridSpan w:val="11"/>
          </w:tcPr>
          <w:p>
            <w:pPr>
              <w:spacing w:after="0" w:line="176" w:lineRule="exact"/>
              <w:rPr>
                <w:rFonts w:ascii="Arial" w:cs="Arial" w:eastAsia="Arial" w:hAnsi="Arial"/>
                <w:sz w:val="18"/>
                <w:szCs w:val="18"/>
                <w:color w:val="0000EE"/>
                <w:w w:val="89"/>
              </w:rPr>
            </w:pPr>
            <w:hyperlink w:anchor="page118">
              <w:r>
                <w:rPr>
                  <w:rFonts w:ascii="Arial" w:cs="Arial" w:eastAsia="Arial" w:hAnsi="Arial"/>
                  <w:sz w:val="18"/>
                  <w:szCs w:val="18"/>
                  <w:color w:val="0000EE"/>
                  <w:w w:val="89"/>
                </w:rPr>
                <w:t>Item 16H.</w:t>
              </w:r>
            </w:hyperlink>
          </w:p>
        </w:tc>
        <w:tc>
          <w:tcPr>
            <w:tcW w:w="420" w:type="dxa"/>
            <w:vAlign w:val="bottom"/>
          </w:tcPr>
          <w:p>
            <w:pPr>
              <w:spacing w:after="0"/>
              <w:rPr>
                <w:sz w:val="15"/>
                <w:szCs w:val="15"/>
                <w:color w:val="auto"/>
              </w:rPr>
            </w:pPr>
          </w:p>
        </w:tc>
        <w:tc>
          <w:tcPr>
            <w:tcW w:w="7960" w:type="dxa"/>
            <w:vAlign w:val="bottom"/>
            <w:gridSpan w:val="28"/>
          </w:tcPr>
          <w:p>
            <w:pPr>
              <w:spacing w:after="0" w:line="176" w:lineRule="exact"/>
              <w:rPr>
                <w:rFonts w:ascii="Arial" w:cs="Arial" w:eastAsia="Arial" w:hAnsi="Arial"/>
                <w:sz w:val="18"/>
                <w:szCs w:val="18"/>
                <w:color w:val="0000EE"/>
              </w:rPr>
            </w:pPr>
            <w:hyperlink w:anchor="page118">
              <w:r>
                <w:rPr>
                  <w:rFonts w:ascii="Arial" w:cs="Arial" w:eastAsia="Arial" w:hAnsi="Arial"/>
                  <w:sz w:val="18"/>
                  <w:szCs w:val="18"/>
                  <w:color w:val="0000EE"/>
                </w:rPr>
                <w:t>Mine Safety Disclosure</w:t>
              </w:r>
            </w:hyperlink>
          </w:p>
        </w:tc>
        <w:tc>
          <w:tcPr>
            <w:tcW w:w="2300" w:type="dxa"/>
            <w:vAlign w:val="bottom"/>
            <w:gridSpan w:val="3"/>
          </w:tcPr>
          <w:p>
            <w:pPr>
              <w:jc w:val="right"/>
              <w:spacing w:after="0" w:line="176" w:lineRule="exact"/>
              <w:rPr>
                <w:rFonts w:ascii="Arial" w:cs="Arial" w:eastAsia="Arial" w:hAnsi="Arial"/>
                <w:sz w:val="18"/>
                <w:szCs w:val="18"/>
                <w:color w:val="0000EE"/>
              </w:rPr>
            </w:pPr>
            <w:hyperlink w:anchor="page118">
              <w:r>
                <w:rPr>
                  <w:rFonts w:ascii="Arial" w:cs="Arial" w:eastAsia="Arial" w:hAnsi="Arial"/>
                  <w:sz w:val="18"/>
                  <w:szCs w:val="18"/>
                  <w:color w:val="0000EE"/>
                </w:rPr>
                <w:t>115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b w:val="1"/>
                <w:bCs w:val="1"/>
                <w:color w:val="0000EE"/>
              </w:rPr>
            </w:pPr>
            <w:hyperlink w:anchor="page119">
              <w:r>
                <w:rPr>
                  <w:rFonts w:ascii="Arial" w:cs="Arial" w:eastAsia="Arial" w:hAnsi="Arial"/>
                  <w:sz w:val="18"/>
                  <w:szCs w:val="18"/>
                  <w:b w:val="1"/>
                  <w:bCs w:val="1"/>
                  <w:color w:val="0000EE"/>
                </w:rPr>
                <w:t>PART III</w:t>
              </w:r>
            </w:hyperlink>
          </w:p>
        </w:tc>
        <w:tc>
          <w:tcPr>
            <w:tcW w:w="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040" w:type="dxa"/>
            <w:vAlign w:val="bottom"/>
          </w:tcPr>
          <w:p>
            <w:pPr>
              <w:spacing w:after="0"/>
              <w:rPr>
                <w:sz w:val="15"/>
                <w:szCs w:val="15"/>
                <w:color w:val="auto"/>
              </w:rPr>
            </w:pPr>
          </w:p>
        </w:tc>
        <w:tc>
          <w:tcPr>
            <w:tcW w:w="2300" w:type="dxa"/>
            <w:vAlign w:val="bottom"/>
            <w:gridSpan w:val="3"/>
          </w:tcPr>
          <w:p>
            <w:pPr>
              <w:jc w:val="right"/>
              <w:spacing w:after="0" w:line="176" w:lineRule="exact"/>
              <w:rPr>
                <w:rFonts w:ascii="Arial" w:cs="Arial" w:eastAsia="Arial" w:hAnsi="Arial"/>
                <w:sz w:val="18"/>
                <w:szCs w:val="18"/>
                <w:b w:val="1"/>
                <w:bCs w:val="1"/>
                <w:color w:val="0000EE"/>
              </w:rPr>
            </w:pPr>
            <w:hyperlink w:anchor="page119">
              <w:r>
                <w:rPr>
                  <w:rFonts w:ascii="Arial" w:cs="Arial" w:eastAsia="Arial" w:hAnsi="Arial"/>
                  <w:sz w:val="18"/>
                  <w:szCs w:val="18"/>
                  <w:b w:val="1"/>
                  <w:bCs w:val="1"/>
                  <w:color w:val="0000EE"/>
                </w:rPr>
                <w:t>116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b w:val="1"/>
                <w:bCs w:val="1"/>
                <w:color w:val="0000EE"/>
              </w:rPr>
            </w:pPr>
            <w:hyperlink w:anchor="page119">
              <w:r>
                <w:rPr>
                  <w:rFonts w:ascii="Arial" w:cs="Arial" w:eastAsia="Arial" w:hAnsi="Arial"/>
                  <w:sz w:val="18"/>
                  <w:szCs w:val="18"/>
                  <w:b w:val="1"/>
                  <w:bCs w:val="1"/>
                  <w:color w:val="0000EE"/>
                </w:rPr>
                <w:t>Item 17.</w:t>
              </w:r>
            </w:hyperlink>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9">
              <w:r>
                <w:rPr>
                  <w:rFonts w:ascii="Arial" w:cs="Arial" w:eastAsia="Arial" w:hAnsi="Arial"/>
                  <w:sz w:val="18"/>
                  <w:szCs w:val="18"/>
                  <w:b w:val="1"/>
                  <w:bCs w:val="1"/>
                  <w:color w:val="0000EE"/>
                </w:rPr>
                <w:t>Financial Statements</w:t>
              </w:r>
            </w:hyperlink>
          </w:p>
        </w:tc>
        <w:tc>
          <w:tcPr>
            <w:tcW w:w="2300" w:type="dxa"/>
            <w:vAlign w:val="bottom"/>
            <w:gridSpan w:val="3"/>
          </w:tcPr>
          <w:p>
            <w:pPr>
              <w:jc w:val="right"/>
              <w:spacing w:after="0" w:line="176" w:lineRule="exact"/>
              <w:rPr>
                <w:rFonts w:ascii="Arial" w:cs="Arial" w:eastAsia="Arial" w:hAnsi="Arial"/>
                <w:sz w:val="18"/>
                <w:szCs w:val="18"/>
                <w:b w:val="1"/>
                <w:bCs w:val="1"/>
                <w:color w:val="0000EE"/>
              </w:rPr>
            </w:pPr>
            <w:hyperlink w:anchor="page119">
              <w:r>
                <w:rPr>
                  <w:rFonts w:ascii="Arial" w:cs="Arial" w:eastAsia="Arial" w:hAnsi="Arial"/>
                  <w:sz w:val="18"/>
                  <w:szCs w:val="18"/>
                  <w:b w:val="1"/>
                  <w:bCs w:val="1"/>
                  <w:color w:val="0000EE"/>
                </w:rPr>
                <w:t>116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12"/>
          </w:tcPr>
          <w:p>
            <w:pPr>
              <w:spacing w:after="0" w:line="176" w:lineRule="exact"/>
              <w:rPr>
                <w:rFonts w:ascii="Arial" w:cs="Arial" w:eastAsia="Arial" w:hAnsi="Arial"/>
                <w:sz w:val="18"/>
                <w:szCs w:val="18"/>
                <w:b w:val="1"/>
                <w:bCs w:val="1"/>
                <w:color w:val="0000EE"/>
              </w:rPr>
            </w:pPr>
            <w:hyperlink w:anchor="page119">
              <w:r>
                <w:rPr>
                  <w:rFonts w:ascii="Arial" w:cs="Arial" w:eastAsia="Arial" w:hAnsi="Arial"/>
                  <w:sz w:val="18"/>
                  <w:szCs w:val="18"/>
                  <w:b w:val="1"/>
                  <w:bCs w:val="1"/>
                  <w:color w:val="0000EE"/>
                </w:rPr>
                <w:t>Item 18.</w:t>
              </w:r>
            </w:hyperlink>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9">
              <w:r>
                <w:rPr>
                  <w:rFonts w:ascii="Arial" w:cs="Arial" w:eastAsia="Arial" w:hAnsi="Arial"/>
                  <w:sz w:val="18"/>
                  <w:szCs w:val="18"/>
                  <w:b w:val="1"/>
                  <w:bCs w:val="1"/>
                  <w:color w:val="0000EE"/>
                </w:rPr>
                <w:t>Financial Statements</w:t>
              </w:r>
            </w:hyperlink>
          </w:p>
        </w:tc>
        <w:tc>
          <w:tcPr>
            <w:tcW w:w="2300" w:type="dxa"/>
            <w:vAlign w:val="bottom"/>
            <w:gridSpan w:val="3"/>
          </w:tcPr>
          <w:p>
            <w:pPr>
              <w:jc w:val="right"/>
              <w:spacing w:after="0" w:line="176" w:lineRule="exact"/>
              <w:rPr>
                <w:rFonts w:ascii="Arial" w:cs="Arial" w:eastAsia="Arial" w:hAnsi="Arial"/>
                <w:sz w:val="18"/>
                <w:szCs w:val="18"/>
                <w:b w:val="1"/>
                <w:bCs w:val="1"/>
                <w:color w:val="0000EE"/>
              </w:rPr>
            </w:pPr>
            <w:hyperlink w:anchor="page119">
              <w:r>
                <w:rPr>
                  <w:rFonts w:ascii="Arial" w:cs="Arial" w:eastAsia="Arial" w:hAnsi="Arial"/>
                  <w:sz w:val="18"/>
                  <w:szCs w:val="18"/>
                  <w:b w:val="1"/>
                  <w:bCs w:val="1"/>
                  <w:color w:val="0000EE"/>
                </w:rPr>
                <w:t>116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620" w:type="dxa"/>
            <w:vAlign w:val="bottom"/>
            <w:tcBorders>
              <w:bottom w:val="single" w:sz="8" w:color="0000EE"/>
            </w:tcBorders>
            <w:gridSpan w:val="7"/>
          </w:tcPr>
          <w:p>
            <w:pPr>
              <w:spacing w:after="0" w:line="176" w:lineRule="exact"/>
              <w:rPr>
                <w:rFonts w:ascii="Arial" w:cs="Arial" w:eastAsia="Arial" w:hAnsi="Arial"/>
                <w:sz w:val="18"/>
                <w:szCs w:val="18"/>
                <w:b w:val="1"/>
                <w:bCs w:val="1"/>
                <w:color w:val="0000EE"/>
                <w:w w:val="89"/>
              </w:rPr>
            </w:pPr>
            <w:hyperlink w:anchor="page120">
              <w:r>
                <w:rPr>
                  <w:rFonts w:ascii="Arial" w:cs="Arial" w:eastAsia="Arial" w:hAnsi="Arial"/>
                  <w:sz w:val="18"/>
                  <w:szCs w:val="18"/>
                  <w:b w:val="1"/>
                  <w:bCs w:val="1"/>
                  <w:color w:val="0000EE"/>
                  <w:w w:val="89"/>
                </w:rPr>
                <w:t>Item 19.</w:t>
              </w:r>
            </w:hyperlink>
          </w:p>
        </w:tc>
        <w:tc>
          <w:tcPr>
            <w:tcW w:w="520" w:type="dxa"/>
            <w:vAlign w:val="bottom"/>
            <w:gridSpan w:val="5"/>
          </w:tcPr>
          <w:p>
            <w:pPr>
              <w:spacing w:after="0"/>
              <w:rPr>
                <w:sz w:val="15"/>
                <w:szCs w:val="15"/>
                <w:color w:val="auto"/>
              </w:rPr>
            </w:pPr>
          </w:p>
        </w:tc>
        <w:tc>
          <w:tcPr>
            <w:tcW w:w="640" w:type="dxa"/>
            <w:vAlign w:val="bottom"/>
            <w:tcBorders>
              <w:bottom w:val="single" w:sz="8" w:color="0000EE"/>
            </w:tcBorders>
            <w:gridSpan w:val="3"/>
          </w:tcPr>
          <w:p>
            <w:pPr>
              <w:spacing w:after="0" w:line="176" w:lineRule="exact"/>
              <w:rPr>
                <w:rFonts w:ascii="Arial" w:cs="Arial" w:eastAsia="Arial" w:hAnsi="Arial"/>
                <w:sz w:val="18"/>
                <w:szCs w:val="18"/>
                <w:b w:val="1"/>
                <w:bCs w:val="1"/>
                <w:color w:val="0000EE"/>
                <w:w w:val="88"/>
              </w:rPr>
            </w:pPr>
            <w:hyperlink w:anchor="page120">
              <w:r>
                <w:rPr>
                  <w:rFonts w:ascii="Arial" w:cs="Arial" w:eastAsia="Arial" w:hAnsi="Arial"/>
                  <w:sz w:val="18"/>
                  <w:szCs w:val="18"/>
                  <w:b w:val="1"/>
                  <w:bCs w:val="1"/>
                  <w:color w:val="0000EE"/>
                  <w:w w:val="88"/>
                </w:rPr>
                <w:t>Exhibits</w:t>
              </w:r>
            </w:hyperlink>
          </w:p>
        </w:tc>
        <w:tc>
          <w:tcPr>
            <w:tcW w:w="7320" w:type="dxa"/>
            <w:vAlign w:val="bottom"/>
            <w:gridSpan w:val="25"/>
          </w:tcPr>
          <w:p>
            <w:pPr>
              <w:spacing w:after="0"/>
              <w:rPr>
                <w:sz w:val="15"/>
                <w:szCs w:val="15"/>
                <w:color w:val="auto"/>
              </w:rPr>
            </w:pPr>
          </w:p>
        </w:tc>
        <w:tc>
          <w:tcPr>
            <w:tcW w:w="2040" w:type="dxa"/>
            <w:vAlign w:val="bottom"/>
          </w:tcPr>
          <w:p>
            <w:pPr>
              <w:spacing w:after="0"/>
              <w:rPr>
                <w:sz w:val="15"/>
                <w:szCs w:val="15"/>
                <w:color w:val="auto"/>
              </w:rPr>
            </w:pPr>
          </w:p>
        </w:tc>
        <w:tc>
          <w:tcPr>
            <w:tcW w:w="260" w:type="dxa"/>
            <w:vAlign w:val="bottom"/>
            <w:tcBorders>
              <w:bottom w:val="single" w:sz="8" w:color="0000EE"/>
            </w:tcBorders>
            <w:gridSpan w:val="2"/>
          </w:tcPr>
          <w:p>
            <w:pPr>
              <w:jc w:val="right"/>
              <w:spacing w:after="0" w:line="176" w:lineRule="exact"/>
              <w:rPr>
                <w:rFonts w:ascii="Arial" w:cs="Arial" w:eastAsia="Arial" w:hAnsi="Arial"/>
                <w:sz w:val="18"/>
                <w:szCs w:val="18"/>
                <w:b w:val="1"/>
                <w:bCs w:val="1"/>
                <w:color w:val="0000EE"/>
                <w:w w:val="79"/>
              </w:rPr>
            </w:pPr>
            <w:hyperlink w:anchor="page120">
              <w:r>
                <w:rPr>
                  <w:rFonts w:ascii="Arial" w:cs="Arial" w:eastAsia="Arial" w:hAnsi="Arial"/>
                  <w:sz w:val="18"/>
                  <w:szCs w:val="18"/>
                  <w:b w:val="1"/>
                  <w:bCs w:val="1"/>
                  <w:color w:val="0000EE"/>
                  <w:w w:val="79"/>
                </w:rPr>
                <w:t>117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669"/>
        </w:trPr>
        <w:tc>
          <w:tcPr>
            <w:tcW w:w="2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5020" w:type="dxa"/>
            <w:vAlign w:val="bottom"/>
            <w:tcBorders>
              <w:bottom w:val="single" w:sz="8" w:color="auto"/>
            </w:tcBorders>
            <w:gridSpan w:val="26"/>
          </w:tcPr>
          <w:p>
            <w:pPr>
              <w:ind w:left="4520"/>
              <w:spacing w:after="0"/>
              <w:rPr>
                <w:sz w:val="20"/>
                <w:szCs w:val="20"/>
                <w:color w:val="auto"/>
              </w:rPr>
            </w:pPr>
            <w:r>
              <w:rPr>
                <w:rFonts w:ascii="Arial" w:cs="Arial" w:eastAsia="Arial" w:hAnsi="Arial"/>
                <w:sz w:val="18"/>
                <w:szCs w:val="18"/>
                <w:color w:val="auto"/>
              </w:rPr>
              <w:t>2</w:t>
            </w:r>
          </w:p>
        </w:tc>
        <w:tc>
          <w:tcPr>
            <w:tcW w:w="90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91" w:right="239" w:bottom="1440" w:gutter="0" w:footer="0" w:header="0"/>
        </w:sectPr>
      </w:pPr>
    </w:p>
    <w:bookmarkStart w:id="4" w:name="page5"/>
    <w:bookmarkEnd w:id="4"/>
    <w:p>
      <w:pPr>
        <w:jc w:val="both"/>
        <w:spacing w:after="0" w:line="270" w:lineRule="auto"/>
        <w:rPr>
          <w:sz w:val="20"/>
          <w:szCs w:val="20"/>
          <w:color w:val="auto"/>
        </w:rPr>
      </w:pPr>
      <w:r>
        <w:rPr>
          <w:rFonts w:ascii="Arial" w:cs="Arial" w:eastAsia="Arial" w:hAnsi="Arial"/>
          <w:sz w:val="17"/>
          <w:szCs w:val="17"/>
          <w:color w:val="auto"/>
        </w:rPr>
        <w:t>In this Annual Report on Form 20-F, or this Annual Report, references to the “Bank” or “Bladex” are to Banco Latinoamericano de Comercio Exterior, S.A., a specialized multinational bank incorporated under the laws of the Republic of Panama (“Panama”), and its consolidated subsidiaries described in Item 4.A “Information on the Company – History and Development of the Company”. References to Bladex’s consolidated financial statements (the “Consolidated Financial Statements”) are to the financial statements of Banco Lationoamericano de Comercio Exterior, S.A., and its subsidiaries, with all intercompany balances and transactions having been eliminated for consolidating purposes. References to “Bladex Head Office” are to Banco Latinoamericano de Comercio Exterior, S.A. in its individual capacity. References to “U.S. dollars” or “$” are to United States (“U.S.”) dollars. References to the “Region” are to Latin America and the Caribbean. The Bank accepts deposits and raises funds principally in U.S. dollars, grants loans mostly in U.S. dollars and publishes its Consolidated Financial Statements in U.S. dollars. The numbers and percentages set forth in this Annual Report have been rounded and, accordingly, may not total exactly.</w:t>
      </w:r>
    </w:p>
    <w:p>
      <w:pPr>
        <w:spacing w:after="0" w:line="18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Mrs. Ana Graciela de Méndez, Chief Financial Officer, Bladex, as follows: (1) if by regular mail, to P.O. Box 0819-08730, Panama City, Republic of Panama, and (2) if by courier, to Torre V, Business Park, Avenida La Rotonda, Urb. Costa del Este, Panama City, Republic of Panama. Telephone requests may be directed to Mrs. de Méndez at +507 210-8563. Written requests may also be sent via e-mail to Mrs. de Méndez at amendez@bladex.com.</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Forward-Looking Statements</w:t>
      </w:r>
    </w:p>
    <w:p>
      <w:pPr>
        <w:spacing w:after="0" w:line="225"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In addition to historical information, this Annual Report contains “forward-looking statements” within the meaning of the Private Securities Litigation Reform Act of 1995, Section 27A of the Securities Act of 1933, as amended (the “Securities Act”), and Section 21E of the Securities Exchange Act of 1934, as amended (the “Exchange Act”). Forward-looking statements may appear throughout this Annual Report. The Bank uses words such as “believe,” “intend,” “expect,” “anticipate,” “plan,” “may,” “will,” “should,” “estimate,” “potential,” “project” and similar expressions to identify forward-looking statements. Such statements include, among others, those concerning the Bank’s expected financial performance and strategic and operational plans, as well as all assumptions, expectations, predictions, intentions or beliefs about future events. Forward-looking statements involve risks and uncertainties, and actual results may differ materially from those discussed in any such statement. Factors that could cause actual results to differ materially from these forward-looking statements include the risks described in the section titled “Risk Factors.” Forward-looking statements include statements regarding:</w:t>
      </w:r>
    </w:p>
    <w:p>
      <w:pPr>
        <w:spacing w:after="0" w:line="166" w:lineRule="exact"/>
        <w:rPr>
          <w:sz w:val="20"/>
          <w:szCs w:val="20"/>
          <w:color w:val="auto"/>
        </w:rPr>
      </w:pPr>
    </w:p>
    <w:p>
      <w:pPr>
        <w:ind w:left="340" w:hanging="251"/>
        <w:spacing w:after="0" w:line="258" w:lineRule="auto"/>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general economic, political and business conditions in North America, Central America, South America and the jurisdictions in which the Bank or its customers operate;</w:t>
      </w:r>
    </w:p>
    <w:p>
      <w:pPr>
        <w:spacing w:after="0" w:line="1"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growth of the Bank’s Credit Portfolio, including its trade finance portfolio;</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ability to increase the number of its clients;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ability to maintain its investment-grade credit ratings and preferred creditor status;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6"/>
          <w:szCs w:val="16"/>
          <w:color w:val="auto"/>
        </w:rPr>
      </w:pPr>
      <w:r>
        <w:rPr>
          <w:rFonts w:ascii="Arial" w:cs="Arial" w:eastAsia="Arial" w:hAnsi="Arial"/>
          <w:sz w:val="16"/>
          <w:szCs w:val="16"/>
          <w:color w:val="auto"/>
        </w:rPr>
        <w:t>the effects of changing interest rates, inflation, exchange rates and the macroeconomic environment in the Region on the Bank’s financial condition;</w:t>
      </w:r>
    </w:p>
    <w:p>
      <w:pPr>
        <w:spacing w:after="0" w:line="32" w:lineRule="exact"/>
        <w:rPr>
          <w:rFonts w:ascii="Arial" w:cs="Arial" w:eastAsia="Arial" w:hAnsi="Arial"/>
          <w:sz w:val="16"/>
          <w:szCs w:val="16"/>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execution of the Bank’s strategies and initiatives, including its revenue diversification strategy;</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anticipated profits and return on equity in future periods;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level of capitalization and debt;</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implied volatility of the Bank’s Treasury profits;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levels of defaults by borrowers and the adequacy of the Bank’s allowance for expected credit losses (“ECL”);</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availability and mix of future sources of funding for the Bank’s lending operations;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adequacy of the Bank’s sources of liquidity to cover large deposit withdrawals;</w:t>
      </w: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 w:name="page6"/>
    <w:bookmarkEnd w:id="5"/>
    <w:p>
      <w:pPr>
        <w:ind w:left="340" w:hanging="251"/>
        <w:spacing w:after="0" w:line="258"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management’s expectations and estimates concerning the Bank’s future financial performance, financing, plans and programs, and the effects of competition;</w:t>
      </w:r>
    </w:p>
    <w:p>
      <w:pPr>
        <w:spacing w:after="0" w:line="1"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government regulations and tax laws and changes therein;</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increases in compulsory reserve and deposit requirements;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effectiveness of the Bank’s risk management policies;</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failure in, or breach of, our operational or security systems or infrastructure;</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regulation of the Bank’s business and operations on a consolidated basis;</w:t>
      </w:r>
    </w:p>
    <w:p>
      <w:pPr>
        <w:spacing w:after="0" w:line="9" w:lineRule="exact"/>
        <w:rPr>
          <w:rFonts w:ascii="Arial" w:cs="Arial" w:eastAsia="Arial" w:hAnsi="Arial"/>
          <w:sz w:val="18"/>
          <w:szCs w:val="18"/>
          <w:color w:val="auto"/>
        </w:rPr>
      </w:pPr>
    </w:p>
    <w:p>
      <w:pPr>
        <w:jc w:val="both"/>
        <w:ind w:left="340" w:hanging="251"/>
        <w:spacing w:after="0" w:line="250"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effects of possible changes in economic or financial sanctions, requirements, or trade embargoes, changes in international trade, tariffs, restrictions or policies, such as those imposed or implemented by the current administration in the United States of America (“United States” or “USA” or “U.S.”), or as a result of the United Kingdom’s (“U.K.”) exit from the European Union (“Brexit”);</w:t>
      </w:r>
    </w:p>
    <w:p>
      <w:pPr>
        <w:spacing w:after="0" w:line="1"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credit and other risks of lending and investment activities; and</w:t>
      </w:r>
    </w:p>
    <w:p>
      <w:pPr>
        <w:spacing w:after="0" w:line="9" w:lineRule="exact"/>
        <w:rPr>
          <w:rFonts w:ascii="Arial" w:cs="Arial" w:eastAsia="Arial" w:hAnsi="Arial"/>
          <w:sz w:val="18"/>
          <w:szCs w:val="18"/>
          <w:color w:val="auto"/>
        </w:rPr>
      </w:pPr>
    </w:p>
    <w:p>
      <w:pPr>
        <w:ind w:left="340" w:hanging="251"/>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ability to sustain or improve its operating performance.</w:t>
      </w:r>
    </w:p>
    <w:p>
      <w:pPr>
        <w:spacing w:after="0" w:line="21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In addition, the statements included under the headings “Item 4.B. Business Overview—Strategies for 2018 and Subsequent Years” and “Item 5.D. Trend Information” are forward-looking statements. Given the risks and uncertainties surrounding forward-looking statements, undue reliance should not be placed on these statements. Many of these factors are beyond the Bank’s ability to control or predict. The Bank’s forward-looking statements speak only as of the date of this Annual Report. Other than as required by law, the Bank undertakes no obligation to update or revise forward-looking statements, whether as a result of new information, future events, or otherwise.</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 w:name="page7"/>
    <w:bookmarkEnd w:id="6"/>
    <w:p>
      <w:pPr>
        <w:ind w:left="5420"/>
        <w:spacing w:after="0"/>
        <w:rPr>
          <w:sz w:val="20"/>
          <w:szCs w:val="20"/>
          <w:color w:val="auto"/>
        </w:rPr>
      </w:pPr>
      <w:r>
        <w:rPr>
          <w:rFonts w:ascii="Arial" w:cs="Arial" w:eastAsia="Arial" w:hAnsi="Arial"/>
          <w:sz w:val="18"/>
          <w:szCs w:val="18"/>
          <w:b w:val="1"/>
          <w:bCs w:val="1"/>
          <w:color w:val="auto"/>
        </w:rPr>
        <w:t>PART I</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w:t>
      </w:r>
      <w:r>
        <w:rPr>
          <w:sz w:val="20"/>
          <w:szCs w:val="20"/>
          <w:color w:val="auto"/>
        </w:rPr>
        <w:tab/>
      </w:r>
      <w:r>
        <w:rPr>
          <w:rFonts w:ascii="Arial" w:cs="Arial" w:eastAsia="Arial" w:hAnsi="Arial"/>
          <w:sz w:val="16"/>
          <w:szCs w:val="16"/>
          <w:b w:val="1"/>
          <w:bCs w:val="1"/>
          <w:color w:val="auto"/>
        </w:rPr>
        <w:t>Identity of Directors, Senior Management and Advisers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2.</w:t>
      </w:r>
      <w:r>
        <w:rPr>
          <w:sz w:val="20"/>
          <w:szCs w:val="20"/>
          <w:color w:val="auto"/>
        </w:rPr>
        <w:tab/>
      </w:r>
      <w:r>
        <w:rPr>
          <w:rFonts w:ascii="Arial" w:cs="Arial" w:eastAsia="Arial" w:hAnsi="Arial"/>
          <w:sz w:val="16"/>
          <w:szCs w:val="16"/>
          <w:b w:val="1"/>
          <w:bCs w:val="1"/>
          <w:color w:val="auto"/>
        </w:rPr>
        <w:t>Offer Statistics and Expected Timetable</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3.</w:t>
      </w:r>
      <w:r>
        <w:rPr>
          <w:sz w:val="20"/>
          <w:szCs w:val="20"/>
          <w:color w:val="auto"/>
        </w:rPr>
        <w:tab/>
      </w:r>
      <w:r>
        <w:rPr>
          <w:rFonts w:ascii="Arial" w:cs="Arial" w:eastAsia="Arial" w:hAnsi="Arial"/>
          <w:sz w:val="17"/>
          <w:szCs w:val="17"/>
          <w:b w:val="1"/>
          <w:bCs w:val="1"/>
          <w:color w:val="auto"/>
        </w:rPr>
        <w:t>Key Information</w:t>
      </w:r>
    </w:p>
    <w:p>
      <w:pPr>
        <w:spacing w:after="0" w:line="225" w:lineRule="exact"/>
        <w:rPr>
          <w:sz w:val="20"/>
          <w:szCs w:val="20"/>
          <w:color w:val="auto"/>
        </w:rPr>
      </w:pPr>
    </w:p>
    <w:p>
      <w:pPr>
        <w:ind w:left="660" w:hanging="652"/>
        <w:spacing w:after="0"/>
        <w:tabs>
          <w:tab w:leader="none" w:pos="66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Selected Financial Data</w:t>
      </w:r>
    </w:p>
    <w:p>
      <w:pPr>
        <w:spacing w:after="0" w:line="229"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The following table presents selected consolidated financial data for the Bank. The Consolidated Financial Statements were prepared and presented in accordance with International Financial Reporting Standards (“IFRS”) as issued by the International Accounting Standards Board (“IASB”), and Interpretations issued by the IFRS Interpretation Committee (formerly known as “IFRIC”). Because fiscal year 2015 was the first year the Bank prepared and presented its financial statements in accordance with IFRS in order to comply with a requirement of the Superintendency of Banks of Panama for fully licensed banks in Panama, the Bank did not include the historical financial information as of and for the year ended December 31, 2013. The following selected financial data as of December 31, 2017 and 2016, and for the years ended December 31, 2017, December 31, 2016 and December 31, 2015 has been derived from the Consolidated Financial Statements, which were audited by the independent registered public accounting firm Deloitte, Inc. (“Deloitte”), and are included in this Annual Report beginning on page F-1, together with the report of the independent registered public accounting firm Deloitte. Information as of December 31, 2015 and 2014, and for the year ended December 31, 2014, has been derived from the Bank’s audited financial statements included in the Bank’s Annual Report on Form 20-F for the year ended December 31, 2015 filed with the SEC on April 29, 2016. The information below is qualified in its entirety by the detailed information included elsewhere herein and should be read in conjunction with Item 4, “Information on the Company,” Item 5, “Operating and Financial Review and Prospects,” and the Consolidated Financial Statements and notes thereto included in this Annual Report.</w:t>
      </w:r>
    </w:p>
    <w:p>
      <w:pPr>
        <w:spacing w:after="0" w:line="16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940" w:type="dxa"/>
            <w:vAlign w:val="bottom"/>
          </w:tcPr>
          <w:p>
            <w:pPr>
              <w:spacing w:after="0"/>
              <w:rPr>
                <w:sz w:val="20"/>
                <w:szCs w:val="20"/>
                <w:color w:val="auto"/>
              </w:rPr>
            </w:pPr>
            <w:r>
              <w:rPr>
                <w:rFonts w:ascii="Arial" w:cs="Arial" w:eastAsia="Arial" w:hAnsi="Arial"/>
                <w:sz w:val="18"/>
                <w:szCs w:val="18"/>
                <w:b w:val="1"/>
                <w:bCs w:val="1"/>
                <w:color w:val="auto"/>
              </w:rPr>
              <w:t>Consolidated Selected Financial Information</w:t>
            </w:r>
          </w:p>
        </w:tc>
        <w:tc>
          <w:tcPr>
            <w:tcW w:w="11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6"/>
        </w:trPr>
        <w:tc>
          <w:tcPr>
            <w:tcW w:w="49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gridSpan w:val="3"/>
          </w:tcPr>
          <w:p>
            <w:pPr>
              <w:jc w:val="right"/>
              <w:ind w:right="530"/>
              <w:spacing w:after="0"/>
              <w:rPr>
                <w:sz w:val="20"/>
                <w:szCs w:val="20"/>
                <w:color w:val="auto"/>
              </w:rPr>
            </w:pPr>
            <w:r>
              <w:rPr>
                <w:rFonts w:ascii="Arial" w:cs="Arial" w:eastAsia="Arial" w:hAnsi="Arial"/>
                <w:sz w:val="18"/>
                <w:szCs w:val="18"/>
                <w:b w:val="1"/>
                <w:bCs w:val="1"/>
                <w:color w:val="auto"/>
              </w:rPr>
              <w:t>As of December 31,</w:t>
            </w:r>
          </w:p>
        </w:tc>
        <w:tc>
          <w:tcPr>
            <w:tcW w:w="3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494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2017</w:t>
            </w:r>
          </w:p>
        </w:tc>
        <w:tc>
          <w:tcPr>
            <w:tcW w:w="36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2016</w:t>
            </w:r>
          </w:p>
        </w:tc>
        <w:tc>
          <w:tcPr>
            <w:tcW w:w="34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2015</w:t>
            </w:r>
          </w:p>
        </w:tc>
        <w:tc>
          <w:tcPr>
            <w:tcW w:w="36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19"/>
                <w:szCs w:val="19"/>
                <w:color w:val="auto"/>
              </w:rPr>
            </w:pPr>
          </w:p>
        </w:tc>
      </w:tr>
      <w:tr>
        <w:trPr>
          <w:trHeight w:val="210"/>
        </w:trPr>
        <w:tc>
          <w:tcPr>
            <w:tcW w:w="49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2340" w:type="dxa"/>
            <w:vAlign w:val="bottom"/>
            <w:gridSpan w:val="3"/>
          </w:tcPr>
          <w:p>
            <w:pPr>
              <w:jc w:val="right"/>
              <w:ind w:right="670"/>
              <w:spacing w:after="0"/>
              <w:rPr>
                <w:sz w:val="20"/>
                <w:szCs w:val="20"/>
                <w:color w:val="auto"/>
              </w:rPr>
            </w:pPr>
            <w:r>
              <w:rPr>
                <w:rFonts w:ascii="Arial" w:cs="Arial" w:eastAsia="Arial" w:hAnsi="Arial"/>
                <w:sz w:val="18"/>
                <w:szCs w:val="18"/>
                <w:b w:val="1"/>
                <w:bCs w:val="1"/>
                <w:color w:val="auto"/>
              </w:rPr>
              <w:t>(in $ thousands)</w:t>
            </w:r>
          </w:p>
        </w:tc>
        <w:tc>
          <w:tcPr>
            <w:tcW w:w="3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Consolidated Statement of Financial Position Data:</w:t>
            </w:r>
          </w:p>
        </w:tc>
        <w:tc>
          <w:tcPr>
            <w:tcW w:w="1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4940" w:type="dxa"/>
            <w:vAlign w:val="bottom"/>
          </w:tcPr>
          <w:p>
            <w:pPr>
              <w:ind w:left="180"/>
              <w:spacing w:after="0"/>
              <w:rPr>
                <w:sz w:val="20"/>
                <w:szCs w:val="20"/>
                <w:color w:val="auto"/>
              </w:rPr>
            </w:pPr>
            <w:r>
              <w:rPr>
                <w:rFonts w:ascii="Arial" w:cs="Arial" w:eastAsia="Arial" w:hAnsi="Arial"/>
                <w:sz w:val="18"/>
                <w:szCs w:val="18"/>
                <w:color w:val="auto"/>
              </w:rPr>
              <w:t>Cash and cash equivalents</w:t>
            </w: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040" w:type="dxa"/>
            <w:vAlign w:val="bottom"/>
          </w:tcPr>
          <w:p>
            <w:pPr>
              <w:jc w:val="right"/>
              <w:ind w:right="30"/>
              <w:spacing w:after="0"/>
              <w:rPr>
                <w:sz w:val="20"/>
                <w:szCs w:val="20"/>
                <w:color w:val="auto"/>
              </w:rPr>
            </w:pPr>
            <w:r>
              <w:rPr>
                <w:rFonts w:ascii="Arial" w:cs="Arial" w:eastAsia="Arial" w:hAnsi="Arial"/>
                <w:sz w:val="18"/>
                <w:szCs w:val="18"/>
                <w:color w:val="auto"/>
              </w:rPr>
              <w:t>672,048</w:t>
            </w:r>
          </w:p>
        </w:tc>
        <w:tc>
          <w:tcPr>
            <w:tcW w:w="36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1,069,538</w:t>
            </w:r>
          </w:p>
        </w:tc>
        <w:tc>
          <w:tcPr>
            <w:tcW w:w="340" w:type="dxa"/>
            <w:vAlign w:val="bottom"/>
          </w:tcPr>
          <w:p>
            <w:pPr>
              <w:jc w:val="right"/>
              <w:ind w:right="50"/>
              <w:spacing w:after="0"/>
              <w:rPr>
                <w:sz w:val="20"/>
                <w:szCs w:val="20"/>
                <w:color w:val="auto"/>
              </w:rPr>
            </w:pPr>
            <w:r>
              <w:rPr>
                <w:rFonts w:ascii="Arial" w:cs="Arial" w:eastAsia="Arial" w:hAnsi="Arial"/>
                <w:sz w:val="18"/>
                <w:szCs w:val="18"/>
                <w:color w:val="auto"/>
              </w:rPr>
              <w:t>$</w:t>
            </w: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1,299,966</w:t>
            </w:r>
          </w:p>
        </w:tc>
        <w:tc>
          <w:tcPr>
            <w:tcW w:w="36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780,515</w:t>
            </w:r>
          </w:p>
        </w:tc>
      </w:tr>
      <w:tr>
        <w:trPr>
          <w:trHeight w:val="216"/>
        </w:trPr>
        <w:tc>
          <w:tcPr>
            <w:tcW w:w="4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Financial instruments at fair value through profit or loss</w:t>
            </w:r>
          </w:p>
        </w:tc>
        <w:tc>
          <w:tcPr>
            <w:tcW w:w="1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0</w:t>
            </w:r>
          </w:p>
        </w:tc>
        <w:tc>
          <w:tcPr>
            <w:tcW w:w="36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0</w:t>
            </w: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53,411</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57,574</w:t>
            </w:r>
          </w:p>
        </w:tc>
      </w:tr>
      <w:tr>
        <w:trPr>
          <w:trHeight w:val="216"/>
        </w:trPr>
        <w:tc>
          <w:tcPr>
            <w:tcW w:w="4940" w:type="dxa"/>
            <w:vAlign w:val="bottom"/>
          </w:tcPr>
          <w:p>
            <w:pPr>
              <w:ind w:left="180"/>
              <w:spacing w:after="0"/>
              <w:rPr>
                <w:sz w:val="20"/>
                <w:szCs w:val="20"/>
                <w:color w:val="auto"/>
              </w:rPr>
            </w:pPr>
            <w:r>
              <w:rPr>
                <w:rFonts w:ascii="Arial" w:cs="Arial" w:eastAsia="Arial" w:hAnsi="Arial"/>
                <w:sz w:val="18"/>
                <w:szCs w:val="18"/>
                <w:color w:val="auto"/>
              </w:rPr>
              <w:t>Financial instruments at fair value through OCI</w:t>
            </w:r>
          </w:p>
        </w:tc>
        <w:tc>
          <w:tcPr>
            <w:tcW w:w="1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jc w:val="right"/>
              <w:ind w:right="30"/>
              <w:spacing w:after="0"/>
              <w:rPr>
                <w:sz w:val="20"/>
                <w:szCs w:val="20"/>
                <w:color w:val="auto"/>
              </w:rPr>
            </w:pPr>
            <w:r>
              <w:rPr>
                <w:rFonts w:ascii="Arial" w:cs="Arial" w:eastAsia="Arial" w:hAnsi="Arial"/>
                <w:sz w:val="18"/>
                <w:szCs w:val="18"/>
                <w:color w:val="auto"/>
              </w:rPr>
              <w:t>25,135</w:t>
            </w:r>
          </w:p>
        </w:tc>
        <w:tc>
          <w:tcPr>
            <w:tcW w:w="36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30,607</w:t>
            </w:r>
          </w:p>
        </w:tc>
        <w:tc>
          <w:tcPr>
            <w:tcW w:w="34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141,803</w:t>
            </w:r>
          </w:p>
        </w:tc>
        <w:tc>
          <w:tcPr>
            <w:tcW w:w="36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338,973</w:t>
            </w:r>
          </w:p>
        </w:tc>
      </w:tr>
      <w:tr>
        <w:trPr>
          <w:trHeight w:val="216"/>
        </w:trPr>
        <w:tc>
          <w:tcPr>
            <w:tcW w:w="4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at amortized cost, net</w:t>
            </w:r>
          </w:p>
        </w:tc>
        <w:tc>
          <w:tcPr>
            <w:tcW w:w="1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68,934</w:t>
            </w:r>
          </w:p>
        </w:tc>
        <w:tc>
          <w:tcPr>
            <w:tcW w:w="36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77,214</w:t>
            </w: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108,215</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54,738</w:t>
            </w:r>
          </w:p>
        </w:tc>
      </w:tr>
      <w:tr>
        <w:trPr>
          <w:trHeight w:val="216"/>
        </w:trPr>
        <w:tc>
          <w:tcPr>
            <w:tcW w:w="4940" w:type="dxa"/>
            <w:vAlign w:val="bottom"/>
          </w:tcPr>
          <w:p>
            <w:pPr>
              <w:ind w:left="180"/>
              <w:spacing w:after="0"/>
              <w:rPr>
                <w:sz w:val="20"/>
                <w:szCs w:val="20"/>
                <w:color w:val="auto"/>
              </w:rPr>
            </w:pPr>
            <w:r>
              <w:rPr>
                <w:rFonts w:ascii="Arial" w:cs="Arial" w:eastAsia="Arial" w:hAnsi="Arial"/>
                <w:sz w:val="18"/>
                <w:szCs w:val="18"/>
                <w:color w:val="auto"/>
              </w:rPr>
              <w:t>Loans</w:t>
            </w:r>
          </w:p>
        </w:tc>
        <w:tc>
          <w:tcPr>
            <w:tcW w:w="1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jc w:val="right"/>
              <w:ind w:right="30"/>
              <w:spacing w:after="0"/>
              <w:rPr>
                <w:sz w:val="20"/>
                <w:szCs w:val="20"/>
                <w:color w:val="auto"/>
              </w:rPr>
            </w:pPr>
            <w:r>
              <w:rPr>
                <w:rFonts w:ascii="Arial" w:cs="Arial" w:eastAsia="Arial" w:hAnsi="Arial"/>
                <w:sz w:val="18"/>
                <w:szCs w:val="18"/>
                <w:color w:val="auto"/>
              </w:rPr>
              <w:t>5,505,658</w:t>
            </w:r>
          </w:p>
        </w:tc>
        <w:tc>
          <w:tcPr>
            <w:tcW w:w="36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6,020,731</w:t>
            </w:r>
          </w:p>
        </w:tc>
        <w:tc>
          <w:tcPr>
            <w:tcW w:w="34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6,691,749</w:t>
            </w:r>
          </w:p>
        </w:tc>
        <w:tc>
          <w:tcPr>
            <w:tcW w:w="36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6,686,244</w:t>
            </w:r>
          </w:p>
        </w:tc>
      </w:tr>
      <w:tr>
        <w:trPr>
          <w:trHeight w:val="216"/>
        </w:trPr>
        <w:tc>
          <w:tcPr>
            <w:tcW w:w="4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Allowance for expected credit losses on loans</w:t>
            </w:r>
          </w:p>
        </w:tc>
        <w:tc>
          <w:tcPr>
            <w:tcW w:w="1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81,294</w:t>
            </w:r>
          </w:p>
        </w:tc>
        <w:tc>
          <w:tcPr>
            <w:tcW w:w="36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105,988</w:t>
            </w: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89,974</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77,687</w:t>
            </w:r>
          </w:p>
        </w:tc>
      </w:tr>
      <w:tr>
        <w:trPr>
          <w:trHeight w:val="216"/>
        </w:trPr>
        <w:tc>
          <w:tcPr>
            <w:tcW w:w="4940" w:type="dxa"/>
            <w:vAlign w:val="bottom"/>
          </w:tcPr>
          <w:p>
            <w:pPr>
              <w:ind w:left="180"/>
              <w:spacing w:after="0"/>
              <w:rPr>
                <w:sz w:val="20"/>
                <w:szCs w:val="20"/>
                <w:color w:val="auto"/>
              </w:rPr>
            </w:pPr>
            <w:r>
              <w:rPr>
                <w:rFonts w:ascii="Arial" w:cs="Arial" w:eastAsia="Arial" w:hAnsi="Arial"/>
                <w:sz w:val="18"/>
                <w:szCs w:val="18"/>
                <w:color w:val="auto"/>
              </w:rPr>
              <w:t>Total assets</w:t>
            </w:r>
          </w:p>
        </w:tc>
        <w:tc>
          <w:tcPr>
            <w:tcW w:w="1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jc w:val="right"/>
              <w:ind w:right="30"/>
              <w:spacing w:after="0"/>
              <w:rPr>
                <w:sz w:val="20"/>
                <w:szCs w:val="20"/>
                <w:color w:val="auto"/>
              </w:rPr>
            </w:pPr>
            <w:r>
              <w:rPr>
                <w:rFonts w:ascii="Arial" w:cs="Arial" w:eastAsia="Arial" w:hAnsi="Arial"/>
                <w:sz w:val="18"/>
                <w:szCs w:val="18"/>
                <w:color w:val="auto"/>
              </w:rPr>
              <w:t>6,267,747</w:t>
            </w:r>
          </w:p>
        </w:tc>
        <w:tc>
          <w:tcPr>
            <w:tcW w:w="36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7,180,783</w:t>
            </w:r>
          </w:p>
        </w:tc>
        <w:tc>
          <w:tcPr>
            <w:tcW w:w="34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8,286,216</w:t>
            </w:r>
          </w:p>
        </w:tc>
        <w:tc>
          <w:tcPr>
            <w:tcW w:w="36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8,022,408</w:t>
            </w:r>
          </w:p>
        </w:tc>
      </w:tr>
      <w:tr>
        <w:trPr>
          <w:trHeight w:val="216"/>
        </w:trPr>
        <w:tc>
          <w:tcPr>
            <w:tcW w:w="4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Total deposits</w:t>
            </w:r>
          </w:p>
        </w:tc>
        <w:tc>
          <w:tcPr>
            <w:tcW w:w="1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2,928,844</w:t>
            </w:r>
          </w:p>
        </w:tc>
        <w:tc>
          <w:tcPr>
            <w:tcW w:w="36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2,802,852</w:t>
            </w: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2,795,469</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2,506,694</w:t>
            </w:r>
          </w:p>
        </w:tc>
      </w:tr>
      <w:tr>
        <w:trPr>
          <w:trHeight w:val="216"/>
        </w:trPr>
        <w:tc>
          <w:tcPr>
            <w:tcW w:w="4940" w:type="dxa"/>
            <w:vAlign w:val="bottom"/>
          </w:tcPr>
          <w:p>
            <w:pPr>
              <w:ind w:left="180"/>
              <w:spacing w:after="0"/>
              <w:rPr>
                <w:sz w:val="20"/>
                <w:szCs w:val="20"/>
                <w:color w:val="auto"/>
              </w:rPr>
            </w:pPr>
            <w:r>
              <w:rPr>
                <w:rFonts w:ascii="Arial" w:cs="Arial" w:eastAsia="Arial" w:hAnsi="Arial"/>
                <w:sz w:val="18"/>
                <w:szCs w:val="18"/>
                <w:color w:val="auto"/>
              </w:rPr>
              <w:t>Financial liabilities through profit or loss</w:t>
            </w:r>
          </w:p>
        </w:tc>
        <w:tc>
          <w:tcPr>
            <w:tcW w:w="1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jc w:val="right"/>
              <w:ind w:right="30"/>
              <w:spacing w:after="0"/>
              <w:rPr>
                <w:sz w:val="20"/>
                <w:szCs w:val="20"/>
                <w:color w:val="auto"/>
              </w:rPr>
            </w:pPr>
            <w:r>
              <w:rPr>
                <w:rFonts w:ascii="Arial" w:cs="Arial" w:eastAsia="Arial" w:hAnsi="Arial"/>
                <w:sz w:val="18"/>
                <w:szCs w:val="18"/>
                <w:color w:val="auto"/>
              </w:rPr>
              <w:t>0</w:t>
            </w:r>
          </w:p>
        </w:tc>
        <w:tc>
          <w:tcPr>
            <w:tcW w:w="36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24</w:t>
            </w:r>
          </w:p>
        </w:tc>
        <w:tc>
          <w:tcPr>
            <w:tcW w:w="34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89</w:t>
            </w:r>
          </w:p>
        </w:tc>
        <w:tc>
          <w:tcPr>
            <w:tcW w:w="36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52</w:t>
            </w:r>
          </w:p>
        </w:tc>
      </w:tr>
      <w:tr>
        <w:trPr>
          <w:trHeight w:val="216"/>
        </w:trPr>
        <w:tc>
          <w:tcPr>
            <w:tcW w:w="4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sold under repurchase agreement</w:t>
            </w:r>
          </w:p>
        </w:tc>
        <w:tc>
          <w:tcPr>
            <w:tcW w:w="1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0</w:t>
            </w:r>
          </w:p>
        </w:tc>
        <w:tc>
          <w:tcPr>
            <w:tcW w:w="36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0</w:t>
            </w: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114,084</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300,519</w:t>
            </w:r>
          </w:p>
        </w:tc>
      </w:tr>
      <w:tr>
        <w:trPr>
          <w:trHeight w:val="216"/>
        </w:trPr>
        <w:tc>
          <w:tcPr>
            <w:tcW w:w="4940" w:type="dxa"/>
            <w:vAlign w:val="bottom"/>
          </w:tcPr>
          <w:p>
            <w:pPr>
              <w:ind w:left="180"/>
              <w:spacing w:after="0"/>
              <w:rPr>
                <w:sz w:val="20"/>
                <w:szCs w:val="20"/>
                <w:color w:val="auto"/>
              </w:rPr>
            </w:pPr>
            <w:r>
              <w:rPr>
                <w:rFonts w:ascii="Arial" w:cs="Arial" w:eastAsia="Arial" w:hAnsi="Arial"/>
                <w:sz w:val="18"/>
                <w:szCs w:val="18"/>
                <w:color w:val="auto"/>
              </w:rPr>
              <w:t>Short-term borrowings and debt</w:t>
            </w:r>
          </w:p>
        </w:tc>
        <w:tc>
          <w:tcPr>
            <w:tcW w:w="1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jc w:val="right"/>
              <w:ind w:right="30"/>
              <w:spacing w:after="0"/>
              <w:rPr>
                <w:sz w:val="20"/>
                <w:szCs w:val="20"/>
                <w:color w:val="auto"/>
              </w:rPr>
            </w:pPr>
            <w:r>
              <w:rPr>
                <w:rFonts w:ascii="Arial" w:cs="Arial" w:eastAsia="Arial" w:hAnsi="Arial"/>
                <w:sz w:val="18"/>
                <w:szCs w:val="18"/>
                <w:color w:val="auto"/>
              </w:rPr>
              <w:t>1,072,723</w:t>
            </w:r>
          </w:p>
        </w:tc>
        <w:tc>
          <w:tcPr>
            <w:tcW w:w="36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1,470,075</w:t>
            </w:r>
          </w:p>
        </w:tc>
        <w:tc>
          <w:tcPr>
            <w:tcW w:w="34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2,430,357</w:t>
            </w:r>
          </w:p>
        </w:tc>
        <w:tc>
          <w:tcPr>
            <w:tcW w:w="36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2,692,537</w:t>
            </w:r>
          </w:p>
        </w:tc>
      </w:tr>
      <w:tr>
        <w:trPr>
          <w:trHeight w:val="216"/>
        </w:trPr>
        <w:tc>
          <w:tcPr>
            <w:tcW w:w="4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Long-term borrowings and debt, net</w:t>
            </w:r>
          </w:p>
        </w:tc>
        <w:tc>
          <w:tcPr>
            <w:tcW w:w="1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1,138,844</w:t>
            </w:r>
          </w:p>
        </w:tc>
        <w:tc>
          <w:tcPr>
            <w:tcW w:w="36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1,776,738</w:t>
            </w: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1,881,813</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1,399,656</w:t>
            </w:r>
          </w:p>
        </w:tc>
      </w:tr>
      <w:tr>
        <w:trPr>
          <w:trHeight w:val="216"/>
        </w:trPr>
        <w:tc>
          <w:tcPr>
            <w:tcW w:w="4940" w:type="dxa"/>
            <w:vAlign w:val="bottom"/>
          </w:tcPr>
          <w:p>
            <w:pPr>
              <w:ind w:left="180"/>
              <w:spacing w:after="0"/>
              <w:rPr>
                <w:sz w:val="20"/>
                <w:szCs w:val="20"/>
                <w:color w:val="auto"/>
              </w:rPr>
            </w:pPr>
            <w:r>
              <w:rPr>
                <w:rFonts w:ascii="Arial" w:cs="Arial" w:eastAsia="Arial" w:hAnsi="Arial"/>
                <w:sz w:val="18"/>
                <w:szCs w:val="18"/>
                <w:color w:val="auto"/>
              </w:rPr>
              <w:t>Total liabilities</w:t>
            </w:r>
          </w:p>
        </w:tc>
        <w:tc>
          <w:tcPr>
            <w:tcW w:w="1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jc w:val="right"/>
              <w:ind w:right="30"/>
              <w:spacing w:after="0"/>
              <w:rPr>
                <w:sz w:val="20"/>
                <w:szCs w:val="20"/>
                <w:color w:val="auto"/>
              </w:rPr>
            </w:pPr>
            <w:r>
              <w:rPr>
                <w:rFonts w:ascii="Arial" w:cs="Arial" w:eastAsia="Arial" w:hAnsi="Arial"/>
                <w:sz w:val="18"/>
                <w:szCs w:val="18"/>
                <w:color w:val="auto"/>
              </w:rPr>
              <w:t>5,224,935</w:t>
            </w:r>
          </w:p>
        </w:tc>
        <w:tc>
          <w:tcPr>
            <w:tcW w:w="36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6,169,469</w:t>
            </w:r>
          </w:p>
        </w:tc>
        <w:tc>
          <w:tcPr>
            <w:tcW w:w="340" w:type="dxa"/>
            <w:vAlign w:val="bottom"/>
          </w:tcPr>
          <w:p>
            <w:pPr>
              <w:spacing w:after="0"/>
              <w:rPr>
                <w:sz w:val="18"/>
                <w:szCs w:val="18"/>
                <w:color w:val="auto"/>
              </w:rPr>
            </w:pP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7,314,285</w:t>
            </w:r>
          </w:p>
        </w:tc>
        <w:tc>
          <w:tcPr>
            <w:tcW w:w="36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7,111,369</w:t>
            </w:r>
          </w:p>
        </w:tc>
      </w:tr>
      <w:tr>
        <w:trPr>
          <w:trHeight w:val="216"/>
        </w:trPr>
        <w:tc>
          <w:tcPr>
            <w:tcW w:w="4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Common stock</w:t>
            </w:r>
          </w:p>
        </w:tc>
        <w:tc>
          <w:tcPr>
            <w:tcW w:w="1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279,980</w:t>
            </w:r>
          </w:p>
        </w:tc>
        <w:tc>
          <w:tcPr>
            <w:tcW w:w="36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279,980</w:t>
            </w: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279,980</w:t>
            </w:r>
          </w:p>
        </w:tc>
        <w:tc>
          <w:tcPr>
            <w:tcW w:w="3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279,980</w:t>
            </w:r>
          </w:p>
        </w:tc>
      </w:tr>
      <w:tr>
        <w:trPr>
          <w:trHeight w:val="230"/>
        </w:trPr>
        <w:tc>
          <w:tcPr>
            <w:tcW w:w="4940" w:type="dxa"/>
            <w:vAlign w:val="bottom"/>
          </w:tcPr>
          <w:p>
            <w:pPr>
              <w:ind w:left="180"/>
              <w:spacing w:after="0"/>
              <w:rPr>
                <w:sz w:val="20"/>
                <w:szCs w:val="20"/>
                <w:color w:val="auto"/>
              </w:rPr>
            </w:pPr>
            <w:r>
              <w:rPr>
                <w:rFonts w:ascii="Arial" w:cs="Arial" w:eastAsia="Arial" w:hAnsi="Arial"/>
                <w:sz w:val="18"/>
                <w:szCs w:val="18"/>
                <w:color w:val="auto"/>
              </w:rPr>
              <w:t>Total stockholders’ equity</w:t>
            </w: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040" w:type="dxa"/>
            <w:vAlign w:val="bottom"/>
          </w:tcPr>
          <w:p>
            <w:pPr>
              <w:jc w:val="right"/>
              <w:ind w:right="30"/>
              <w:spacing w:after="0"/>
              <w:rPr>
                <w:sz w:val="20"/>
                <w:szCs w:val="20"/>
                <w:color w:val="auto"/>
              </w:rPr>
            </w:pPr>
            <w:r>
              <w:rPr>
                <w:rFonts w:ascii="Arial" w:cs="Arial" w:eastAsia="Arial" w:hAnsi="Arial"/>
                <w:sz w:val="18"/>
                <w:szCs w:val="18"/>
                <w:color w:val="auto"/>
              </w:rPr>
              <w:t>1,042,812</w:t>
            </w:r>
          </w:p>
        </w:tc>
        <w:tc>
          <w:tcPr>
            <w:tcW w:w="36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1,011,314</w:t>
            </w:r>
          </w:p>
        </w:tc>
        <w:tc>
          <w:tcPr>
            <w:tcW w:w="340" w:type="dxa"/>
            <w:vAlign w:val="bottom"/>
          </w:tcPr>
          <w:p>
            <w:pPr>
              <w:jc w:val="right"/>
              <w:ind w:right="50"/>
              <w:spacing w:after="0"/>
              <w:rPr>
                <w:sz w:val="20"/>
                <w:szCs w:val="20"/>
                <w:color w:val="auto"/>
              </w:rPr>
            </w:pPr>
            <w:r>
              <w:rPr>
                <w:rFonts w:ascii="Arial" w:cs="Arial" w:eastAsia="Arial" w:hAnsi="Arial"/>
                <w:sz w:val="18"/>
                <w:szCs w:val="18"/>
                <w:color w:val="auto"/>
              </w:rPr>
              <w:t>$</w:t>
            </w:r>
          </w:p>
        </w:tc>
        <w:tc>
          <w:tcPr>
            <w:tcW w:w="1000" w:type="dxa"/>
            <w:vAlign w:val="bottom"/>
          </w:tcPr>
          <w:p>
            <w:pPr>
              <w:jc w:val="right"/>
              <w:ind w:right="10"/>
              <w:spacing w:after="0"/>
              <w:rPr>
                <w:sz w:val="20"/>
                <w:szCs w:val="20"/>
                <w:color w:val="auto"/>
              </w:rPr>
            </w:pPr>
            <w:r>
              <w:rPr>
                <w:rFonts w:ascii="Arial" w:cs="Arial" w:eastAsia="Arial" w:hAnsi="Arial"/>
                <w:sz w:val="18"/>
                <w:szCs w:val="18"/>
                <w:color w:val="auto"/>
              </w:rPr>
              <w:t>971,931</w:t>
            </w:r>
          </w:p>
        </w:tc>
        <w:tc>
          <w:tcPr>
            <w:tcW w:w="36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911,039</w:t>
            </w:r>
          </w:p>
        </w:tc>
      </w:tr>
      <w:tr>
        <w:trPr>
          <w:trHeight w:val="634"/>
        </w:trPr>
        <w:tc>
          <w:tcPr>
            <w:tcW w:w="494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color w:val="auto"/>
              </w:rPr>
              <w:t>5</w:t>
            </w: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7" w:name="page8"/>
    <w:bookmarkEnd w:id="7"/>
    <w:p>
      <w:pPr>
        <w:spacing w:after="0" w:line="4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8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4360" w:type="dxa"/>
            <w:vAlign w:val="bottom"/>
            <w:tcBorders>
              <w:bottom w:val="single" w:sz="8" w:color="auto"/>
            </w:tcBorders>
            <w:gridSpan w:val="10"/>
          </w:tcPr>
          <w:p>
            <w:pPr>
              <w:jc w:val="right"/>
              <w:ind w:right="150"/>
              <w:spacing w:after="0"/>
              <w:rPr>
                <w:sz w:val="20"/>
                <w:szCs w:val="20"/>
                <w:color w:val="auto"/>
              </w:rPr>
            </w:pPr>
            <w:r>
              <w:rPr>
                <w:rFonts w:ascii="Arial" w:cs="Arial" w:eastAsia="Arial" w:hAnsi="Arial"/>
                <w:sz w:val="18"/>
                <w:szCs w:val="18"/>
                <w:b w:val="1"/>
                <w:bCs w:val="1"/>
                <w:color w:val="auto"/>
              </w:rPr>
              <w:t>As of and for the Year Ended December 31,</w:t>
            </w:r>
          </w:p>
        </w:tc>
        <w:tc>
          <w:tcPr>
            <w:tcW w:w="76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r>
      <w:tr>
        <w:trPr>
          <w:trHeight w:val="223"/>
        </w:trPr>
        <w:tc>
          <w:tcPr>
            <w:tcW w:w="58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2017</w:t>
            </w:r>
          </w:p>
        </w:tc>
        <w:tc>
          <w:tcPr>
            <w:tcW w:w="28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88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2016</w:t>
            </w:r>
          </w:p>
        </w:tc>
        <w:tc>
          <w:tcPr>
            <w:tcW w:w="28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20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w w:val="89"/>
              </w:rPr>
              <w:t>2014</w:t>
            </w:r>
          </w:p>
        </w:tc>
        <w:tc>
          <w:tcPr>
            <w:tcW w:w="160" w:type="dxa"/>
            <w:vAlign w:val="bottom"/>
          </w:tcPr>
          <w:p>
            <w:pPr>
              <w:spacing w:after="0"/>
              <w:rPr>
                <w:sz w:val="19"/>
                <w:szCs w:val="19"/>
                <w:color w:val="auto"/>
              </w:rPr>
            </w:pPr>
          </w:p>
        </w:tc>
      </w:tr>
      <w:tr>
        <w:trPr>
          <w:trHeight w:val="210"/>
        </w:trPr>
        <w:tc>
          <w:tcPr>
            <w:tcW w:w="5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360" w:type="dxa"/>
            <w:vAlign w:val="bottom"/>
            <w:gridSpan w:val="10"/>
          </w:tcPr>
          <w:p>
            <w:pPr>
              <w:jc w:val="right"/>
              <w:spacing w:after="0"/>
              <w:rPr>
                <w:sz w:val="20"/>
                <w:szCs w:val="20"/>
                <w:color w:val="auto"/>
              </w:rPr>
            </w:pPr>
            <w:r>
              <w:rPr>
                <w:rFonts w:ascii="Arial" w:cs="Arial" w:eastAsia="Arial" w:hAnsi="Arial"/>
                <w:sz w:val="18"/>
                <w:szCs w:val="18"/>
                <w:b w:val="1"/>
                <w:bCs w:val="1"/>
                <w:color w:val="auto"/>
              </w:rPr>
              <w:t>(in $ thousands, except per share data and ratios)</w:t>
            </w: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5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Consolidated Statement of Profit or Loss Data:</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5820" w:type="dxa"/>
            <w:vAlign w:val="bottom"/>
          </w:tcPr>
          <w:p>
            <w:pPr>
              <w:ind w:left="180"/>
              <w:spacing w:after="0"/>
              <w:rPr>
                <w:sz w:val="20"/>
                <w:szCs w:val="20"/>
                <w:color w:val="auto"/>
              </w:rPr>
            </w:pPr>
            <w:r>
              <w:rPr>
                <w:rFonts w:ascii="Arial" w:cs="Arial" w:eastAsia="Arial" w:hAnsi="Arial"/>
                <w:sz w:val="18"/>
                <w:szCs w:val="18"/>
                <w:color w:val="auto"/>
              </w:rPr>
              <w:t>Interest income</w:t>
            </w:r>
          </w:p>
        </w:tc>
        <w:tc>
          <w:tcPr>
            <w:tcW w:w="32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226,079</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880" w:type="dxa"/>
            <w:vAlign w:val="bottom"/>
          </w:tcPr>
          <w:p>
            <w:pPr>
              <w:jc w:val="right"/>
              <w:spacing w:after="0"/>
              <w:rPr>
                <w:sz w:val="20"/>
                <w:szCs w:val="20"/>
                <w:color w:val="auto"/>
              </w:rPr>
            </w:pPr>
            <w:r>
              <w:rPr>
                <w:rFonts w:ascii="Arial" w:cs="Arial" w:eastAsia="Arial" w:hAnsi="Arial"/>
                <w:sz w:val="18"/>
                <w:szCs w:val="18"/>
                <w:color w:val="auto"/>
              </w:rPr>
              <w:t>245,898</w:t>
            </w:r>
          </w:p>
        </w:tc>
        <w:tc>
          <w:tcPr>
            <w:tcW w:w="280" w:type="dxa"/>
            <w:vAlign w:val="bottom"/>
          </w:tcPr>
          <w:p>
            <w:pPr>
              <w:spacing w:after="0"/>
              <w:rPr>
                <w:sz w:val="18"/>
                <w:szCs w:val="18"/>
                <w:color w:val="auto"/>
              </w:rPr>
            </w:pP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220,312</w:t>
            </w:r>
          </w:p>
        </w:tc>
        <w:tc>
          <w:tcPr>
            <w:tcW w:w="440" w:type="dxa"/>
            <w:vAlign w:val="bottom"/>
            <w:gridSpan w:val="2"/>
          </w:tcPr>
          <w:p>
            <w:pPr>
              <w:jc w:val="right"/>
              <w:ind w:right="19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212,898</w:t>
            </w:r>
          </w:p>
        </w:tc>
      </w:tr>
      <w:tr>
        <w:trPr>
          <w:trHeight w:val="230"/>
        </w:trPr>
        <w:tc>
          <w:tcPr>
            <w:tcW w:w="5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expense</w:t>
            </w: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106,264</w:t>
            </w:r>
          </w:p>
        </w:tc>
        <w:tc>
          <w:tcPr>
            <w:tcW w:w="24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90,689</w:t>
            </w:r>
          </w:p>
        </w:tc>
        <w:tc>
          <w:tcPr>
            <w:tcW w:w="24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74,833</w:t>
            </w:r>
          </w:p>
        </w:tc>
        <w:tc>
          <w:tcPr>
            <w:tcW w:w="60" w:type="dxa"/>
            <w:vAlign w:val="bottom"/>
            <w:shd w:val="clear" w:color="auto" w:fill="CCEEFF"/>
          </w:tcPr>
          <w:p>
            <w:pPr>
              <w:spacing w:after="0"/>
              <w:rPr>
                <w:sz w:val="19"/>
                <w:szCs w:val="19"/>
                <w:color w:val="auto"/>
              </w:rPr>
            </w:pPr>
          </w:p>
        </w:tc>
        <w:tc>
          <w:tcPr>
            <w:tcW w:w="38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71,562</w:t>
            </w:r>
          </w:p>
        </w:tc>
      </w:tr>
      <w:tr>
        <w:trPr>
          <w:trHeight w:val="210"/>
        </w:trPr>
        <w:tc>
          <w:tcPr>
            <w:tcW w:w="582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8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119,815</w:t>
            </w:r>
          </w:p>
        </w:tc>
        <w:tc>
          <w:tcPr>
            <w:tcW w:w="28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155,209</w:t>
            </w:r>
          </w:p>
        </w:tc>
        <w:tc>
          <w:tcPr>
            <w:tcW w:w="28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145,479</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80" w:type="dxa"/>
            <w:vAlign w:val="bottom"/>
            <w:tcBorders>
              <w:top w:val="single" w:sz="8" w:color="auto"/>
            </w:tcBorders>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141,336</w:t>
            </w:r>
          </w:p>
        </w:tc>
        <w:tc>
          <w:tcPr>
            <w:tcW w:w="160" w:type="dxa"/>
            <w:vAlign w:val="bottom"/>
          </w:tcPr>
          <w:p>
            <w:pPr>
              <w:spacing w:after="0"/>
              <w:rPr>
                <w:sz w:val="18"/>
                <w:szCs w:val="18"/>
                <w:color w:val="auto"/>
              </w:rPr>
            </w:pPr>
          </w:p>
        </w:tc>
      </w:tr>
      <w:tr>
        <w:trPr>
          <w:trHeight w:val="216"/>
        </w:trPr>
        <w:tc>
          <w:tcPr>
            <w:tcW w:w="58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5820" w:type="dxa"/>
            <w:vAlign w:val="bottom"/>
          </w:tcPr>
          <w:p>
            <w:pPr>
              <w:ind w:left="180"/>
              <w:spacing w:after="0"/>
              <w:rPr>
                <w:sz w:val="20"/>
                <w:szCs w:val="20"/>
                <w:color w:val="auto"/>
              </w:rPr>
            </w:pPr>
            <w:r>
              <w:rPr>
                <w:rFonts w:ascii="Arial" w:cs="Arial" w:eastAsia="Arial" w:hAnsi="Arial"/>
                <w:sz w:val="18"/>
                <w:szCs w:val="18"/>
                <w:color w:val="auto"/>
              </w:rPr>
              <w:t>Fees and commissions, net</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17,514</w:t>
            </w:r>
          </w:p>
        </w:tc>
        <w:tc>
          <w:tcPr>
            <w:tcW w:w="240" w:type="dxa"/>
            <w:vAlign w:val="bottom"/>
          </w:tcPr>
          <w:p>
            <w:pPr>
              <w:spacing w:after="0"/>
              <w:rPr>
                <w:sz w:val="18"/>
                <w:szCs w:val="18"/>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14,306</w:t>
            </w:r>
          </w:p>
        </w:tc>
        <w:tc>
          <w:tcPr>
            <w:tcW w:w="240" w:type="dxa"/>
            <w:vAlign w:val="bottom"/>
          </w:tcPr>
          <w:p>
            <w:pPr>
              <w:spacing w:after="0"/>
              <w:rPr>
                <w:sz w:val="18"/>
                <w:szCs w:val="18"/>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19,200</w:t>
            </w: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17,502</w:t>
            </w:r>
          </w:p>
        </w:tc>
      </w:tr>
      <w:tr>
        <w:trPr>
          <w:trHeight w:val="202"/>
        </w:trPr>
        <w:tc>
          <w:tcPr>
            <w:tcW w:w="582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rPr>
              <w:t>(Loss) gain on derivative financial instruments and foreign currency</w:t>
            </w:r>
          </w:p>
        </w:tc>
        <w:tc>
          <w:tcPr>
            <w:tcW w:w="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30"/>
        </w:trPr>
        <w:tc>
          <w:tcPr>
            <w:tcW w:w="5820" w:type="dxa"/>
            <w:vAlign w:val="bottom"/>
            <w:shd w:val="clear" w:color="auto" w:fill="CCEEFF"/>
          </w:tcPr>
          <w:p>
            <w:pPr>
              <w:ind w:left="300"/>
              <w:spacing w:after="0"/>
              <w:rPr>
                <w:sz w:val="20"/>
                <w:szCs w:val="20"/>
                <w:color w:val="auto"/>
              </w:rPr>
            </w:pPr>
            <w:r>
              <w:rPr>
                <w:rFonts w:ascii="Arial" w:cs="Arial" w:eastAsia="Arial" w:hAnsi="Arial"/>
                <w:sz w:val="18"/>
                <w:szCs w:val="18"/>
                <w:color w:val="auto"/>
              </w:rPr>
              <w:t>exchange, net</w:t>
            </w:r>
          </w:p>
        </w:tc>
        <w:tc>
          <w:tcPr>
            <w:tcW w:w="8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(437)</w:t>
            </w:r>
          </w:p>
        </w:tc>
        <w:tc>
          <w:tcPr>
            <w:tcW w:w="240" w:type="dxa"/>
            <w:vAlign w:val="bottom"/>
            <w:shd w:val="clear" w:color="auto" w:fill="CCEEFF"/>
          </w:tcPr>
          <w:p>
            <w:pPr>
              <w:spacing w:after="0"/>
              <w:rPr>
                <w:sz w:val="20"/>
                <w:szCs w:val="20"/>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(486)</w:t>
            </w:r>
          </w:p>
        </w:tc>
        <w:tc>
          <w:tcPr>
            <w:tcW w:w="240" w:type="dxa"/>
            <w:vAlign w:val="bottom"/>
            <w:shd w:val="clear" w:color="auto" w:fill="CCEEFF"/>
          </w:tcPr>
          <w:p>
            <w:pPr>
              <w:spacing w:after="0"/>
              <w:rPr>
                <w:sz w:val="20"/>
                <w:szCs w:val="20"/>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w:t>
            </w:r>
          </w:p>
        </w:tc>
        <w:tc>
          <w:tcPr>
            <w:tcW w:w="60" w:type="dxa"/>
            <w:vAlign w:val="bottom"/>
            <w:shd w:val="clear" w:color="auto" w:fill="CCEEFF"/>
          </w:tcPr>
          <w:p>
            <w:pPr>
              <w:spacing w:after="0"/>
              <w:rPr>
                <w:sz w:val="20"/>
                <w:szCs w:val="20"/>
                <w:color w:val="auto"/>
              </w:rPr>
            </w:pPr>
          </w:p>
        </w:tc>
        <w:tc>
          <w:tcPr>
            <w:tcW w:w="38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208</w:t>
            </w:r>
          </w:p>
        </w:tc>
      </w:tr>
      <w:tr>
        <w:trPr>
          <w:trHeight w:val="216"/>
        </w:trPr>
        <w:tc>
          <w:tcPr>
            <w:tcW w:w="5820" w:type="dxa"/>
            <w:vAlign w:val="bottom"/>
          </w:tcPr>
          <w:p>
            <w:pPr>
              <w:ind w:left="180"/>
              <w:spacing w:after="0"/>
              <w:rPr>
                <w:sz w:val="20"/>
                <w:szCs w:val="20"/>
                <w:color w:val="auto"/>
              </w:rPr>
            </w:pPr>
            <w:r>
              <w:rPr>
                <w:rFonts w:ascii="Arial" w:cs="Arial" w:eastAsia="Arial" w:hAnsi="Arial"/>
                <w:sz w:val="18"/>
                <w:szCs w:val="18"/>
                <w:color w:val="auto"/>
              </w:rPr>
              <w:t>(Loss) gain per financial instrument at fair value through profit or loss</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(732)</w:t>
            </w:r>
          </w:p>
        </w:tc>
        <w:tc>
          <w:tcPr>
            <w:tcW w:w="24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(2,883)</w:t>
            </w:r>
          </w:p>
        </w:tc>
        <w:tc>
          <w:tcPr>
            <w:tcW w:w="240" w:type="dxa"/>
            <w:vAlign w:val="bottom"/>
          </w:tcPr>
          <w:p>
            <w:pPr>
              <w:spacing w:after="0"/>
              <w:rPr>
                <w:sz w:val="18"/>
                <w:szCs w:val="18"/>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5,731</w:t>
            </w: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2,361</w:t>
            </w:r>
          </w:p>
        </w:tc>
      </w:tr>
      <w:tr>
        <w:trPr>
          <w:trHeight w:val="216"/>
        </w:trPr>
        <w:tc>
          <w:tcPr>
            <w:tcW w:w="5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Gain (loss) on sale of securities at fair value through OCI</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249</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(356)</w:t>
            </w:r>
          </w:p>
        </w:tc>
        <w:tc>
          <w:tcPr>
            <w:tcW w:w="2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363</w:t>
            </w: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1,871</w:t>
            </w:r>
          </w:p>
        </w:tc>
      </w:tr>
      <w:tr>
        <w:trPr>
          <w:trHeight w:val="216"/>
        </w:trPr>
        <w:tc>
          <w:tcPr>
            <w:tcW w:w="5820" w:type="dxa"/>
            <w:vAlign w:val="bottom"/>
          </w:tcPr>
          <w:p>
            <w:pPr>
              <w:ind w:left="180"/>
              <w:spacing w:after="0"/>
              <w:rPr>
                <w:sz w:val="20"/>
                <w:szCs w:val="20"/>
                <w:color w:val="auto"/>
              </w:rPr>
            </w:pPr>
            <w:r>
              <w:rPr>
                <w:rFonts w:ascii="Arial" w:cs="Arial" w:eastAsia="Arial" w:hAnsi="Arial"/>
                <w:sz w:val="18"/>
                <w:szCs w:val="18"/>
                <w:color w:val="auto"/>
              </w:rPr>
              <w:t>Gain on sale of loans</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181</w:t>
            </w:r>
          </w:p>
        </w:tc>
        <w:tc>
          <w:tcPr>
            <w:tcW w:w="240" w:type="dxa"/>
            <w:vAlign w:val="bottom"/>
          </w:tcPr>
          <w:p>
            <w:pPr>
              <w:spacing w:after="0"/>
              <w:rPr>
                <w:sz w:val="18"/>
                <w:szCs w:val="18"/>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806</w:t>
            </w:r>
          </w:p>
        </w:tc>
        <w:tc>
          <w:tcPr>
            <w:tcW w:w="240" w:type="dxa"/>
            <w:vAlign w:val="bottom"/>
          </w:tcPr>
          <w:p>
            <w:pPr>
              <w:spacing w:after="0"/>
              <w:rPr>
                <w:sz w:val="18"/>
                <w:szCs w:val="18"/>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1,505</w:t>
            </w: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2,546</w:t>
            </w:r>
          </w:p>
        </w:tc>
      </w:tr>
      <w:tr>
        <w:trPr>
          <w:trHeight w:val="230"/>
        </w:trPr>
        <w:tc>
          <w:tcPr>
            <w:tcW w:w="5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w:t>
            </w: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1,723</w:t>
            </w:r>
          </w:p>
        </w:tc>
        <w:tc>
          <w:tcPr>
            <w:tcW w:w="240" w:type="dxa"/>
            <w:vAlign w:val="bottom"/>
            <w:shd w:val="clear" w:color="auto" w:fill="CCEEFF"/>
          </w:tcPr>
          <w:p>
            <w:pPr>
              <w:spacing w:after="0"/>
              <w:rPr>
                <w:sz w:val="19"/>
                <w:szCs w:val="19"/>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1,378</w:t>
            </w:r>
          </w:p>
        </w:tc>
        <w:tc>
          <w:tcPr>
            <w:tcW w:w="2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1,603</w:t>
            </w:r>
          </w:p>
        </w:tc>
        <w:tc>
          <w:tcPr>
            <w:tcW w:w="60" w:type="dxa"/>
            <w:vAlign w:val="bottom"/>
            <w:shd w:val="clear" w:color="auto" w:fill="CCEEFF"/>
          </w:tcPr>
          <w:p>
            <w:pPr>
              <w:spacing w:after="0"/>
              <w:rPr>
                <w:sz w:val="19"/>
                <w:szCs w:val="19"/>
                <w:color w:val="auto"/>
              </w:rPr>
            </w:pPr>
          </w:p>
        </w:tc>
        <w:tc>
          <w:tcPr>
            <w:tcW w:w="38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1,786</w:t>
            </w:r>
          </w:p>
        </w:tc>
      </w:tr>
      <w:tr>
        <w:trPr>
          <w:trHeight w:val="210"/>
        </w:trPr>
        <w:tc>
          <w:tcPr>
            <w:tcW w:w="582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Net other income</w:t>
            </w:r>
          </w:p>
        </w:tc>
        <w:tc>
          <w:tcPr>
            <w:tcW w:w="80" w:type="dxa"/>
            <w:vAlign w:val="bottom"/>
            <w:tcBorders>
              <w:bottom w:val="single" w:sz="8" w:color="CCEEFF"/>
            </w:tcBorders>
          </w:tcPr>
          <w:p>
            <w:pPr>
              <w:spacing w:after="0"/>
              <w:rPr>
                <w:sz w:val="18"/>
                <w:szCs w:val="18"/>
                <w:color w:val="auto"/>
              </w:rPr>
            </w:pPr>
          </w:p>
        </w:tc>
        <w:tc>
          <w:tcPr>
            <w:tcW w:w="240" w:type="dxa"/>
            <w:vAlign w:val="bottom"/>
            <w:tcBorders>
              <w:top w:val="single" w:sz="8" w:color="auto"/>
              <w:bottom w:val="single" w:sz="8" w:color="auto"/>
            </w:tcBorders>
          </w:tcPr>
          <w:p>
            <w:pPr>
              <w:spacing w:after="0"/>
              <w:rPr>
                <w:sz w:val="18"/>
                <w:szCs w:val="18"/>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18,498</w:t>
            </w:r>
          </w:p>
        </w:tc>
        <w:tc>
          <w:tcPr>
            <w:tcW w:w="280" w:type="dxa"/>
            <w:vAlign w:val="bottom"/>
            <w:tcBorders>
              <w:bottom w:val="single" w:sz="8" w:color="CCEEFF"/>
            </w:tcBorders>
          </w:tcPr>
          <w:p>
            <w:pPr>
              <w:spacing w:after="0"/>
              <w:rPr>
                <w:sz w:val="18"/>
                <w:szCs w:val="18"/>
                <w:color w:val="auto"/>
              </w:rPr>
            </w:pPr>
          </w:p>
        </w:tc>
        <w:tc>
          <w:tcPr>
            <w:tcW w:w="240" w:type="dxa"/>
            <w:vAlign w:val="bottom"/>
            <w:tcBorders>
              <w:top w:val="single" w:sz="8" w:color="auto"/>
              <w:bottom w:val="single" w:sz="8" w:color="auto"/>
            </w:tcBorders>
          </w:tcPr>
          <w:p>
            <w:pPr>
              <w:spacing w:after="0"/>
              <w:rPr>
                <w:sz w:val="18"/>
                <w:szCs w:val="18"/>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12,765</w:t>
            </w:r>
          </w:p>
        </w:tc>
        <w:tc>
          <w:tcPr>
            <w:tcW w:w="280" w:type="dxa"/>
            <w:vAlign w:val="bottom"/>
            <w:tcBorders>
              <w:bottom w:val="single" w:sz="8" w:color="CCEEFF"/>
            </w:tcBorders>
          </w:tcPr>
          <w:p>
            <w:pPr>
              <w:spacing w:after="0"/>
              <w:rPr>
                <w:sz w:val="18"/>
                <w:szCs w:val="18"/>
                <w:color w:val="auto"/>
              </w:rPr>
            </w:pPr>
          </w:p>
        </w:tc>
        <w:tc>
          <w:tcPr>
            <w:tcW w:w="240" w:type="dxa"/>
            <w:vAlign w:val="bottom"/>
            <w:tcBorders>
              <w:top w:val="single" w:sz="8" w:color="auto"/>
              <w:bottom w:val="single" w:sz="8" w:color="auto"/>
            </w:tcBorders>
          </w:tcPr>
          <w:p>
            <w:pPr>
              <w:spacing w:after="0"/>
              <w:rPr>
                <w:sz w:val="18"/>
                <w:szCs w:val="18"/>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28,379</w:t>
            </w:r>
          </w:p>
        </w:tc>
        <w:tc>
          <w:tcPr>
            <w:tcW w:w="20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380" w:type="dxa"/>
            <w:vAlign w:val="bottom"/>
            <w:tcBorders>
              <w:top w:val="single" w:sz="8" w:color="auto"/>
              <w:bottom w:val="single" w:sz="8" w:color="auto"/>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26,274</w:t>
            </w:r>
          </w:p>
        </w:tc>
        <w:tc>
          <w:tcPr>
            <w:tcW w:w="160" w:type="dxa"/>
            <w:vAlign w:val="bottom"/>
            <w:tcBorders>
              <w:bottom w:val="single" w:sz="8" w:color="CCEEFF"/>
            </w:tcBorders>
          </w:tcPr>
          <w:p>
            <w:pPr>
              <w:spacing w:after="0"/>
              <w:rPr>
                <w:sz w:val="18"/>
                <w:szCs w:val="18"/>
                <w:color w:val="auto"/>
              </w:rPr>
            </w:pPr>
          </w:p>
        </w:tc>
      </w:tr>
      <w:tr>
        <w:trPr>
          <w:trHeight w:val="210"/>
        </w:trPr>
        <w:tc>
          <w:tcPr>
            <w:tcW w:w="5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Total income</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138,313</w:t>
            </w: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167,974</w:t>
            </w: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173,858</w:t>
            </w: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167,610</w:t>
            </w:r>
          </w:p>
        </w:tc>
        <w:tc>
          <w:tcPr>
            <w:tcW w:w="160" w:type="dxa"/>
            <w:vAlign w:val="bottom"/>
            <w:shd w:val="clear" w:color="auto" w:fill="CCEEFF"/>
          </w:tcPr>
          <w:p>
            <w:pPr>
              <w:spacing w:after="0"/>
              <w:rPr>
                <w:sz w:val="18"/>
                <w:szCs w:val="18"/>
                <w:color w:val="auto"/>
              </w:rPr>
            </w:pPr>
          </w:p>
        </w:tc>
      </w:tr>
      <w:tr>
        <w:trPr>
          <w:trHeight w:val="257"/>
        </w:trPr>
        <w:tc>
          <w:tcPr>
            <w:tcW w:w="5820" w:type="dxa"/>
            <w:vAlign w:val="bottom"/>
          </w:tcPr>
          <w:p>
            <w:pPr>
              <w:ind w:left="180"/>
              <w:spacing w:after="0" w:line="256" w:lineRule="exact"/>
              <w:rPr>
                <w:sz w:val="20"/>
                <w:szCs w:val="20"/>
                <w:color w:val="auto"/>
              </w:rPr>
            </w:pPr>
            <w:r>
              <w:rPr>
                <w:rFonts w:ascii="Arial" w:cs="Arial" w:eastAsia="Arial" w:hAnsi="Arial"/>
                <w:sz w:val="18"/>
                <w:szCs w:val="18"/>
                <w:color w:val="auto"/>
                <w:w w:val="94"/>
              </w:rPr>
              <w:t xml:space="preserve">Impairment loss from expected credit losses on loans at amortized cost </w:t>
            </w:r>
            <w:r>
              <w:rPr>
                <w:rFonts w:ascii="Arial" w:cs="Arial" w:eastAsia="Arial" w:hAnsi="Arial"/>
                <w:sz w:val="29"/>
                <w:szCs w:val="29"/>
                <w:color w:val="auto"/>
                <w:w w:val="94"/>
                <w:vertAlign w:val="superscript"/>
              </w:rPr>
              <w:t>(1)</w:t>
            </w:r>
          </w:p>
        </w:tc>
        <w:tc>
          <w:tcPr>
            <w:tcW w:w="8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8,859</w:t>
            </w:r>
          </w:p>
        </w:tc>
        <w:tc>
          <w:tcPr>
            <w:tcW w:w="240" w:type="dxa"/>
            <w:vAlign w:val="bottom"/>
          </w:tcPr>
          <w:p>
            <w:pPr>
              <w:spacing w:after="0"/>
              <w:rPr>
                <w:sz w:val="22"/>
                <w:szCs w:val="22"/>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34,760</w:t>
            </w:r>
          </w:p>
        </w:tc>
        <w:tc>
          <w:tcPr>
            <w:tcW w:w="240" w:type="dxa"/>
            <w:vAlign w:val="bottom"/>
          </w:tcPr>
          <w:p>
            <w:pPr>
              <w:spacing w:after="0"/>
              <w:rPr>
                <w:sz w:val="22"/>
                <w:szCs w:val="22"/>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17,248</w:t>
            </w:r>
          </w:p>
        </w:tc>
        <w:tc>
          <w:tcPr>
            <w:tcW w:w="60" w:type="dxa"/>
            <w:vAlign w:val="bottom"/>
          </w:tcPr>
          <w:p>
            <w:pPr>
              <w:spacing w:after="0"/>
              <w:rPr>
                <w:sz w:val="22"/>
                <w:szCs w:val="22"/>
                <w:color w:val="auto"/>
              </w:rPr>
            </w:pPr>
          </w:p>
        </w:tc>
        <w:tc>
          <w:tcPr>
            <w:tcW w:w="380" w:type="dxa"/>
            <w:vAlign w:val="bottom"/>
          </w:tcPr>
          <w:p>
            <w:pPr>
              <w:spacing w:after="0"/>
              <w:rPr>
                <w:sz w:val="22"/>
                <w:szCs w:val="22"/>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6,782</w:t>
            </w:r>
          </w:p>
        </w:tc>
      </w:tr>
      <w:tr>
        <w:trPr>
          <w:trHeight w:val="205"/>
        </w:trPr>
        <w:tc>
          <w:tcPr>
            <w:tcW w:w="5820" w:type="dxa"/>
            <w:vAlign w:val="bottom"/>
            <w:shd w:val="clear" w:color="auto" w:fill="CCEEFF"/>
          </w:tcPr>
          <w:p>
            <w:pPr>
              <w:ind w:left="180"/>
              <w:spacing w:after="0" w:line="206" w:lineRule="exact"/>
              <w:rPr>
                <w:sz w:val="20"/>
                <w:szCs w:val="20"/>
                <w:color w:val="auto"/>
              </w:rPr>
            </w:pPr>
            <w:r>
              <w:rPr>
                <w:rFonts w:ascii="Arial" w:cs="Arial" w:eastAsia="Arial" w:hAnsi="Arial"/>
                <w:sz w:val="18"/>
                <w:szCs w:val="18"/>
                <w:color w:val="auto"/>
              </w:rPr>
              <w:t>(Recovery) impairment loss from expected credit losses on investment</w:t>
            </w:r>
          </w:p>
        </w:tc>
        <w:tc>
          <w:tcPr>
            <w:tcW w:w="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67"/>
        </w:trPr>
        <w:tc>
          <w:tcPr>
            <w:tcW w:w="5820" w:type="dxa"/>
            <w:vAlign w:val="bottom"/>
            <w:shd w:val="clear" w:color="auto" w:fill="CCEEFF"/>
          </w:tcPr>
          <w:p>
            <w:pPr>
              <w:ind w:left="300"/>
              <w:spacing w:after="0" w:line="266" w:lineRule="exact"/>
              <w:rPr>
                <w:sz w:val="20"/>
                <w:szCs w:val="20"/>
                <w:color w:val="auto"/>
              </w:rPr>
            </w:pPr>
            <w:r>
              <w:rPr>
                <w:rFonts w:ascii="Arial" w:cs="Arial" w:eastAsia="Arial" w:hAnsi="Arial"/>
                <w:sz w:val="18"/>
                <w:szCs w:val="18"/>
                <w:color w:val="auto"/>
              </w:rPr>
              <w:t xml:space="preserve">securities </w:t>
            </w:r>
            <w:r>
              <w:rPr>
                <w:rFonts w:ascii="Arial" w:cs="Arial" w:eastAsia="Arial" w:hAnsi="Arial"/>
                <w:sz w:val="30"/>
                <w:szCs w:val="30"/>
                <w:color w:val="auto"/>
                <w:vertAlign w:val="superscript"/>
              </w:rPr>
              <w:t>(1)</w:t>
            </w:r>
          </w:p>
        </w:tc>
        <w:tc>
          <w:tcPr>
            <w:tcW w:w="8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(489)</w:t>
            </w:r>
          </w:p>
        </w:tc>
        <w:tc>
          <w:tcPr>
            <w:tcW w:w="240" w:type="dxa"/>
            <w:vAlign w:val="bottom"/>
            <w:shd w:val="clear" w:color="auto" w:fill="CCEEFF"/>
          </w:tcPr>
          <w:p>
            <w:pPr>
              <w:spacing w:after="0"/>
              <w:rPr>
                <w:sz w:val="23"/>
                <w:szCs w:val="23"/>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w:t>
            </w:r>
          </w:p>
        </w:tc>
        <w:tc>
          <w:tcPr>
            <w:tcW w:w="240" w:type="dxa"/>
            <w:vAlign w:val="bottom"/>
            <w:shd w:val="clear" w:color="auto" w:fill="CCEEFF"/>
          </w:tcPr>
          <w:p>
            <w:pPr>
              <w:spacing w:after="0"/>
              <w:rPr>
                <w:sz w:val="23"/>
                <w:szCs w:val="23"/>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5,290</w:t>
            </w:r>
          </w:p>
        </w:tc>
        <w:tc>
          <w:tcPr>
            <w:tcW w:w="60" w:type="dxa"/>
            <w:vAlign w:val="bottom"/>
            <w:shd w:val="clear" w:color="auto" w:fill="CCEEFF"/>
          </w:tcPr>
          <w:p>
            <w:pPr>
              <w:spacing w:after="0"/>
              <w:rPr>
                <w:sz w:val="23"/>
                <w:szCs w:val="23"/>
                <w:color w:val="auto"/>
              </w:rPr>
            </w:pPr>
          </w:p>
        </w:tc>
        <w:tc>
          <w:tcPr>
            <w:tcW w:w="380" w:type="dxa"/>
            <w:vAlign w:val="bottom"/>
            <w:shd w:val="clear" w:color="auto" w:fill="CCEEFF"/>
          </w:tcPr>
          <w:p>
            <w:pPr>
              <w:spacing w:after="0"/>
              <w:rPr>
                <w:sz w:val="23"/>
                <w:szCs w:val="23"/>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1,030</w:t>
            </w:r>
          </w:p>
        </w:tc>
      </w:tr>
      <w:tr>
        <w:trPr>
          <w:trHeight w:val="205"/>
        </w:trPr>
        <w:tc>
          <w:tcPr>
            <w:tcW w:w="5820" w:type="dxa"/>
            <w:vAlign w:val="bottom"/>
          </w:tcPr>
          <w:p>
            <w:pPr>
              <w:ind w:left="180"/>
              <w:spacing w:after="0" w:line="206" w:lineRule="exact"/>
              <w:rPr>
                <w:sz w:val="20"/>
                <w:szCs w:val="20"/>
                <w:color w:val="auto"/>
              </w:rPr>
            </w:pPr>
            <w:r>
              <w:rPr>
                <w:rFonts w:ascii="Arial" w:cs="Arial" w:eastAsia="Arial" w:hAnsi="Arial"/>
                <w:sz w:val="18"/>
                <w:szCs w:val="18"/>
                <w:color w:val="auto"/>
                <w:w w:val="91"/>
              </w:rPr>
              <w:t>Impairment loss (recovery) from expected credit losses on loan commitments</w:t>
            </w:r>
          </w:p>
        </w:tc>
        <w:tc>
          <w:tcPr>
            <w:tcW w:w="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67"/>
        </w:trPr>
        <w:tc>
          <w:tcPr>
            <w:tcW w:w="5820" w:type="dxa"/>
            <w:vAlign w:val="bottom"/>
          </w:tcPr>
          <w:p>
            <w:pPr>
              <w:ind w:left="300"/>
              <w:spacing w:after="0" w:line="266" w:lineRule="exact"/>
              <w:rPr>
                <w:sz w:val="20"/>
                <w:szCs w:val="20"/>
                <w:color w:val="auto"/>
              </w:rPr>
            </w:pPr>
            <w:r>
              <w:rPr>
                <w:rFonts w:ascii="Arial" w:cs="Arial" w:eastAsia="Arial" w:hAnsi="Arial"/>
                <w:sz w:val="18"/>
                <w:szCs w:val="18"/>
                <w:color w:val="auto"/>
              </w:rPr>
              <w:t xml:space="preserve">and financial guarantee contracts </w:t>
            </w:r>
            <w:r>
              <w:rPr>
                <w:rFonts w:ascii="Arial" w:cs="Arial" w:eastAsia="Arial" w:hAnsi="Arial"/>
                <w:sz w:val="30"/>
                <w:szCs w:val="30"/>
                <w:color w:val="auto"/>
                <w:vertAlign w:val="superscript"/>
              </w:rPr>
              <w:t>(1)</w:t>
            </w:r>
          </w:p>
        </w:tc>
        <w:tc>
          <w:tcPr>
            <w:tcW w:w="8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1,069</w:t>
            </w:r>
          </w:p>
        </w:tc>
        <w:tc>
          <w:tcPr>
            <w:tcW w:w="240" w:type="dxa"/>
            <w:vAlign w:val="bottom"/>
          </w:tcPr>
          <w:p>
            <w:pPr>
              <w:spacing w:after="0"/>
              <w:rPr>
                <w:sz w:val="23"/>
                <w:szCs w:val="23"/>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352</w:t>
            </w:r>
          </w:p>
        </w:tc>
        <w:tc>
          <w:tcPr>
            <w:tcW w:w="240" w:type="dxa"/>
            <w:vAlign w:val="bottom"/>
          </w:tcPr>
          <w:p>
            <w:pPr>
              <w:spacing w:after="0"/>
              <w:rPr>
                <w:sz w:val="23"/>
                <w:szCs w:val="23"/>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(4,448)</w:t>
            </w:r>
          </w:p>
        </w:tc>
        <w:tc>
          <w:tcPr>
            <w:tcW w:w="60" w:type="dxa"/>
            <w:vAlign w:val="bottom"/>
          </w:tcPr>
          <w:p>
            <w:pPr>
              <w:spacing w:after="0"/>
              <w:rPr>
                <w:sz w:val="23"/>
                <w:szCs w:val="23"/>
                <w:color w:val="auto"/>
              </w:rPr>
            </w:pPr>
          </w:p>
        </w:tc>
        <w:tc>
          <w:tcPr>
            <w:tcW w:w="380" w:type="dxa"/>
            <w:vAlign w:val="bottom"/>
          </w:tcPr>
          <w:p>
            <w:pPr>
              <w:spacing w:after="0"/>
              <w:rPr>
                <w:sz w:val="23"/>
                <w:szCs w:val="23"/>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3,819</w:t>
            </w:r>
          </w:p>
        </w:tc>
      </w:tr>
      <w:tr>
        <w:trPr>
          <w:trHeight w:val="216"/>
        </w:trPr>
        <w:tc>
          <w:tcPr>
            <w:tcW w:w="5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Salaries and other employee expenses</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27,653</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25,196</w:t>
            </w:r>
          </w:p>
        </w:tc>
        <w:tc>
          <w:tcPr>
            <w:tcW w:w="2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30,435</w:t>
            </w: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31,566</w:t>
            </w:r>
          </w:p>
        </w:tc>
      </w:tr>
      <w:tr>
        <w:trPr>
          <w:trHeight w:val="216"/>
        </w:trPr>
        <w:tc>
          <w:tcPr>
            <w:tcW w:w="5820" w:type="dxa"/>
            <w:vAlign w:val="bottom"/>
          </w:tcPr>
          <w:p>
            <w:pPr>
              <w:ind w:left="180"/>
              <w:spacing w:after="0"/>
              <w:rPr>
                <w:sz w:val="20"/>
                <w:szCs w:val="20"/>
                <w:color w:val="auto"/>
              </w:rPr>
            </w:pPr>
            <w:r>
              <w:rPr>
                <w:rFonts w:ascii="Arial" w:cs="Arial" w:eastAsia="Arial" w:hAnsi="Arial"/>
                <w:sz w:val="18"/>
                <w:szCs w:val="18"/>
                <w:color w:val="auto"/>
              </w:rPr>
              <w:t>Depreciation of equipment and leasehold improvements</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1,578</w:t>
            </w:r>
          </w:p>
        </w:tc>
        <w:tc>
          <w:tcPr>
            <w:tcW w:w="24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1,457</w:t>
            </w: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1,371</w:t>
            </w: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1,545</w:t>
            </w:r>
          </w:p>
        </w:tc>
      </w:tr>
      <w:tr>
        <w:trPr>
          <w:trHeight w:val="216"/>
        </w:trPr>
        <w:tc>
          <w:tcPr>
            <w:tcW w:w="5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Amortization of intangible assets</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838</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629</w:t>
            </w:r>
          </w:p>
        </w:tc>
        <w:tc>
          <w:tcPr>
            <w:tcW w:w="2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596</w:t>
            </w: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942</w:t>
            </w:r>
          </w:p>
        </w:tc>
      </w:tr>
      <w:tr>
        <w:trPr>
          <w:trHeight w:val="230"/>
        </w:trPr>
        <w:tc>
          <w:tcPr>
            <w:tcW w:w="5820" w:type="dxa"/>
            <w:vAlign w:val="bottom"/>
          </w:tcPr>
          <w:p>
            <w:pPr>
              <w:ind w:left="180"/>
              <w:spacing w:after="0"/>
              <w:rPr>
                <w:sz w:val="20"/>
                <w:szCs w:val="20"/>
                <w:color w:val="auto"/>
              </w:rPr>
            </w:pPr>
            <w:r>
              <w:rPr>
                <w:rFonts w:ascii="Arial" w:cs="Arial" w:eastAsia="Arial" w:hAnsi="Arial"/>
                <w:sz w:val="18"/>
                <w:szCs w:val="18"/>
                <w:color w:val="auto"/>
              </w:rPr>
              <w:t>Other expenses</w:t>
            </w:r>
          </w:p>
        </w:tc>
        <w:tc>
          <w:tcPr>
            <w:tcW w:w="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16,806</w:t>
            </w:r>
          </w:p>
        </w:tc>
        <w:tc>
          <w:tcPr>
            <w:tcW w:w="240" w:type="dxa"/>
            <w:vAlign w:val="bottom"/>
          </w:tcPr>
          <w:p>
            <w:pPr>
              <w:spacing w:after="0"/>
              <w:rPr>
                <w:sz w:val="19"/>
                <w:szCs w:val="19"/>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18,532</w:t>
            </w:r>
          </w:p>
        </w:tc>
        <w:tc>
          <w:tcPr>
            <w:tcW w:w="240" w:type="dxa"/>
            <w:vAlign w:val="bottom"/>
          </w:tcPr>
          <w:p>
            <w:pPr>
              <w:spacing w:after="0"/>
              <w:rPr>
                <w:sz w:val="19"/>
                <w:szCs w:val="19"/>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19,382</w:t>
            </w:r>
          </w:p>
        </w:tc>
        <w:tc>
          <w:tcPr>
            <w:tcW w:w="6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19,560</w:t>
            </w:r>
          </w:p>
        </w:tc>
      </w:tr>
      <w:tr>
        <w:trPr>
          <w:trHeight w:val="210"/>
        </w:trPr>
        <w:tc>
          <w:tcPr>
            <w:tcW w:w="582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Total expenses</w:t>
            </w:r>
          </w:p>
        </w:tc>
        <w:tc>
          <w:tcPr>
            <w:tcW w:w="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56,314</w:t>
            </w:r>
          </w:p>
        </w:tc>
        <w:tc>
          <w:tcPr>
            <w:tcW w:w="2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80,929</w:t>
            </w:r>
          </w:p>
        </w:tc>
        <w:tc>
          <w:tcPr>
            <w:tcW w:w="2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69,874</w:t>
            </w: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380" w:type="dxa"/>
            <w:vAlign w:val="bottom"/>
            <w:tcBorders>
              <w:top w:val="single" w:sz="8" w:color="auto"/>
              <w:bottom w:val="single" w:sz="8" w:color="auto"/>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65,244</w:t>
            </w:r>
          </w:p>
        </w:tc>
        <w:tc>
          <w:tcPr>
            <w:tcW w:w="160" w:type="dxa"/>
            <w:vAlign w:val="bottom"/>
            <w:tcBorders>
              <w:top w:val="single" w:sz="8" w:color="CCEEFF"/>
            </w:tcBorders>
            <w:shd w:val="clear" w:color="auto" w:fill="CCEEFF"/>
          </w:tcPr>
          <w:p>
            <w:pPr>
              <w:spacing w:after="0"/>
              <w:rPr>
                <w:sz w:val="18"/>
                <w:szCs w:val="18"/>
                <w:color w:val="auto"/>
              </w:rPr>
            </w:pPr>
          </w:p>
        </w:tc>
      </w:tr>
      <w:tr>
        <w:trPr>
          <w:trHeight w:val="263"/>
        </w:trPr>
        <w:tc>
          <w:tcPr>
            <w:tcW w:w="5820" w:type="dxa"/>
            <w:vAlign w:val="bottom"/>
            <w:tcBorders>
              <w:bottom w:val="single" w:sz="8" w:color="CCEEFF"/>
            </w:tcBorders>
          </w:tcPr>
          <w:p>
            <w:pPr>
              <w:ind w:left="180"/>
              <w:spacing w:after="0"/>
              <w:rPr>
                <w:sz w:val="20"/>
                <w:szCs w:val="20"/>
                <w:color w:val="auto"/>
              </w:rPr>
            </w:pPr>
            <w:r>
              <w:rPr>
                <w:rFonts w:ascii="Arial" w:cs="Arial" w:eastAsia="Arial" w:hAnsi="Arial"/>
                <w:sz w:val="18"/>
                <w:szCs w:val="18"/>
                <w:b w:val="1"/>
                <w:bCs w:val="1"/>
                <w:color w:val="auto"/>
              </w:rPr>
              <w:t>Profit for the year</w:t>
            </w:r>
          </w:p>
        </w:tc>
        <w:tc>
          <w:tcPr>
            <w:tcW w:w="80" w:type="dxa"/>
            <w:vAlign w:val="bottom"/>
            <w:tcBorders>
              <w:bottom w:val="single" w:sz="8" w:color="CCEEFF"/>
            </w:tcBorders>
          </w:tcPr>
          <w:p>
            <w:pPr>
              <w:spacing w:after="0"/>
              <w:rPr>
                <w:sz w:val="22"/>
                <w:szCs w:val="22"/>
                <w:color w:val="auto"/>
              </w:rPr>
            </w:pPr>
          </w:p>
        </w:tc>
        <w:tc>
          <w:tcPr>
            <w:tcW w:w="24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81,999</w:t>
            </w:r>
          </w:p>
        </w:tc>
        <w:tc>
          <w:tcPr>
            <w:tcW w:w="280" w:type="dxa"/>
            <w:vAlign w:val="bottom"/>
            <w:tcBorders>
              <w:bottom w:val="single" w:sz="8" w:color="CCEEFF"/>
            </w:tcBorders>
          </w:tcPr>
          <w:p>
            <w:pPr>
              <w:spacing w:after="0"/>
              <w:rPr>
                <w:sz w:val="22"/>
                <w:szCs w:val="22"/>
                <w:color w:val="auto"/>
              </w:rPr>
            </w:pPr>
          </w:p>
        </w:tc>
        <w:tc>
          <w:tcPr>
            <w:tcW w:w="240" w:type="dxa"/>
            <w:vAlign w:val="bottom"/>
            <w:tcBorders>
              <w:bottom w:val="single" w:sz="8" w:color="auto"/>
            </w:tcBorders>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87,045</w:t>
            </w:r>
          </w:p>
        </w:tc>
        <w:tc>
          <w:tcPr>
            <w:tcW w:w="280" w:type="dxa"/>
            <w:vAlign w:val="bottom"/>
            <w:tcBorders>
              <w:bottom w:val="single" w:sz="8" w:color="CCEEFF"/>
            </w:tcBorders>
          </w:tcPr>
          <w:p>
            <w:pPr>
              <w:spacing w:after="0"/>
              <w:rPr>
                <w:sz w:val="22"/>
                <w:szCs w:val="22"/>
                <w:color w:val="auto"/>
              </w:rPr>
            </w:pPr>
          </w:p>
        </w:tc>
        <w:tc>
          <w:tcPr>
            <w:tcW w:w="240" w:type="dxa"/>
            <w:vAlign w:val="bottom"/>
            <w:tcBorders>
              <w:bottom w:val="single" w:sz="8" w:color="auto"/>
            </w:tcBorders>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103,984</w:t>
            </w:r>
          </w:p>
        </w:tc>
        <w:tc>
          <w:tcPr>
            <w:tcW w:w="20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38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w w:val="79"/>
              </w:rPr>
              <w:t>$</w:t>
            </w: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102,366</w:t>
            </w:r>
          </w:p>
        </w:tc>
        <w:tc>
          <w:tcPr>
            <w:tcW w:w="160" w:type="dxa"/>
            <w:vAlign w:val="bottom"/>
            <w:tcBorders>
              <w:bottom w:val="single" w:sz="8" w:color="CCEEFF"/>
            </w:tcBorders>
          </w:tcPr>
          <w:p>
            <w:pPr>
              <w:spacing w:after="0"/>
              <w:rPr>
                <w:sz w:val="22"/>
                <w:szCs w:val="22"/>
                <w:color w:val="auto"/>
              </w:rPr>
            </w:pPr>
          </w:p>
        </w:tc>
      </w:tr>
      <w:tr>
        <w:trPr>
          <w:trHeight w:val="197"/>
        </w:trPr>
        <w:tc>
          <w:tcPr>
            <w:tcW w:w="5820" w:type="dxa"/>
            <w:vAlign w:val="bottom"/>
            <w:shd w:val="clear" w:color="auto" w:fill="CCEEFF"/>
          </w:tcPr>
          <w:p>
            <w:pPr>
              <w:spacing w:after="0" w:line="196" w:lineRule="exact"/>
              <w:rPr>
                <w:sz w:val="20"/>
                <w:szCs w:val="20"/>
                <w:color w:val="auto"/>
              </w:rPr>
            </w:pPr>
            <w:r>
              <w:rPr>
                <w:rFonts w:ascii="Arial" w:cs="Arial" w:eastAsia="Arial" w:hAnsi="Arial"/>
                <w:sz w:val="18"/>
                <w:szCs w:val="18"/>
                <w:b w:val="1"/>
                <w:bCs w:val="1"/>
                <w:color w:val="auto"/>
              </w:rPr>
              <w:t>Weighted average basic shares</w:t>
            </w:r>
          </w:p>
        </w:tc>
        <w:tc>
          <w:tcPr>
            <w:tcW w:w="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color w:val="auto"/>
              </w:rPr>
              <w:t>39,311</w:t>
            </w:r>
          </w:p>
        </w:tc>
        <w:tc>
          <w:tcPr>
            <w:tcW w:w="2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8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color w:val="auto"/>
              </w:rPr>
              <w:t>39,085</w:t>
            </w:r>
          </w:p>
        </w:tc>
        <w:tc>
          <w:tcPr>
            <w:tcW w:w="2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color w:val="auto"/>
              </w:rPr>
              <w:t>38,925</w:t>
            </w: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color w:val="auto"/>
              </w:rPr>
              <w:t>38,693</w:t>
            </w:r>
          </w:p>
        </w:tc>
        <w:tc>
          <w:tcPr>
            <w:tcW w:w="160" w:type="dxa"/>
            <w:vAlign w:val="bottom"/>
            <w:shd w:val="clear" w:color="auto" w:fill="CCEEFF"/>
          </w:tcPr>
          <w:p>
            <w:pPr>
              <w:spacing w:after="0"/>
              <w:rPr>
                <w:sz w:val="17"/>
                <w:szCs w:val="17"/>
                <w:color w:val="auto"/>
              </w:rPr>
            </w:pPr>
          </w:p>
        </w:tc>
      </w:tr>
      <w:tr>
        <w:trPr>
          <w:trHeight w:val="216"/>
        </w:trPr>
        <w:tc>
          <w:tcPr>
            <w:tcW w:w="5820" w:type="dxa"/>
            <w:vAlign w:val="bottom"/>
          </w:tcPr>
          <w:p>
            <w:pPr>
              <w:spacing w:after="0"/>
              <w:rPr>
                <w:sz w:val="20"/>
                <w:szCs w:val="20"/>
                <w:color w:val="auto"/>
              </w:rPr>
            </w:pPr>
            <w:r>
              <w:rPr>
                <w:rFonts w:ascii="Arial" w:cs="Arial" w:eastAsia="Arial" w:hAnsi="Arial"/>
                <w:sz w:val="18"/>
                <w:szCs w:val="18"/>
                <w:b w:val="1"/>
                <w:bCs w:val="1"/>
                <w:color w:val="auto"/>
              </w:rPr>
              <w:t>Weighted average diluted shares</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39,329</w:t>
            </w:r>
          </w:p>
        </w:tc>
        <w:tc>
          <w:tcPr>
            <w:tcW w:w="240" w:type="dxa"/>
            <w:vAlign w:val="bottom"/>
          </w:tcPr>
          <w:p>
            <w:pPr>
              <w:spacing w:after="0"/>
              <w:rPr>
                <w:sz w:val="18"/>
                <w:szCs w:val="18"/>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39,210</w:t>
            </w:r>
          </w:p>
        </w:tc>
        <w:tc>
          <w:tcPr>
            <w:tcW w:w="240" w:type="dxa"/>
            <w:vAlign w:val="bottom"/>
          </w:tcPr>
          <w:p>
            <w:pPr>
              <w:spacing w:after="0"/>
              <w:rPr>
                <w:sz w:val="18"/>
                <w:szCs w:val="18"/>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39,113</w:t>
            </w: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38,882</w:t>
            </w:r>
          </w:p>
        </w:tc>
      </w:tr>
      <w:tr>
        <w:trPr>
          <w:trHeight w:val="216"/>
        </w:trPr>
        <w:tc>
          <w:tcPr>
            <w:tcW w:w="5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Basic shares period end</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39,429</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39,160</w:t>
            </w:r>
          </w:p>
        </w:tc>
        <w:tc>
          <w:tcPr>
            <w:tcW w:w="2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38,969</w:t>
            </w: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38,777</w:t>
            </w:r>
          </w:p>
        </w:tc>
      </w:tr>
      <w:tr>
        <w:trPr>
          <w:trHeight w:val="216"/>
        </w:trPr>
        <w:tc>
          <w:tcPr>
            <w:tcW w:w="5820" w:type="dxa"/>
            <w:vAlign w:val="bottom"/>
          </w:tcPr>
          <w:p>
            <w:pPr>
              <w:spacing w:after="0"/>
              <w:rPr>
                <w:sz w:val="20"/>
                <w:szCs w:val="20"/>
                <w:color w:val="auto"/>
              </w:rPr>
            </w:pPr>
            <w:r>
              <w:rPr>
                <w:rFonts w:ascii="Arial" w:cs="Arial" w:eastAsia="Arial" w:hAnsi="Arial"/>
                <w:sz w:val="18"/>
                <w:szCs w:val="18"/>
                <w:b w:val="1"/>
                <w:bCs w:val="1"/>
                <w:color w:val="auto"/>
              </w:rPr>
              <w:t>Per Common Share Data:</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5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Basic earnings per share</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2.09</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2.23</w:t>
            </w:r>
          </w:p>
        </w:tc>
        <w:tc>
          <w:tcPr>
            <w:tcW w:w="2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2.67</w:t>
            </w: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2.65</w:t>
            </w:r>
          </w:p>
        </w:tc>
      </w:tr>
      <w:tr>
        <w:trPr>
          <w:trHeight w:val="216"/>
        </w:trPr>
        <w:tc>
          <w:tcPr>
            <w:tcW w:w="5820" w:type="dxa"/>
            <w:vAlign w:val="bottom"/>
          </w:tcPr>
          <w:p>
            <w:pPr>
              <w:ind w:left="180"/>
              <w:spacing w:after="0"/>
              <w:rPr>
                <w:sz w:val="20"/>
                <w:szCs w:val="20"/>
                <w:color w:val="auto"/>
              </w:rPr>
            </w:pPr>
            <w:r>
              <w:rPr>
                <w:rFonts w:ascii="Arial" w:cs="Arial" w:eastAsia="Arial" w:hAnsi="Arial"/>
                <w:sz w:val="18"/>
                <w:szCs w:val="18"/>
                <w:color w:val="auto"/>
              </w:rPr>
              <w:t>Diluted earnings per share</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2.08</w:t>
            </w:r>
          </w:p>
        </w:tc>
        <w:tc>
          <w:tcPr>
            <w:tcW w:w="240" w:type="dxa"/>
            <w:vAlign w:val="bottom"/>
          </w:tcPr>
          <w:p>
            <w:pPr>
              <w:spacing w:after="0"/>
              <w:rPr>
                <w:sz w:val="18"/>
                <w:szCs w:val="18"/>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2.22</w:t>
            </w:r>
          </w:p>
        </w:tc>
        <w:tc>
          <w:tcPr>
            <w:tcW w:w="240" w:type="dxa"/>
            <w:vAlign w:val="bottom"/>
          </w:tcPr>
          <w:p>
            <w:pPr>
              <w:spacing w:after="0"/>
              <w:rPr>
                <w:sz w:val="18"/>
                <w:szCs w:val="18"/>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2.66</w:t>
            </w: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2.63</w:t>
            </w:r>
          </w:p>
        </w:tc>
      </w:tr>
      <w:tr>
        <w:trPr>
          <w:trHeight w:val="216"/>
        </w:trPr>
        <w:tc>
          <w:tcPr>
            <w:tcW w:w="5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Book value per share (period end)</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26.45</w:t>
            </w: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25.83</w:t>
            </w: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24.94</w:t>
            </w: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23.49</w:t>
            </w:r>
          </w:p>
        </w:tc>
      </w:tr>
      <w:tr>
        <w:trPr>
          <w:trHeight w:val="216"/>
        </w:trPr>
        <w:tc>
          <w:tcPr>
            <w:tcW w:w="5820" w:type="dxa"/>
            <w:vAlign w:val="bottom"/>
          </w:tcPr>
          <w:p>
            <w:pPr>
              <w:ind w:left="180"/>
              <w:spacing w:after="0"/>
              <w:rPr>
                <w:sz w:val="20"/>
                <w:szCs w:val="20"/>
                <w:color w:val="auto"/>
              </w:rPr>
            </w:pPr>
            <w:r>
              <w:rPr>
                <w:rFonts w:ascii="Arial" w:cs="Arial" w:eastAsia="Arial" w:hAnsi="Arial"/>
                <w:sz w:val="18"/>
                <w:szCs w:val="18"/>
                <w:color w:val="auto"/>
              </w:rPr>
              <w:t>Regular cash dividends declared per share</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8"/>
                <w:szCs w:val="18"/>
                <w:color w:val="auto"/>
              </w:rPr>
              <w:t>1.54</w:t>
            </w:r>
          </w:p>
        </w:tc>
        <w:tc>
          <w:tcPr>
            <w:tcW w:w="240" w:type="dxa"/>
            <w:vAlign w:val="bottom"/>
          </w:tcPr>
          <w:p>
            <w:pPr>
              <w:spacing w:after="0"/>
              <w:rPr>
                <w:sz w:val="18"/>
                <w:szCs w:val="18"/>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1.54</w:t>
            </w:r>
          </w:p>
        </w:tc>
        <w:tc>
          <w:tcPr>
            <w:tcW w:w="240" w:type="dxa"/>
            <w:vAlign w:val="bottom"/>
          </w:tcPr>
          <w:p>
            <w:pPr>
              <w:spacing w:after="0"/>
              <w:rPr>
                <w:sz w:val="18"/>
                <w:szCs w:val="18"/>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1.155</w:t>
            </w: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1.435</w:t>
            </w:r>
          </w:p>
        </w:tc>
      </w:tr>
      <w:tr>
        <w:trPr>
          <w:trHeight w:val="216"/>
        </w:trPr>
        <w:tc>
          <w:tcPr>
            <w:tcW w:w="5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Regular cash dividends paid per share</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1.54</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1.54</w:t>
            </w:r>
          </w:p>
        </w:tc>
        <w:tc>
          <w:tcPr>
            <w:tcW w:w="2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1.54</w:t>
            </w: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1.40</w:t>
            </w:r>
          </w:p>
        </w:tc>
      </w:tr>
      <w:tr>
        <w:trPr>
          <w:trHeight w:val="216"/>
        </w:trPr>
        <w:tc>
          <w:tcPr>
            <w:tcW w:w="5820" w:type="dxa"/>
            <w:vAlign w:val="bottom"/>
          </w:tcPr>
          <w:p>
            <w:pPr>
              <w:spacing w:after="0"/>
              <w:rPr>
                <w:sz w:val="20"/>
                <w:szCs w:val="20"/>
                <w:color w:val="auto"/>
              </w:rPr>
            </w:pPr>
            <w:r>
              <w:rPr>
                <w:rFonts w:ascii="Arial" w:cs="Arial" w:eastAsia="Arial" w:hAnsi="Arial"/>
                <w:sz w:val="18"/>
                <w:szCs w:val="18"/>
                <w:b w:val="1"/>
                <w:bCs w:val="1"/>
                <w:color w:val="auto"/>
              </w:rPr>
              <w:t>Selected Financial Ratios:</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5820" w:type="dxa"/>
            <w:vAlign w:val="bottom"/>
            <w:shd w:val="clear" w:color="auto" w:fill="CCEEFF"/>
          </w:tcPr>
          <w:p>
            <w:pPr>
              <w:spacing w:after="0"/>
              <w:rPr>
                <w:sz w:val="20"/>
                <w:szCs w:val="20"/>
                <w:color w:val="auto"/>
              </w:rPr>
            </w:pPr>
            <w:r>
              <w:rPr>
                <w:rFonts w:ascii="Arial" w:cs="Arial" w:eastAsia="Arial" w:hAnsi="Arial"/>
                <w:sz w:val="18"/>
                <w:szCs w:val="18"/>
                <w:i w:val="1"/>
                <w:iCs w:val="1"/>
                <w:color w:val="auto"/>
              </w:rPr>
              <w:t>Performance Ratios:</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7"/>
        </w:trPr>
        <w:tc>
          <w:tcPr>
            <w:tcW w:w="58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Return on average total assets </w:t>
            </w:r>
            <w:r>
              <w:rPr>
                <w:rFonts w:ascii="Arial" w:cs="Arial" w:eastAsia="Arial" w:hAnsi="Arial"/>
                <w:sz w:val="29"/>
                <w:szCs w:val="29"/>
                <w:color w:val="auto"/>
                <w:vertAlign w:val="superscript"/>
              </w:rPr>
              <w:t>(2)</w:t>
            </w:r>
          </w:p>
        </w:tc>
        <w:tc>
          <w:tcPr>
            <w:tcW w:w="8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1.27%</w:t>
            </w:r>
          </w:p>
        </w:tc>
        <w:tc>
          <w:tcPr>
            <w:tcW w:w="240" w:type="dxa"/>
            <w:vAlign w:val="bottom"/>
          </w:tcPr>
          <w:p>
            <w:pPr>
              <w:spacing w:after="0"/>
              <w:rPr>
                <w:sz w:val="22"/>
                <w:szCs w:val="22"/>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1.16%</w:t>
            </w:r>
          </w:p>
        </w:tc>
        <w:tc>
          <w:tcPr>
            <w:tcW w:w="24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1.32%</w:t>
            </w:r>
          </w:p>
        </w:tc>
        <w:tc>
          <w:tcPr>
            <w:tcW w:w="60" w:type="dxa"/>
            <w:vAlign w:val="bottom"/>
          </w:tcPr>
          <w:p>
            <w:pPr>
              <w:spacing w:after="0"/>
              <w:rPr>
                <w:sz w:val="22"/>
                <w:szCs w:val="22"/>
                <w:color w:val="auto"/>
              </w:rPr>
            </w:pPr>
          </w:p>
        </w:tc>
        <w:tc>
          <w:tcPr>
            <w:tcW w:w="380" w:type="dxa"/>
            <w:vAlign w:val="bottom"/>
          </w:tcPr>
          <w:p>
            <w:pPr>
              <w:spacing w:after="0"/>
              <w:rPr>
                <w:sz w:val="22"/>
                <w:szCs w:val="22"/>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1.35%</w:t>
            </w:r>
          </w:p>
        </w:tc>
      </w:tr>
      <w:tr>
        <w:trPr>
          <w:trHeight w:val="257"/>
        </w:trPr>
        <w:tc>
          <w:tcPr>
            <w:tcW w:w="58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Return on average total stockholders’ equity </w:t>
            </w:r>
            <w:r>
              <w:rPr>
                <w:rFonts w:ascii="Arial" w:cs="Arial" w:eastAsia="Arial" w:hAnsi="Arial"/>
                <w:sz w:val="29"/>
                <w:szCs w:val="29"/>
                <w:color w:val="auto"/>
                <w:vertAlign w:val="superscript"/>
              </w:rPr>
              <w:t>(2)</w:t>
            </w:r>
          </w:p>
        </w:tc>
        <w:tc>
          <w:tcPr>
            <w:tcW w:w="8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8.02%</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8.76%</w:t>
            </w:r>
          </w:p>
        </w:tc>
        <w:tc>
          <w:tcPr>
            <w:tcW w:w="24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10.95%</w:t>
            </w:r>
          </w:p>
        </w:tc>
        <w:tc>
          <w:tcPr>
            <w:tcW w:w="60" w:type="dxa"/>
            <w:vAlign w:val="bottom"/>
            <w:shd w:val="clear" w:color="auto" w:fill="CCEEFF"/>
          </w:tcPr>
          <w:p>
            <w:pPr>
              <w:spacing w:after="0"/>
              <w:rPr>
                <w:sz w:val="22"/>
                <w:szCs w:val="22"/>
                <w:color w:val="auto"/>
              </w:rPr>
            </w:pPr>
          </w:p>
        </w:tc>
        <w:tc>
          <w:tcPr>
            <w:tcW w:w="38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11.45%</w:t>
            </w:r>
          </w:p>
        </w:tc>
      </w:tr>
      <w:tr>
        <w:trPr>
          <w:trHeight w:val="257"/>
        </w:trPr>
        <w:tc>
          <w:tcPr>
            <w:tcW w:w="58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Net interest margin </w:t>
            </w:r>
            <w:r>
              <w:rPr>
                <w:rFonts w:ascii="Arial" w:cs="Arial" w:eastAsia="Arial" w:hAnsi="Arial"/>
                <w:sz w:val="29"/>
                <w:szCs w:val="29"/>
                <w:color w:val="auto"/>
                <w:vertAlign w:val="superscript"/>
              </w:rPr>
              <w:t>(3)</w:t>
            </w:r>
          </w:p>
        </w:tc>
        <w:tc>
          <w:tcPr>
            <w:tcW w:w="8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1.85%</w:t>
            </w:r>
          </w:p>
        </w:tc>
        <w:tc>
          <w:tcPr>
            <w:tcW w:w="240" w:type="dxa"/>
            <w:vAlign w:val="bottom"/>
          </w:tcPr>
          <w:p>
            <w:pPr>
              <w:spacing w:after="0"/>
              <w:rPr>
                <w:sz w:val="22"/>
                <w:szCs w:val="22"/>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2.08%</w:t>
            </w:r>
          </w:p>
        </w:tc>
        <w:tc>
          <w:tcPr>
            <w:tcW w:w="24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1.84%</w:t>
            </w:r>
          </w:p>
        </w:tc>
        <w:tc>
          <w:tcPr>
            <w:tcW w:w="60" w:type="dxa"/>
            <w:vAlign w:val="bottom"/>
          </w:tcPr>
          <w:p>
            <w:pPr>
              <w:spacing w:after="0"/>
              <w:rPr>
                <w:sz w:val="22"/>
                <w:szCs w:val="22"/>
                <w:color w:val="auto"/>
              </w:rPr>
            </w:pPr>
          </w:p>
        </w:tc>
        <w:tc>
          <w:tcPr>
            <w:tcW w:w="380" w:type="dxa"/>
            <w:vAlign w:val="bottom"/>
          </w:tcPr>
          <w:p>
            <w:pPr>
              <w:spacing w:after="0"/>
              <w:rPr>
                <w:sz w:val="22"/>
                <w:szCs w:val="22"/>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1.88%</w:t>
            </w:r>
          </w:p>
        </w:tc>
      </w:tr>
      <w:tr>
        <w:trPr>
          <w:trHeight w:val="257"/>
        </w:trPr>
        <w:tc>
          <w:tcPr>
            <w:tcW w:w="58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Net interest spread </w:t>
            </w:r>
            <w:r>
              <w:rPr>
                <w:rFonts w:ascii="Arial" w:cs="Arial" w:eastAsia="Arial" w:hAnsi="Arial"/>
                <w:sz w:val="29"/>
                <w:szCs w:val="29"/>
                <w:color w:val="auto"/>
                <w:vertAlign w:val="superscript"/>
              </w:rPr>
              <w:t>(3)</w:t>
            </w:r>
          </w:p>
        </w:tc>
        <w:tc>
          <w:tcPr>
            <w:tcW w:w="8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1.48%</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1.84%</w:t>
            </w:r>
          </w:p>
        </w:tc>
        <w:tc>
          <w:tcPr>
            <w:tcW w:w="24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1.68%</w:t>
            </w:r>
          </w:p>
        </w:tc>
        <w:tc>
          <w:tcPr>
            <w:tcW w:w="60" w:type="dxa"/>
            <w:vAlign w:val="bottom"/>
            <w:shd w:val="clear" w:color="auto" w:fill="CCEEFF"/>
          </w:tcPr>
          <w:p>
            <w:pPr>
              <w:spacing w:after="0"/>
              <w:rPr>
                <w:sz w:val="22"/>
                <w:szCs w:val="22"/>
                <w:color w:val="auto"/>
              </w:rPr>
            </w:pPr>
          </w:p>
        </w:tc>
        <w:tc>
          <w:tcPr>
            <w:tcW w:w="38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1.72%</w:t>
            </w:r>
          </w:p>
        </w:tc>
      </w:tr>
      <w:tr>
        <w:trPr>
          <w:trHeight w:val="257"/>
        </w:trPr>
        <w:tc>
          <w:tcPr>
            <w:tcW w:w="58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(4)</w:t>
            </w:r>
          </w:p>
        </w:tc>
        <w:tc>
          <w:tcPr>
            <w:tcW w:w="8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33.9%</w:t>
            </w:r>
          </w:p>
        </w:tc>
        <w:tc>
          <w:tcPr>
            <w:tcW w:w="240" w:type="dxa"/>
            <w:vAlign w:val="bottom"/>
          </w:tcPr>
          <w:p>
            <w:pPr>
              <w:spacing w:after="0"/>
              <w:rPr>
                <w:sz w:val="22"/>
                <w:szCs w:val="22"/>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27.3%</w:t>
            </w:r>
          </w:p>
        </w:tc>
        <w:tc>
          <w:tcPr>
            <w:tcW w:w="24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29.8%</w:t>
            </w:r>
          </w:p>
        </w:tc>
        <w:tc>
          <w:tcPr>
            <w:tcW w:w="60" w:type="dxa"/>
            <w:vAlign w:val="bottom"/>
          </w:tcPr>
          <w:p>
            <w:pPr>
              <w:spacing w:after="0"/>
              <w:rPr>
                <w:sz w:val="22"/>
                <w:szCs w:val="22"/>
                <w:color w:val="auto"/>
              </w:rPr>
            </w:pPr>
          </w:p>
        </w:tc>
        <w:tc>
          <w:tcPr>
            <w:tcW w:w="380" w:type="dxa"/>
            <w:vAlign w:val="bottom"/>
          </w:tcPr>
          <w:p>
            <w:pPr>
              <w:spacing w:after="0"/>
              <w:rPr>
                <w:sz w:val="22"/>
                <w:szCs w:val="22"/>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32.0%</w:t>
            </w:r>
          </w:p>
        </w:tc>
      </w:tr>
      <w:tr>
        <w:trPr>
          <w:trHeight w:val="257"/>
        </w:trPr>
        <w:tc>
          <w:tcPr>
            <w:tcW w:w="58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Total operating expenses </w:t>
            </w:r>
            <w:r>
              <w:rPr>
                <w:rFonts w:ascii="Arial" w:cs="Arial" w:eastAsia="Arial" w:hAnsi="Arial"/>
                <w:sz w:val="29"/>
                <w:szCs w:val="29"/>
                <w:color w:val="auto"/>
                <w:vertAlign w:val="superscript"/>
              </w:rPr>
              <w:t>(5)</w:t>
            </w:r>
            <w:r>
              <w:rPr>
                <w:rFonts w:ascii="Arial" w:cs="Arial" w:eastAsia="Arial" w:hAnsi="Arial"/>
                <w:sz w:val="18"/>
                <w:szCs w:val="18"/>
                <w:color w:val="auto"/>
              </w:rPr>
              <w:t xml:space="preserve"> to average total assets </w:t>
            </w:r>
            <w:r>
              <w:rPr>
                <w:rFonts w:ascii="Arial" w:cs="Arial" w:eastAsia="Arial" w:hAnsi="Arial"/>
                <w:sz w:val="29"/>
                <w:szCs w:val="29"/>
                <w:color w:val="auto"/>
                <w:vertAlign w:val="superscript"/>
              </w:rPr>
              <w:t>(2)</w:t>
            </w:r>
          </w:p>
        </w:tc>
        <w:tc>
          <w:tcPr>
            <w:tcW w:w="8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0.72%</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0.61%</w:t>
            </w:r>
          </w:p>
        </w:tc>
        <w:tc>
          <w:tcPr>
            <w:tcW w:w="24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0.66%</w:t>
            </w:r>
          </w:p>
        </w:tc>
        <w:tc>
          <w:tcPr>
            <w:tcW w:w="60" w:type="dxa"/>
            <w:vAlign w:val="bottom"/>
            <w:shd w:val="clear" w:color="auto" w:fill="CCEEFF"/>
          </w:tcPr>
          <w:p>
            <w:pPr>
              <w:spacing w:after="0"/>
              <w:rPr>
                <w:sz w:val="22"/>
                <w:szCs w:val="22"/>
                <w:color w:val="auto"/>
              </w:rPr>
            </w:pPr>
          </w:p>
        </w:tc>
        <w:tc>
          <w:tcPr>
            <w:tcW w:w="38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0.71%</w:t>
            </w:r>
          </w:p>
        </w:tc>
      </w:tr>
      <w:tr>
        <w:trPr>
          <w:trHeight w:val="257"/>
        </w:trPr>
        <w:tc>
          <w:tcPr>
            <w:tcW w:w="58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Regular cash dividend payout ratio </w:t>
            </w:r>
            <w:r>
              <w:rPr>
                <w:rFonts w:ascii="Arial" w:cs="Arial" w:eastAsia="Arial" w:hAnsi="Arial"/>
                <w:sz w:val="29"/>
                <w:szCs w:val="29"/>
                <w:color w:val="auto"/>
                <w:vertAlign w:val="superscript"/>
              </w:rPr>
              <w:t>(6)</w:t>
            </w:r>
          </w:p>
        </w:tc>
        <w:tc>
          <w:tcPr>
            <w:tcW w:w="8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73.83%</w:t>
            </w:r>
          </w:p>
        </w:tc>
        <w:tc>
          <w:tcPr>
            <w:tcW w:w="240" w:type="dxa"/>
            <w:vAlign w:val="bottom"/>
          </w:tcPr>
          <w:p>
            <w:pPr>
              <w:spacing w:after="0"/>
              <w:rPr>
                <w:sz w:val="22"/>
                <w:szCs w:val="22"/>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69.15%</w:t>
            </w:r>
          </w:p>
        </w:tc>
        <w:tc>
          <w:tcPr>
            <w:tcW w:w="24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57.65%</w:t>
            </w:r>
          </w:p>
        </w:tc>
        <w:tc>
          <w:tcPr>
            <w:tcW w:w="60" w:type="dxa"/>
            <w:vAlign w:val="bottom"/>
          </w:tcPr>
          <w:p>
            <w:pPr>
              <w:spacing w:after="0"/>
              <w:rPr>
                <w:sz w:val="22"/>
                <w:szCs w:val="22"/>
                <w:color w:val="auto"/>
              </w:rPr>
            </w:pPr>
          </w:p>
        </w:tc>
        <w:tc>
          <w:tcPr>
            <w:tcW w:w="380" w:type="dxa"/>
            <w:vAlign w:val="bottom"/>
          </w:tcPr>
          <w:p>
            <w:pPr>
              <w:spacing w:after="0"/>
              <w:rPr>
                <w:sz w:val="22"/>
                <w:szCs w:val="22"/>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52.92%</w:t>
            </w:r>
          </w:p>
        </w:tc>
      </w:tr>
      <w:tr>
        <w:trPr>
          <w:trHeight w:val="216"/>
        </w:trPr>
        <w:tc>
          <w:tcPr>
            <w:tcW w:w="5820" w:type="dxa"/>
            <w:vAlign w:val="bottom"/>
            <w:shd w:val="clear" w:color="auto" w:fill="CCEEFF"/>
          </w:tcPr>
          <w:p>
            <w:pPr>
              <w:spacing w:after="0"/>
              <w:rPr>
                <w:sz w:val="20"/>
                <w:szCs w:val="20"/>
                <w:color w:val="auto"/>
              </w:rPr>
            </w:pPr>
            <w:r>
              <w:rPr>
                <w:rFonts w:ascii="Arial" w:cs="Arial" w:eastAsia="Arial" w:hAnsi="Arial"/>
                <w:sz w:val="18"/>
                <w:szCs w:val="18"/>
                <w:i w:val="1"/>
                <w:iCs w:val="1"/>
                <w:color w:val="auto"/>
              </w:rPr>
              <w:t>Liquidity Ratios:</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7"/>
        </w:trPr>
        <w:tc>
          <w:tcPr>
            <w:tcW w:w="58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Liquid assets </w:t>
            </w:r>
            <w:r>
              <w:rPr>
                <w:rFonts w:ascii="Arial" w:cs="Arial" w:eastAsia="Arial" w:hAnsi="Arial"/>
                <w:sz w:val="29"/>
                <w:szCs w:val="29"/>
                <w:color w:val="auto"/>
                <w:vertAlign w:val="superscript"/>
              </w:rPr>
              <w:t>(7)</w:t>
            </w:r>
            <w:r>
              <w:rPr>
                <w:rFonts w:ascii="Arial" w:cs="Arial" w:eastAsia="Arial" w:hAnsi="Arial"/>
                <w:sz w:val="18"/>
                <w:szCs w:val="18"/>
                <w:color w:val="auto"/>
              </w:rPr>
              <w:t xml:space="preserve"> / total assets</w:t>
            </w:r>
          </w:p>
        </w:tc>
        <w:tc>
          <w:tcPr>
            <w:tcW w:w="8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9.87%</w:t>
            </w:r>
          </w:p>
        </w:tc>
        <w:tc>
          <w:tcPr>
            <w:tcW w:w="240" w:type="dxa"/>
            <w:vAlign w:val="bottom"/>
          </w:tcPr>
          <w:p>
            <w:pPr>
              <w:spacing w:after="0"/>
              <w:rPr>
                <w:sz w:val="22"/>
                <w:szCs w:val="22"/>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14.03%</w:t>
            </w:r>
          </w:p>
        </w:tc>
        <w:tc>
          <w:tcPr>
            <w:tcW w:w="24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15.29%</w:t>
            </w:r>
          </w:p>
        </w:tc>
        <w:tc>
          <w:tcPr>
            <w:tcW w:w="60" w:type="dxa"/>
            <w:vAlign w:val="bottom"/>
          </w:tcPr>
          <w:p>
            <w:pPr>
              <w:spacing w:after="0"/>
              <w:rPr>
                <w:sz w:val="22"/>
                <w:szCs w:val="22"/>
                <w:color w:val="auto"/>
              </w:rPr>
            </w:pPr>
          </w:p>
        </w:tc>
        <w:tc>
          <w:tcPr>
            <w:tcW w:w="380" w:type="dxa"/>
            <w:vAlign w:val="bottom"/>
          </w:tcPr>
          <w:p>
            <w:pPr>
              <w:spacing w:after="0"/>
              <w:rPr>
                <w:sz w:val="22"/>
                <w:szCs w:val="22"/>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9.24%</w:t>
            </w:r>
          </w:p>
        </w:tc>
      </w:tr>
      <w:tr>
        <w:trPr>
          <w:trHeight w:val="257"/>
        </w:trPr>
        <w:tc>
          <w:tcPr>
            <w:tcW w:w="58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Liquid assets </w:t>
            </w:r>
            <w:r>
              <w:rPr>
                <w:rFonts w:ascii="Arial" w:cs="Arial" w:eastAsia="Arial" w:hAnsi="Arial"/>
                <w:sz w:val="29"/>
                <w:szCs w:val="29"/>
                <w:color w:val="auto"/>
                <w:vertAlign w:val="superscript"/>
              </w:rPr>
              <w:t>(7)</w:t>
            </w:r>
            <w:r>
              <w:rPr>
                <w:rFonts w:ascii="Arial" w:cs="Arial" w:eastAsia="Arial" w:hAnsi="Arial"/>
                <w:sz w:val="18"/>
                <w:szCs w:val="18"/>
                <w:color w:val="auto"/>
              </w:rPr>
              <w:t xml:space="preserve"> / total deposits</w:t>
            </w:r>
          </w:p>
        </w:tc>
        <w:tc>
          <w:tcPr>
            <w:tcW w:w="8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21.13%</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35.95%</w:t>
            </w:r>
          </w:p>
        </w:tc>
        <w:tc>
          <w:tcPr>
            <w:tcW w:w="24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45.33%</w:t>
            </w:r>
          </w:p>
        </w:tc>
        <w:tc>
          <w:tcPr>
            <w:tcW w:w="60" w:type="dxa"/>
            <w:vAlign w:val="bottom"/>
            <w:shd w:val="clear" w:color="auto" w:fill="CCEEFF"/>
          </w:tcPr>
          <w:p>
            <w:pPr>
              <w:spacing w:after="0"/>
              <w:rPr>
                <w:sz w:val="22"/>
                <w:szCs w:val="22"/>
                <w:color w:val="auto"/>
              </w:rPr>
            </w:pPr>
          </w:p>
        </w:tc>
        <w:tc>
          <w:tcPr>
            <w:tcW w:w="38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29.57%</w:t>
            </w:r>
          </w:p>
        </w:tc>
      </w:tr>
      <w:tr>
        <w:trPr>
          <w:trHeight w:val="216"/>
        </w:trPr>
        <w:tc>
          <w:tcPr>
            <w:tcW w:w="5820" w:type="dxa"/>
            <w:vAlign w:val="bottom"/>
          </w:tcPr>
          <w:p>
            <w:pPr>
              <w:spacing w:after="0"/>
              <w:rPr>
                <w:sz w:val="20"/>
                <w:szCs w:val="20"/>
                <w:color w:val="auto"/>
              </w:rPr>
            </w:pPr>
            <w:r>
              <w:rPr>
                <w:rFonts w:ascii="Arial" w:cs="Arial" w:eastAsia="Arial" w:hAnsi="Arial"/>
                <w:sz w:val="18"/>
                <w:szCs w:val="18"/>
                <w:i w:val="1"/>
                <w:iCs w:val="1"/>
                <w:color w:val="auto"/>
              </w:rPr>
              <w:t>Asset Quality Ratios:</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7"/>
        </w:trPr>
        <w:tc>
          <w:tcPr>
            <w:tcW w:w="58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Non-performing loans to gross loan portfolio </w:t>
            </w:r>
            <w:r>
              <w:rPr>
                <w:rFonts w:ascii="Arial" w:cs="Arial" w:eastAsia="Arial" w:hAnsi="Arial"/>
                <w:sz w:val="29"/>
                <w:szCs w:val="29"/>
                <w:color w:val="auto"/>
                <w:vertAlign w:val="superscript"/>
              </w:rPr>
              <w:t>(8)</w:t>
            </w:r>
          </w:p>
        </w:tc>
        <w:tc>
          <w:tcPr>
            <w:tcW w:w="8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1.07%</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1.09%</w:t>
            </w:r>
          </w:p>
        </w:tc>
        <w:tc>
          <w:tcPr>
            <w:tcW w:w="24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0.78%</w:t>
            </w:r>
          </w:p>
        </w:tc>
        <w:tc>
          <w:tcPr>
            <w:tcW w:w="60" w:type="dxa"/>
            <w:vAlign w:val="bottom"/>
            <w:shd w:val="clear" w:color="auto" w:fill="CCEEFF"/>
          </w:tcPr>
          <w:p>
            <w:pPr>
              <w:spacing w:after="0"/>
              <w:rPr>
                <w:sz w:val="22"/>
                <w:szCs w:val="22"/>
                <w:color w:val="auto"/>
              </w:rPr>
            </w:pPr>
          </w:p>
        </w:tc>
        <w:tc>
          <w:tcPr>
            <w:tcW w:w="38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0.06%</w:t>
            </w:r>
          </w:p>
        </w:tc>
      </w:tr>
      <w:tr>
        <w:trPr>
          <w:trHeight w:val="216"/>
        </w:trPr>
        <w:tc>
          <w:tcPr>
            <w:tcW w:w="5820" w:type="dxa"/>
            <w:vAlign w:val="bottom"/>
          </w:tcPr>
          <w:p>
            <w:pPr>
              <w:ind w:left="180"/>
              <w:spacing w:after="0"/>
              <w:rPr>
                <w:sz w:val="20"/>
                <w:szCs w:val="20"/>
                <w:color w:val="auto"/>
              </w:rPr>
            </w:pPr>
            <w:r>
              <w:rPr>
                <w:rFonts w:ascii="Arial" w:cs="Arial" w:eastAsia="Arial" w:hAnsi="Arial"/>
                <w:sz w:val="18"/>
                <w:szCs w:val="18"/>
                <w:color w:val="auto"/>
              </w:rPr>
              <w:t>Charged-off loans to gross loan portfolio</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0.60%</w:t>
            </w:r>
          </w:p>
        </w:tc>
        <w:tc>
          <w:tcPr>
            <w:tcW w:w="24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0.31%</w:t>
            </w:r>
          </w:p>
        </w:tc>
        <w:tc>
          <w:tcPr>
            <w:tcW w:w="240" w:type="dxa"/>
            <w:vAlign w:val="bottom"/>
          </w:tcPr>
          <w:p>
            <w:pPr>
              <w:spacing w:after="0"/>
              <w:rPr>
                <w:sz w:val="18"/>
                <w:szCs w:val="18"/>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0.09%</w:t>
            </w: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0.00%</w:t>
            </w:r>
          </w:p>
        </w:tc>
      </w:tr>
      <w:tr>
        <w:trPr>
          <w:trHeight w:val="216"/>
        </w:trPr>
        <w:tc>
          <w:tcPr>
            <w:tcW w:w="5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Allowance for expected credit losses on loans to gross loan portfolio</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1.48%</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1.76%</w:t>
            </w:r>
          </w:p>
        </w:tc>
        <w:tc>
          <w:tcPr>
            <w:tcW w:w="2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1.34%</w:t>
            </w: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1.16%</w:t>
            </w:r>
          </w:p>
        </w:tc>
      </w:tr>
      <w:tr>
        <w:trPr>
          <w:trHeight w:val="202"/>
        </w:trPr>
        <w:tc>
          <w:tcPr>
            <w:tcW w:w="5820" w:type="dxa"/>
            <w:vAlign w:val="bottom"/>
          </w:tcPr>
          <w:p>
            <w:pPr>
              <w:ind w:left="180"/>
              <w:spacing w:after="0" w:line="201" w:lineRule="exact"/>
              <w:rPr>
                <w:sz w:val="20"/>
                <w:szCs w:val="20"/>
                <w:color w:val="auto"/>
              </w:rPr>
            </w:pPr>
            <w:r>
              <w:rPr>
                <w:rFonts w:ascii="Arial" w:cs="Arial" w:eastAsia="Arial" w:hAnsi="Arial"/>
                <w:sz w:val="18"/>
                <w:szCs w:val="18"/>
                <w:color w:val="auto"/>
                <w:w w:val="98"/>
              </w:rPr>
              <w:t>Allowance for expected credit losses on loan commitments and financial</w:t>
            </w:r>
          </w:p>
        </w:tc>
        <w:tc>
          <w:tcPr>
            <w:tcW w:w="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5820" w:type="dxa"/>
            <w:vAlign w:val="bottom"/>
          </w:tcPr>
          <w:p>
            <w:pPr>
              <w:ind w:left="300"/>
              <w:spacing w:after="0"/>
              <w:rPr>
                <w:sz w:val="20"/>
                <w:szCs w:val="20"/>
                <w:color w:val="auto"/>
              </w:rPr>
            </w:pPr>
            <w:r>
              <w:rPr>
                <w:rFonts w:ascii="Arial" w:cs="Arial" w:eastAsia="Arial" w:hAnsi="Arial"/>
                <w:sz w:val="18"/>
                <w:szCs w:val="18"/>
                <w:color w:val="auto"/>
                <w:w w:val="97"/>
              </w:rPr>
              <w:t>guarantee contracts to total loan commitments and financial guarantee</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30"/>
        </w:trPr>
        <w:tc>
          <w:tcPr>
            <w:tcW w:w="5820" w:type="dxa"/>
            <w:vAlign w:val="bottom"/>
          </w:tcPr>
          <w:p>
            <w:pPr>
              <w:ind w:left="300"/>
              <w:spacing w:after="0"/>
              <w:rPr>
                <w:sz w:val="20"/>
                <w:szCs w:val="20"/>
                <w:color w:val="auto"/>
              </w:rPr>
            </w:pPr>
            <w:r>
              <w:rPr>
                <w:rFonts w:ascii="Arial" w:cs="Arial" w:eastAsia="Arial" w:hAnsi="Arial"/>
                <w:sz w:val="18"/>
                <w:szCs w:val="18"/>
                <w:color w:val="auto"/>
              </w:rPr>
              <w:t>contracts and customers’ liabilities under acceptances</w:t>
            </w: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1.39%</w:t>
            </w:r>
          </w:p>
        </w:tc>
        <w:tc>
          <w:tcPr>
            <w:tcW w:w="240" w:type="dxa"/>
            <w:vAlign w:val="bottom"/>
          </w:tcPr>
          <w:p>
            <w:pPr>
              <w:spacing w:after="0"/>
              <w:rPr>
                <w:sz w:val="20"/>
                <w:szCs w:val="20"/>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1.37%</w:t>
            </w:r>
          </w:p>
        </w:tc>
        <w:tc>
          <w:tcPr>
            <w:tcW w:w="240" w:type="dxa"/>
            <w:vAlign w:val="bottom"/>
          </w:tcPr>
          <w:p>
            <w:pPr>
              <w:spacing w:after="0"/>
              <w:rPr>
                <w:sz w:val="20"/>
                <w:szCs w:val="20"/>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1.17%</w:t>
            </w:r>
          </w:p>
        </w:tc>
        <w:tc>
          <w:tcPr>
            <w:tcW w:w="6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1.97%</w:t>
            </w:r>
          </w:p>
        </w:tc>
      </w:tr>
      <w:tr>
        <w:trPr>
          <w:trHeight w:val="216"/>
        </w:trPr>
        <w:tc>
          <w:tcPr>
            <w:tcW w:w="5820" w:type="dxa"/>
            <w:vAlign w:val="bottom"/>
            <w:shd w:val="clear" w:color="auto" w:fill="CCEEFF"/>
          </w:tcPr>
          <w:p>
            <w:pPr>
              <w:spacing w:after="0"/>
              <w:rPr>
                <w:sz w:val="20"/>
                <w:szCs w:val="20"/>
                <w:color w:val="auto"/>
              </w:rPr>
            </w:pPr>
            <w:r>
              <w:rPr>
                <w:rFonts w:ascii="Arial" w:cs="Arial" w:eastAsia="Arial" w:hAnsi="Arial"/>
                <w:sz w:val="18"/>
                <w:szCs w:val="18"/>
                <w:i w:val="1"/>
                <w:iCs w:val="1"/>
                <w:color w:val="auto"/>
              </w:rPr>
              <w:t>Capital Ratios:</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5820" w:type="dxa"/>
            <w:vAlign w:val="bottom"/>
          </w:tcPr>
          <w:p>
            <w:pPr>
              <w:ind w:left="180"/>
              <w:spacing w:after="0"/>
              <w:rPr>
                <w:sz w:val="20"/>
                <w:szCs w:val="20"/>
                <w:color w:val="auto"/>
              </w:rPr>
            </w:pPr>
            <w:r>
              <w:rPr>
                <w:rFonts w:ascii="Arial" w:cs="Arial" w:eastAsia="Arial" w:hAnsi="Arial"/>
                <w:sz w:val="18"/>
                <w:szCs w:val="18"/>
                <w:color w:val="auto"/>
              </w:rPr>
              <w:t>Total stockholders’ equity to total assets</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color w:val="auto"/>
              </w:rPr>
              <w:t>16.64%</w:t>
            </w:r>
          </w:p>
        </w:tc>
        <w:tc>
          <w:tcPr>
            <w:tcW w:w="24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14.08%</w:t>
            </w:r>
          </w:p>
        </w:tc>
        <w:tc>
          <w:tcPr>
            <w:tcW w:w="240" w:type="dxa"/>
            <w:vAlign w:val="bottom"/>
          </w:tcPr>
          <w:p>
            <w:pPr>
              <w:spacing w:after="0"/>
              <w:rPr>
                <w:sz w:val="18"/>
                <w:szCs w:val="18"/>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11.73%</w:t>
            </w: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11.36%</w:t>
            </w:r>
          </w:p>
        </w:tc>
      </w:tr>
      <w:tr>
        <w:trPr>
          <w:trHeight w:val="257"/>
        </w:trPr>
        <w:tc>
          <w:tcPr>
            <w:tcW w:w="58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Average total stockholders’ equity to average total assets </w:t>
            </w:r>
            <w:r>
              <w:rPr>
                <w:rFonts w:ascii="Arial" w:cs="Arial" w:eastAsia="Arial" w:hAnsi="Arial"/>
                <w:sz w:val="29"/>
                <w:szCs w:val="29"/>
                <w:color w:val="auto"/>
                <w:vertAlign w:val="superscript"/>
              </w:rPr>
              <w:t>(2)</w:t>
            </w:r>
          </w:p>
        </w:tc>
        <w:tc>
          <w:tcPr>
            <w:tcW w:w="8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15.80%</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13.28%</w:t>
            </w:r>
          </w:p>
        </w:tc>
        <w:tc>
          <w:tcPr>
            <w:tcW w:w="24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12.02%</w:t>
            </w:r>
          </w:p>
        </w:tc>
        <w:tc>
          <w:tcPr>
            <w:tcW w:w="60" w:type="dxa"/>
            <w:vAlign w:val="bottom"/>
            <w:shd w:val="clear" w:color="auto" w:fill="CCEEFF"/>
          </w:tcPr>
          <w:p>
            <w:pPr>
              <w:spacing w:after="0"/>
              <w:rPr>
                <w:sz w:val="22"/>
                <w:szCs w:val="22"/>
                <w:color w:val="auto"/>
              </w:rPr>
            </w:pPr>
          </w:p>
        </w:tc>
        <w:tc>
          <w:tcPr>
            <w:tcW w:w="38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11.83%</w:t>
            </w:r>
          </w:p>
        </w:tc>
      </w:tr>
      <w:tr>
        <w:trPr>
          <w:trHeight w:val="257"/>
        </w:trPr>
        <w:tc>
          <w:tcPr>
            <w:tcW w:w="58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Leverage ratio </w:t>
            </w:r>
            <w:r>
              <w:rPr>
                <w:rFonts w:ascii="Arial" w:cs="Arial" w:eastAsia="Arial" w:hAnsi="Arial"/>
                <w:sz w:val="29"/>
                <w:szCs w:val="29"/>
                <w:color w:val="auto"/>
                <w:vertAlign w:val="superscript"/>
              </w:rPr>
              <w:t>(9)</w:t>
            </w:r>
          </w:p>
        </w:tc>
        <w:tc>
          <w:tcPr>
            <w:tcW w:w="8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8"/>
                <w:szCs w:val="18"/>
                <w:color w:val="auto"/>
              </w:rPr>
              <w:t>6.0x</w:t>
            </w:r>
          </w:p>
        </w:tc>
        <w:tc>
          <w:tcPr>
            <w:tcW w:w="240" w:type="dxa"/>
            <w:vAlign w:val="bottom"/>
          </w:tcPr>
          <w:p>
            <w:pPr>
              <w:spacing w:after="0"/>
              <w:rPr>
                <w:sz w:val="22"/>
                <w:szCs w:val="22"/>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8"/>
                <w:szCs w:val="18"/>
                <w:color w:val="auto"/>
              </w:rPr>
              <w:t>7.1x</w:t>
            </w:r>
          </w:p>
        </w:tc>
        <w:tc>
          <w:tcPr>
            <w:tcW w:w="240" w:type="dxa"/>
            <w:vAlign w:val="bottom"/>
          </w:tcPr>
          <w:p>
            <w:pPr>
              <w:spacing w:after="0"/>
              <w:rPr>
                <w:sz w:val="22"/>
                <w:szCs w:val="22"/>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8.5x</w:t>
            </w:r>
          </w:p>
        </w:tc>
        <w:tc>
          <w:tcPr>
            <w:tcW w:w="60" w:type="dxa"/>
            <w:vAlign w:val="bottom"/>
          </w:tcPr>
          <w:p>
            <w:pPr>
              <w:spacing w:after="0"/>
              <w:rPr>
                <w:sz w:val="22"/>
                <w:szCs w:val="22"/>
                <w:color w:val="auto"/>
              </w:rPr>
            </w:pPr>
          </w:p>
        </w:tc>
        <w:tc>
          <w:tcPr>
            <w:tcW w:w="380" w:type="dxa"/>
            <w:vAlign w:val="bottom"/>
          </w:tcPr>
          <w:p>
            <w:pPr>
              <w:spacing w:after="0"/>
              <w:rPr>
                <w:sz w:val="22"/>
                <w:szCs w:val="22"/>
                <w:color w:val="auto"/>
              </w:rPr>
            </w:pPr>
          </w:p>
        </w:tc>
        <w:tc>
          <w:tcPr>
            <w:tcW w:w="920" w:type="dxa"/>
            <w:vAlign w:val="bottom"/>
            <w:gridSpan w:val="2"/>
          </w:tcPr>
          <w:p>
            <w:pPr>
              <w:jc w:val="right"/>
              <w:ind w:right="80"/>
              <w:spacing w:after="0"/>
              <w:rPr>
                <w:sz w:val="20"/>
                <w:szCs w:val="20"/>
                <w:color w:val="auto"/>
              </w:rPr>
            </w:pPr>
            <w:r>
              <w:rPr>
                <w:rFonts w:ascii="Arial" w:cs="Arial" w:eastAsia="Arial" w:hAnsi="Arial"/>
                <w:sz w:val="18"/>
                <w:szCs w:val="18"/>
                <w:color w:val="auto"/>
              </w:rPr>
              <w:t>8.8x</w:t>
            </w:r>
          </w:p>
        </w:tc>
      </w:tr>
      <w:tr>
        <w:trPr>
          <w:trHeight w:val="257"/>
        </w:trPr>
        <w:tc>
          <w:tcPr>
            <w:tcW w:w="58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Tier 1 capital to risk-weighted assets </w:t>
            </w:r>
            <w:r>
              <w:rPr>
                <w:rFonts w:ascii="Arial" w:cs="Arial" w:eastAsia="Arial" w:hAnsi="Arial"/>
                <w:sz w:val="29"/>
                <w:szCs w:val="29"/>
                <w:color w:val="auto"/>
                <w:vertAlign w:val="superscript"/>
              </w:rPr>
              <w:t>(10)</w:t>
            </w:r>
          </w:p>
        </w:tc>
        <w:tc>
          <w:tcPr>
            <w:tcW w:w="8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21.1%</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17.9%</w:t>
            </w:r>
          </w:p>
        </w:tc>
        <w:tc>
          <w:tcPr>
            <w:tcW w:w="24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16.1%</w:t>
            </w:r>
          </w:p>
        </w:tc>
        <w:tc>
          <w:tcPr>
            <w:tcW w:w="60" w:type="dxa"/>
            <w:vAlign w:val="bottom"/>
            <w:shd w:val="clear" w:color="auto" w:fill="CCEEFF"/>
          </w:tcPr>
          <w:p>
            <w:pPr>
              <w:spacing w:after="0"/>
              <w:rPr>
                <w:sz w:val="22"/>
                <w:szCs w:val="22"/>
                <w:color w:val="auto"/>
              </w:rPr>
            </w:pPr>
          </w:p>
        </w:tc>
        <w:tc>
          <w:tcPr>
            <w:tcW w:w="38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15.5%</w:t>
            </w:r>
          </w:p>
        </w:tc>
      </w:tr>
      <w:tr>
        <w:trPr>
          <w:trHeight w:val="390"/>
        </w:trPr>
        <w:tc>
          <w:tcPr>
            <w:tcW w:w="5820" w:type="dxa"/>
            <w:vAlign w:val="bottom"/>
          </w:tcPr>
          <w:p>
            <w:pPr>
              <w:ind w:left="180"/>
              <w:spacing w:after="0"/>
              <w:rPr>
                <w:sz w:val="20"/>
                <w:szCs w:val="20"/>
                <w:color w:val="auto"/>
              </w:rPr>
            </w:pPr>
            <w:r>
              <w:rPr>
                <w:rFonts w:ascii="Arial" w:cs="Arial" w:eastAsia="Arial" w:hAnsi="Arial"/>
                <w:sz w:val="18"/>
                <w:szCs w:val="18"/>
                <w:color w:val="auto"/>
              </w:rPr>
              <w:t xml:space="preserve">Risk-weighted assets </w:t>
            </w:r>
            <w:r>
              <w:rPr>
                <w:rFonts w:ascii="Arial" w:cs="Arial" w:eastAsia="Arial" w:hAnsi="Arial"/>
                <w:sz w:val="30"/>
                <w:szCs w:val="30"/>
                <w:color w:val="auto"/>
                <w:vertAlign w:val="superscript"/>
              </w:rPr>
              <w:t>(10)</w:t>
            </w:r>
          </w:p>
        </w:tc>
        <w:tc>
          <w:tcPr>
            <w:tcW w:w="32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00" w:type="dxa"/>
            <w:vAlign w:val="bottom"/>
          </w:tcPr>
          <w:p>
            <w:pPr>
              <w:jc w:val="right"/>
              <w:spacing w:after="0"/>
              <w:rPr>
                <w:sz w:val="20"/>
                <w:szCs w:val="20"/>
                <w:color w:val="auto"/>
              </w:rPr>
            </w:pPr>
            <w:r>
              <w:rPr>
                <w:rFonts w:ascii="Arial" w:cs="Arial" w:eastAsia="Arial" w:hAnsi="Arial"/>
                <w:sz w:val="18"/>
                <w:szCs w:val="18"/>
                <w:color w:val="auto"/>
              </w:rPr>
              <w:t>4,931,046</w:t>
            </w:r>
          </w:p>
        </w:tc>
        <w:tc>
          <w:tcPr>
            <w:tcW w:w="280" w:type="dxa"/>
            <w:vAlign w:val="bottom"/>
          </w:tcPr>
          <w:p>
            <w:pPr>
              <w:spacing w:after="0"/>
              <w:rPr>
                <w:sz w:val="24"/>
                <w:szCs w:val="24"/>
                <w:color w:val="auto"/>
              </w:rPr>
            </w:pP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880" w:type="dxa"/>
            <w:vAlign w:val="bottom"/>
          </w:tcPr>
          <w:p>
            <w:pPr>
              <w:jc w:val="right"/>
              <w:spacing w:after="0"/>
              <w:rPr>
                <w:sz w:val="20"/>
                <w:szCs w:val="20"/>
                <w:color w:val="auto"/>
              </w:rPr>
            </w:pPr>
            <w:r>
              <w:rPr>
                <w:rFonts w:ascii="Arial" w:cs="Arial" w:eastAsia="Arial" w:hAnsi="Arial"/>
                <w:sz w:val="18"/>
                <w:szCs w:val="18"/>
                <w:color w:val="auto"/>
              </w:rPr>
              <w:t>5,662,453</w:t>
            </w:r>
          </w:p>
        </w:tc>
        <w:tc>
          <w:tcPr>
            <w:tcW w:w="280" w:type="dxa"/>
            <w:vAlign w:val="bottom"/>
          </w:tcPr>
          <w:p>
            <w:pPr>
              <w:spacing w:after="0"/>
              <w:rPr>
                <w:sz w:val="24"/>
                <w:szCs w:val="24"/>
                <w:color w:val="auto"/>
              </w:rPr>
            </w:pP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6,103,767</w:t>
            </w:r>
          </w:p>
        </w:tc>
        <w:tc>
          <w:tcPr>
            <w:tcW w:w="440" w:type="dxa"/>
            <w:vAlign w:val="bottom"/>
            <w:gridSpan w:val="2"/>
          </w:tcPr>
          <w:p>
            <w:pPr>
              <w:jc w:val="right"/>
              <w:ind w:right="19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w w:val="92"/>
              </w:rPr>
              <w:t>5,913,505</w:t>
            </w:r>
          </w:p>
        </w:tc>
      </w:tr>
    </w:tbl>
    <w:p>
      <w:pPr>
        <w:ind w:left="340" w:hanging="332"/>
        <w:spacing w:after="0" w:line="198"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For information regarding impairment loss from ECL, see Item 5, “Operating and Financial Review and Prospects—Operating Results.”</w:t>
      </w:r>
    </w:p>
    <w:p>
      <w:pPr>
        <w:spacing w:after="0" w:line="2"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10"/>
        </w:numPr>
        <w:rPr>
          <w:rFonts w:ascii="Arial" w:cs="Arial" w:eastAsia="Arial" w:hAnsi="Arial"/>
          <w:sz w:val="24"/>
          <w:szCs w:val="24"/>
          <w:color w:val="auto"/>
          <w:vertAlign w:val="superscript"/>
        </w:rPr>
      </w:pPr>
      <w:r>
        <w:rPr>
          <w:rFonts w:ascii="Arial" w:cs="Arial" w:eastAsia="Arial" w:hAnsi="Arial"/>
          <w:sz w:val="15"/>
          <w:szCs w:val="15"/>
          <w:color w:val="auto"/>
        </w:rPr>
        <w:t>Average total assets and average total stockholders’ equity are calculated on the basis of unaudited average balances.</w:t>
      </w:r>
    </w:p>
    <w:p>
      <w:pPr>
        <w:spacing w:after="0" w:line="2" w:lineRule="exact"/>
        <w:rPr>
          <w:rFonts w:ascii="Arial" w:cs="Arial" w:eastAsia="Arial" w:hAnsi="Arial"/>
          <w:sz w:val="24"/>
          <w:szCs w:val="24"/>
          <w:color w:val="auto"/>
          <w:vertAlign w:val="superscript"/>
        </w:rPr>
      </w:pPr>
    </w:p>
    <w:p>
      <w:pPr>
        <w:ind w:left="340" w:hanging="332"/>
        <w:spacing w:after="0" w:line="187"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For information regarding calculation of the net interest margin and the net interest spread, see Item 5.A., “Operating and Financial Review and Prospects —Operating Results—Net Interest Income and Margins.”</w:t>
      </w:r>
    </w:p>
    <w:p>
      <w:pPr>
        <w:ind w:left="340" w:hanging="332"/>
        <w:spacing w:after="0" w:line="180" w:lineRule="auto"/>
        <w:tabs>
          <w:tab w:leader="none" w:pos="340" w:val="left"/>
        </w:tabs>
        <w:numPr>
          <w:ilvl w:val="0"/>
          <w:numId w:val="10"/>
        </w:numPr>
        <w:rPr>
          <w:rFonts w:ascii="Arial" w:cs="Arial" w:eastAsia="Arial" w:hAnsi="Arial"/>
          <w:sz w:val="25"/>
          <w:szCs w:val="25"/>
          <w:color w:val="auto"/>
          <w:vertAlign w:val="superscript"/>
        </w:rPr>
      </w:pPr>
      <w:r>
        <w:rPr>
          <w:rFonts w:ascii="Arial" w:cs="Arial" w:eastAsia="Arial" w:hAnsi="Arial"/>
          <w:sz w:val="16"/>
          <w:szCs w:val="16"/>
          <w:color w:val="auto"/>
        </w:rPr>
        <w:t>Efficiency ratio refers to total operating expenses as a percentage of total income.</w:t>
      </w:r>
    </w:p>
    <w:p>
      <w:pPr>
        <w:spacing w:after="0" w:line="2" w:lineRule="exact"/>
        <w:rPr>
          <w:sz w:val="20"/>
          <w:szCs w:val="20"/>
          <w:color w:val="auto"/>
        </w:rPr>
      </w:pPr>
    </w:p>
    <w:p>
      <w:pPr>
        <w:spacing w:after="0"/>
        <w:rPr>
          <w:sz w:val="20"/>
          <w:szCs w:val="20"/>
          <w:color w:val="auto"/>
        </w:rPr>
      </w:pPr>
      <w:r>
        <w:rPr>
          <w:rFonts w:ascii="Arial" w:cs="Arial" w:eastAsia="Arial" w:hAnsi="Arial"/>
          <w:sz w:val="15"/>
          <w:szCs w:val="15"/>
          <w:color w:val="auto"/>
        </w:rPr>
        <w:t>(5)</w:t>
      </w:r>
    </w:p>
    <w:p>
      <w:pPr>
        <w:sectPr>
          <w:pgSz w:w="11900" w:h="16882" w:orient="portrait"/>
          <w:cols w:equalWidth="0" w:num="1">
            <w:col w:w="11420"/>
          </w:cols>
          <w:pgMar w:left="240" w:top="918" w:right="239" w:bottom="0" w:gutter="0" w:footer="0" w:header="0"/>
        </w:sectPr>
      </w:pPr>
    </w:p>
    <w:bookmarkStart w:id="8" w:name="page9"/>
    <w:bookmarkEnd w:id="8"/>
    <w:p>
      <w:pPr>
        <w:jc w:val="both"/>
        <w:ind w:left="332"/>
        <w:spacing w:after="0" w:line="256" w:lineRule="auto"/>
        <w:rPr>
          <w:sz w:val="20"/>
          <w:szCs w:val="20"/>
          <w:color w:val="auto"/>
        </w:rPr>
      </w:pPr>
      <w:r>
        <w:rPr>
          <w:rFonts w:ascii="Arial" w:cs="Arial" w:eastAsia="Arial" w:hAnsi="Arial"/>
          <w:sz w:val="18"/>
          <w:szCs w:val="18"/>
          <w:color w:val="auto"/>
        </w:rPr>
        <w:t>Total operating expenses includes the following expense line items of the consolidated statements of profit or loss: salaries and other employee expenses, depreciation of equipment and leasehold improvements, amortization of intangible assets and other expenses. See Item 5.A. “Operating and Financial Review and Prospects—Operating Results—Operating Expenses.”</w:t>
      </w:r>
    </w:p>
    <w:p>
      <w:pPr>
        <w:ind w:left="332" w:hanging="332"/>
        <w:spacing w:after="0" w:line="180" w:lineRule="auto"/>
        <w:tabs>
          <w:tab w:leader="none" w:pos="332" w:val="left"/>
        </w:tabs>
        <w:numPr>
          <w:ilvl w:val="0"/>
          <w:numId w:val="11"/>
        </w:numPr>
        <w:rPr>
          <w:rFonts w:ascii="Arial" w:cs="Arial" w:eastAsia="Arial" w:hAnsi="Arial"/>
          <w:sz w:val="25"/>
          <w:szCs w:val="25"/>
          <w:color w:val="auto"/>
          <w:vertAlign w:val="superscript"/>
        </w:rPr>
      </w:pPr>
      <w:r>
        <w:rPr>
          <w:rFonts w:ascii="Arial" w:cs="Arial" w:eastAsia="Arial" w:hAnsi="Arial"/>
          <w:sz w:val="16"/>
          <w:szCs w:val="16"/>
          <w:color w:val="auto"/>
        </w:rPr>
        <w:t>Calculated on regular cash dividends paid per share during the period.</w:t>
      </w:r>
    </w:p>
    <w:p>
      <w:pPr>
        <w:spacing w:after="0" w:line="200" w:lineRule="exact"/>
        <w:rPr>
          <w:sz w:val="20"/>
          <w:szCs w:val="20"/>
          <w:color w:val="auto"/>
        </w:rPr>
      </w:pPr>
    </w:p>
    <w:p>
      <w:pPr>
        <w:spacing w:after="0" w:line="219" w:lineRule="exact"/>
        <w:rPr>
          <w:sz w:val="20"/>
          <w:szCs w:val="20"/>
          <w:color w:val="auto"/>
        </w:rPr>
      </w:pPr>
    </w:p>
    <w:p>
      <w:pPr>
        <w:jc w:val="center"/>
        <w:ind w:right="-11"/>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12"/>
          </w:cols>
          <w:pgMar w:left="248" w:top="125" w:right="239" w:bottom="1440" w:gutter="0" w:footer="0" w:header="0"/>
        </w:sectPr>
      </w:pPr>
    </w:p>
    <w:bookmarkStart w:id="9" w:name="page10"/>
    <w:bookmarkEnd w:id="9"/>
    <w:p>
      <w:pPr>
        <w:jc w:val="both"/>
        <w:ind w:left="340" w:hanging="332"/>
        <w:spacing w:after="0" w:line="223" w:lineRule="auto"/>
        <w:tabs>
          <w:tab w:leader="none" w:pos="340" w:val="left"/>
        </w:tabs>
        <w:numPr>
          <w:ilvl w:val="0"/>
          <w:numId w:val="12"/>
        </w:numPr>
        <w:rPr>
          <w:rFonts w:ascii="Arial" w:cs="Arial" w:eastAsia="Arial" w:hAnsi="Arial"/>
          <w:sz w:val="28"/>
          <w:szCs w:val="28"/>
          <w:color w:val="auto"/>
          <w:vertAlign w:val="superscript"/>
        </w:rPr>
      </w:pPr>
      <w:r>
        <w:rPr>
          <w:rFonts w:ascii="Arial" w:cs="Arial" w:eastAsia="Arial" w:hAnsi="Arial"/>
          <w:sz w:val="17"/>
          <w:szCs w:val="17"/>
          <w:color w:val="auto"/>
        </w:rPr>
        <w:t>Liquid assets refer to total cash and cash equivalents, consisting of cash and due from banks, and interest-bearing deposits in banks, excluding pledged deposits, as shown in the consolidated statements of cash flows and note 4 to the Audited Financial Statements. See Item 5.B. “Operating and Financial Review and Prospects—Liquidity and Capital Resources—Liquidity” and Item 18, “Financial Statements,” Notes 4 and 27.2.</w:t>
      </w:r>
    </w:p>
    <w:p>
      <w:pPr>
        <w:jc w:val="both"/>
        <w:ind w:left="340" w:hanging="332"/>
        <w:spacing w:after="0" w:line="233" w:lineRule="auto"/>
        <w:tabs>
          <w:tab w:leader="none" w:pos="340" w:val="left"/>
        </w:tabs>
        <w:numPr>
          <w:ilvl w:val="0"/>
          <w:numId w:val="12"/>
        </w:numPr>
        <w:rPr>
          <w:rFonts w:ascii="Arial" w:cs="Arial" w:eastAsia="Arial" w:hAnsi="Arial"/>
          <w:sz w:val="26"/>
          <w:szCs w:val="26"/>
          <w:color w:val="auto"/>
          <w:vertAlign w:val="superscript"/>
        </w:rPr>
      </w:pPr>
      <w:r>
        <w:rPr>
          <w:rFonts w:ascii="Arial" w:cs="Arial" w:eastAsia="Arial" w:hAnsi="Arial"/>
          <w:sz w:val="16"/>
          <w:szCs w:val="16"/>
          <w:color w:val="auto"/>
        </w:rPr>
        <w:t>As of December 31, 2017, 2016, 2015 and 2014 the Bank had $59 million, $65 million, $52 million and $4 million in non-performing loans, respectively, all of which corresponded to impaired loans. Impairment factors considered by the Bank’s management include collection status, collateral value, the probability of collecting scheduled principal and interest payments when due, and economic conditions in the borrower’s country of residence.</w:t>
      </w:r>
    </w:p>
    <w:p>
      <w:pPr>
        <w:ind w:left="340" w:hanging="332"/>
        <w:spacing w:after="0" w:line="180" w:lineRule="auto"/>
        <w:tabs>
          <w:tab w:leader="none" w:pos="340" w:val="left"/>
        </w:tabs>
        <w:numPr>
          <w:ilvl w:val="0"/>
          <w:numId w:val="12"/>
        </w:numPr>
        <w:rPr>
          <w:rFonts w:ascii="Arial" w:cs="Arial" w:eastAsia="Arial" w:hAnsi="Arial"/>
          <w:sz w:val="25"/>
          <w:szCs w:val="25"/>
          <w:color w:val="auto"/>
          <w:vertAlign w:val="superscript"/>
        </w:rPr>
      </w:pPr>
      <w:r>
        <w:rPr>
          <w:rFonts w:ascii="Arial" w:cs="Arial" w:eastAsia="Arial" w:hAnsi="Arial"/>
          <w:sz w:val="16"/>
          <w:szCs w:val="16"/>
          <w:color w:val="auto"/>
        </w:rPr>
        <w:t>Leverage ratio is the ratio of total assets to total stockholders’ equity.</w:t>
      </w:r>
    </w:p>
    <w:p>
      <w:pPr>
        <w:spacing w:after="0" w:line="2" w:lineRule="exact"/>
        <w:rPr>
          <w:rFonts w:ascii="Arial" w:cs="Arial" w:eastAsia="Arial" w:hAnsi="Arial"/>
          <w:sz w:val="25"/>
          <w:szCs w:val="25"/>
          <w:color w:val="auto"/>
          <w:vertAlign w:val="superscript"/>
        </w:rPr>
      </w:pPr>
    </w:p>
    <w:p>
      <w:pPr>
        <w:jc w:val="both"/>
        <w:ind w:left="340" w:hanging="332"/>
        <w:spacing w:after="0" w:line="217" w:lineRule="auto"/>
        <w:tabs>
          <w:tab w:leader="none" w:pos="340" w:val="left"/>
        </w:tabs>
        <w:numPr>
          <w:ilvl w:val="0"/>
          <w:numId w:val="12"/>
        </w:numPr>
        <w:rPr>
          <w:rFonts w:ascii="Arial" w:cs="Arial" w:eastAsia="Arial" w:hAnsi="Arial"/>
          <w:sz w:val="28"/>
          <w:szCs w:val="28"/>
          <w:color w:val="auto"/>
          <w:vertAlign w:val="superscript"/>
        </w:rPr>
      </w:pPr>
      <w:r>
        <w:rPr>
          <w:rFonts w:ascii="Arial" w:cs="Arial" w:eastAsia="Arial" w:hAnsi="Arial"/>
          <w:sz w:val="17"/>
          <w:szCs w:val="17"/>
          <w:color w:val="auto"/>
        </w:rPr>
        <w:t>Tier 1 Capital is calculated according to Basel III capital adequacy guidelines, and is equivalent to total stockholders’ equity excluding certain effects such as accumulated other comprehensive income (loss) (“OCI”) of the financial instruments at fair value through OCI. Tier 1 Capital ratio is calculated as a percentage of risk-weighted assets. Risk-weighted assets are estimated based on Basel III capital adequacy guidelines.</w:t>
      </w:r>
    </w:p>
    <w:p>
      <w:pPr>
        <w:spacing w:after="0" w:line="200" w:lineRule="exact"/>
        <w:rPr>
          <w:sz w:val="20"/>
          <w:szCs w:val="20"/>
          <w:color w:val="auto"/>
        </w:rPr>
      </w:pPr>
    </w:p>
    <w:p>
      <w:pPr>
        <w:ind w:left="660" w:right="8220" w:hanging="652"/>
        <w:spacing w:after="0" w:line="563" w:lineRule="auto"/>
        <w:tabs>
          <w:tab w:leader="none" w:pos="660" w:val="left"/>
        </w:tabs>
        <w:numPr>
          <w:ilvl w:val="0"/>
          <w:numId w:val="1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Capitalization and Indebtedness </w:t>
      </w:r>
      <w:r>
        <w:rPr>
          <w:rFonts w:ascii="Arial" w:cs="Arial" w:eastAsia="Arial" w:hAnsi="Arial"/>
          <w:sz w:val="16"/>
          <w:szCs w:val="16"/>
          <w:color w:val="auto"/>
        </w:rPr>
        <w:t>Not required in this Annual Report.</w:t>
      </w:r>
    </w:p>
    <w:p>
      <w:pPr>
        <w:spacing w:after="0" w:line="1" w:lineRule="exact"/>
        <w:rPr>
          <w:rFonts w:ascii="Arial" w:cs="Arial" w:eastAsia="Arial" w:hAnsi="Arial"/>
          <w:sz w:val="16"/>
          <w:szCs w:val="16"/>
          <w:b w:val="1"/>
          <w:bCs w:val="1"/>
          <w:color w:val="auto"/>
        </w:rPr>
      </w:pPr>
    </w:p>
    <w:p>
      <w:pPr>
        <w:ind w:left="660" w:right="7520" w:hanging="652"/>
        <w:spacing w:after="0" w:line="563" w:lineRule="auto"/>
        <w:tabs>
          <w:tab w:leader="none" w:pos="660" w:val="left"/>
        </w:tabs>
        <w:numPr>
          <w:ilvl w:val="0"/>
          <w:numId w:val="1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Reasons for the Offer and Use of Proceeds </w:t>
      </w:r>
      <w:r>
        <w:rPr>
          <w:rFonts w:ascii="Arial" w:cs="Arial" w:eastAsia="Arial" w:hAnsi="Arial"/>
          <w:sz w:val="16"/>
          <w:szCs w:val="16"/>
          <w:color w:val="auto"/>
        </w:rPr>
        <w:t>Not required in this Annual Report.</w:t>
      </w:r>
    </w:p>
    <w:p>
      <w:pPr>
        <w:spacing w:after="0" w:line="1" w:lineRule="exact"/>
        <w:rPr>
          <w:rFonts w:ascii="Arial" w:cs="Arial" w:eastAsia="Arial" w:hAnsi="Arial"/>
          <w:sz w:val="16"/>
          <w:szCs w:val="16"/>
          <w:b w:val="1"/>
          <w:bCs w:val="1"/>
          <w:color w:val="auto"/>
        </w:rPr>
      </w:pPr>
    </w:p>
    <w:p>
      <w:pPr>
        <w:ind w:left="660" w:hanging="652"/>
        <w:spacing w:after="0"/>
        <w:tabs>
          <w:tab w:leader="none" w:pos="660" w:val="left"/>
        </w:tabs>
        <w:numPr>
          <w:ilvl w:val="0"/>
          <w:numId w:val="13"/>
        </w:numPr>
        <w:rPr>
          <w:rFonts w:ascii="Arial" w:cs="Arial" w:eastAsia="Arial" w:hAnsi="Arial"/>
          <w:sz w:val="18"/>
          <w:szCs w:val="18"/>
          <w:b w:val="1"/>
          <w:bCs w:val="1"/>
          <w:color w:val="auto"/>
        </w:rPr>
      </w:pPr>
      <w:r>
        <w:rPr>
          <w:rFonts w:ascii="Arial" w:cs="Arial" w:eastAsia="Arial" w:hAnsi="Arial"/>
          <w:sz w:val="18"/>
          <w:szCs w:val="18"/>
          <w:b w:val="1"/>
          <w:bCs w:val="1"/>
          <w:color w:val="auto"/>
        </w:rPr>
        <w:t>Risk Factors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Risks Relating to the Bank’s Business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Bladex faces liquidity risk, and its failure to adequately manage this risk could result in a liquidity shortage, which could adversely affect its financial condition, results of operations and cash flows.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like all financial institutions, faces liquidity risk. Liquidity risk is the risk that the Bank will be unable to maintain adequate cash flow to repay its deposits and borrowings and fund its Credit Portfolio (as defined below) on a timely basis. Failure to adequately manage its liquidity risk could produce a shortage of available funds, which may cause the Bank to be unable to repay its obligations as they become due.</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Short-term borrowings and debt from international private banks that compete with the Bank in its lending activity represent one of the main sources of funding at 17% of the Bank’s total funding as of December 31, 2017. If these international banks cease to provide funding to the Bank, the Bank would have to seek funding from other sources, which may not be available, or if available, may be at a higher cost.</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Turmoil in the international financial markets could negatively impact liquidity in such markets, reducing the Bank’s access to credit or increasing its cost of funding, which could lead to tighter lending standards. The reoccurrence of such unfavorable market conditions could have a material adverse effect on the Bank’s liquidity.</w:t>
      </w:r>
    </w:p>
    <w:p>
      <w:pPr>
        <w:spacing w:after="0" w:line="181"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As of December 31, 2017, 67% of the Bank’s total deposits represented deposits from central banks or their designees (i.e., the Bank’s Class A shareholders), 14% of the Bank’s deposits represented deposits from private sector commercial banks and financial institutions, 13% of the Bank’s deposits represented deposits from state-owned and private corporations, and 6% of the Bank’s deposits represented deposits from state-owned banks.</w:t>
      </w:r>
    </w:p>
    <w:p>
      <w:pPr>
        <w:spacing w:after="0" w:line="147" w:lineRule="exact"/>
        <w:rPr>
          <w:sz w:val="20"/>
          <w:szCs w:val="20"/>
          <w:color w:val="auto"/>
        </w:rPr>
      </w:pPr>
    </w:p>
    <w:p>
      <w:pPr>
        <w:spacing w:after="0"/>
        <w:rPr>
          <w:sz w:val="20"/>
          <w:szCs w:val="20"/>
          <w:color w:val="auto"/>
        </w:rPr>
      </w:pPr>
      <w:r>
        <w:rPr>
          <w:rFonts w:ascii="Arial" w:cs="Arial" w:eastAsia="Arial" w:hAnsi="Arial"/>
          <w:sz w:val="17"/>
          <w:szCs w:val="17"/>
          <w:color w:val="auto"/>
        </w:rPr>
        <w:t>As a U.S. dollar-based economy, Panama does not have a central bank, and there is no lender of last resort to the banking system in the country.</w:t>
      </w:r>
    </w:p>
    <w:p>
      <w:pPr>
        <w:spacing w:after="0" w:line="23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credit ratings of Bladex are an important factor in maintaining the Bank’s liquidity. A reduction in the Bank’s credit rating could reduce the Bank’s access to debt markets or materially increase the cost of issuing debt, trigger additional collateral or funding requirements, and decrease the number of investors and counterparties willing or permitted, contractually or otherwise, to do business with or lend to the Bank. This in turn could reduce the Bank’s liquidity and negatively impact its results of operations and financial position.</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 w:name="page11"/>
    <w:bookmarkEnd w:id="10"/>
    <w:p>
      <w:pPr>
        <w:jc w:val="both"/>
        <w:spacing w:after="0" w:line="277" w:lineRule="auto"/>
        <w:rPr>
          <w:sz w:val="20"/>
          <w:szCs w:val="20"/>
          <w:color w:val="auto"/>
        </w:rPr>
      </w:pPr>
      <w:r>
        <w:rPr>
          <w:rFonts w:ascii="Arial" w:cs="Arial" w:eastAsia="Arial" w:hAnsi="Arial"/>
          <w:sz w:val="18"/>
          <w:szCs w:val="18"/>
          <w:color w:val="auto"/>
        </w:rPr>
        <w:t>Any of the above factors, either individually or together as a group, could adversely impact the Bank’s financial condition, results of operations and cash flows.</w:t>
      </w:r>
    </w:p>
    <w:p>
      <w:pPr>
        <w:spacing w:after="0" w:line="170"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The Bank’s allowance for ECL could be inadequate to cover credit losses mostly related to its loans, loan commitments and financial guarantee contracts.</w:t>
      </w:r>
    </w:p>
    <w:p>
      <w:pPr>
        <w:spacing w:after="0" w:line="260"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 determines the appropriate level of allowances for ECL based on a forward-looking process that estimates the probable loss inherent in its portfolio, which is the result of a statistical analysis supported by the Bank’s historical portfolio performance, external sources and the judgment of the Bank’s management. The latter reflects assumptions and estimates made in the context of changing political and economic conditions in the Region. The Bank’s commercial portfolio (the “Commercial Portfolio”) includes gross loans (the “Loan Portfolio”), customers’ liabilities under acceptances, loan commitments and financial guarantee contracts, such as confirmed and stand-by letters of credit, and guarantees covering commercial risk. The Bank’s allowances for ECL could be inadequate to cover losses in its Commercial Portfolio due to concentration of exposure or deterioration in certain sectors or countries, which in turn could have a material adverse effect on the Bank’s financial condition, results of operations and cash flows.</w:t>
      </w:r>
    </w:p>
    <w:p>
      <w:pPr>
        <w:spacing w:after="0" w:line="17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Bank’s businesses are subject to market risk inherent in the Bank’s financial instruments, as fluctuations in different metrics may have adverse effects on its financial position.</w:t>
      </w:r>
    </w:p>
    <w:p>
      <w:pPr>
        <w:spacing w:after="0" w:line="170"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Market risk generally represents the risk that the values of assets and liabilities or revenues will be adversely affected by changes in market conditions. Market risk is inherent in the financial instruments associated with many of the Bank’s operations and activities, including loans and securities at amortized cost, deposits, financial instruments at fair value through profit or loss (“FVTPL”) and at fair value through OCI (“FVOCI”), short-term and long-term borrowings and debt, derivatives and trading positions. This risk may result from fluctuations in different metrics: interest rates, currency exchange rates, inflation rates and changes in the implied volatility of interest rates and changes in securities prices, due to changes in either market perception or actual credit quality of either the relevant issuer or its country of origin. Accordingly, depending on the instruments or activities impacted, market risks can have wide ranging, complex adverse effects on the Bank’s financial condition, results of operations, cash flows and business.</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color w:val="auto"/>
        </w:rPr>
        <w:t>See Item 11, “Quantitative and Qualitative Disclosures About Market Risk.”</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 faces interest rate risk that is caused by the mismatch in maturities of interest-earning assets and interest-bearing liabilities. If not properly managed, this mismatch can reduce net interest income as interest rates fluctuate.</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a bank, Bladex faces interest rate risk because interest-bearing liabilities generally reprice at a different pace than interest-earning assets. Bladex’s exposure to financial instruments whose values vary with the level or volatility of interest rates contributes to its interest rate risk. Failure to adequately manage eventual mismatches may reduce the Bank’s net interest income during periods of fluctuating interest rates.</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Bank’s Commercial Portfolio may decrease or may not continue to grow at historical rates. Additionally, growth in the Bank’s Commercial Portfolio, as well as factors beyond the Bank’s control, may require an increase in the Bank’s allowance for ECL.</w:t>
      </w:r>
    </w:p>
    <w:p>
      <w:pPr>
        <w:spacing w:after="0" w:line="170"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It is difficult to predict whether the Bank’s Commercial Portfolio, including the Bank’s foreign trade portfolio, will grow at historical rates. A reversal or slowdown in the growth rate of the Region’s economy and trade volumes could adversely affect the Bank’s Commercial Portfolio. On the other hand, the future expansion of Bladex’s Commercial Portfolio may expose the Bank to higher levels of potential or actual losses and require an increase in the allowance for ECL, which could negatively impact the Bank’s operating results and financial position. Non-performing or low credit quality loans can negatively impact the Bank’s results of operations. The Bank may not be able to effectively control the level of the impaired loans in its total Loan Portfolio. In particular, the amount of its reported non-performing loans may increase in the future as a result of growth in its Loan Portfolio, including loans that the Bank may acquire in the future, or factors beyond the Bank’s control, such as the impact of economic trends and political events affecting the Region, certain industries or financial markets and global economies, or particular clients’ businesses which could have a material adverse effect on the Bank’s financial condition, results of operations and cash flows.</w:t>
      </w: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 w:name="page12"/>
    <w:bookmarkEnd w:id="11"/>
    <w:p>
      <w:pPr>
        <w:spacing w:after="0"/>
        <w:rPr>
          <w:sz w:val="20"/>
          <w:szCs w:val="20"/>
          <w:color w:val="auto"/>
        </w:rPr>
      </w:pPr>
      <w:r>
        <w:rPr>
          <w:rFonts w:ascii="Arial" w:cs="Arial" w:eastAsia="Arial" w:hAnsi="Arial"/>
          <w:sz w:val="16"/>
          <w:szCs w:val="16"/>
          <w:b w:val="1"/>
          <w:bCs w:val="1"/>
          <w:i w:val="1"/>
          <w:iCs w:val="1"/>
          <w:color w:val="auto"/>
        </w:rPr>
        <w:t>Increased competition and banking industry consolidation could limit the Bank’s ability to grow and may adversely affect results of operations.</w:t>
      </w:r>
    </w:p>
    <w:p>
      <w:pPr>
        <w:spacing w:after="0" w:line="24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Most of the competition the Bank faces in the trade finance business comes from domestic and international banks, and in particular European, North American and Asian institutions. Many of these banks have substantially greater resources than the Bank, may have better credit ratings, and may have access to less expensive funding than the Bank does. It is difficult to predict how increased competition will affect the Bank’s growth prospects and results of operations.</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Over time, there has been substantial consolidation among companies in the financial services industry, and this trend has accelerated in recent years as the credit crisis led to numerous mergers and acquisitions among industry participants and in certain cases reorganization, restructuring, or even bankruptcy. Merger activity in the financial services industry has produced companies that are capable of offering a wide array of financial products and services at competitive prices. In addition, whenever economic conditions and risk perception improve in the Region, competition from commercial banks, the securities markets and other new market entrants generally increases.</w:t>
      </w:r>
    </w:p>
    <w:p>
      <w:pPr>
        <w:spacing w:after="0" w:line="18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Globalization of the capital markets and financial services industries exposes the Bank to further competition. To the extent the Bank expands into new business areas and new markets, the Bank may face competitors with more experience and more established relationships with clients, regulators and industry participants in the relevant market, which could adversely affect the Bank’s ability to compete. The Bank’s ability to grow its business and therefore, its earnings, may be affected by these competitive pressures.</w:t>
      </w:r>
    </w:p>
    <w:p>
      <w:pPr>
        <w:spacing w:after="0" w:line="18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b w:val="1"/>
          <w:bCs w:val="1"/>
          <w:i w:val="1"/>
          <w:iCs w:val="1"/>
          <w:color w:val="auto"/>
        </w:rPr>
        <w:t>The Bank’s businesses rely heavily on data collection, management and processing, and information systems, the failure of which could have a material adverse effect on the Bank, including the effectiveness of the Bank’s risk management and internal control systems.</w:t>
      </w:r>
    </w:p>
    <w:p>
      <w:pPr>
        <w:spacing w:after="0" w:line="147"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All of the Bank’s principal businesses are highly dependent on the ability to timely collect and process a large amount of financial and other information across numerous and diverse markets, at a time when transaction processes have become increasingly complex with increasing volume. The proper functioning of financial control, accounting or other data collection and processing systems is critical to the Bank’s businesses and to its ability to compete effectively. A partial or complete failure of any of these primary systems could materially and adversely affect the Bank’s decision-making process, risk management and internal control systems, as well as the Bank’s ability to respond on a timely basis to changing market conditions. If the Bank cannot maintain an effective data collection, management and processing system, it may be materially and adversely affected.</w:t>
      </w:r>
    </w:p>
    <w:p>
      <w:pPr>
        <w:spacing w:after="0" w:line="178"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Bank is also dependent on information systems to operate its website, process transactions, respond to customer inquiries on a timely basis and maintain cost-efficient operations. The Bank may experience cyberattacks or operational problems with its information systems as a result of system defects and failures (including failure to update systems), viruses, worms, and other malicious software from computer “hackers” or other sources, which could unexpectedly interfere with the operation of the Bank’s systems. The Bank also relies in certain limited capacities on third-party data management providers. Any security problems and security vulnerabilities of such third-party data management providers may have and adverse effect on us. The Bank’s ability to remain competitive depends in part on its ability to upgrade its information technology on a timely and cost-effective basis. The Bank continually makes investments and improvements in its information technology infrastructure in order to remain competitive. The Bank may not be able to maintain the level of capital expenditures necessary to support the improvement or upgrading of its information technology infrastructure. Any failure to effectively improve or upgrade its information technology infrastructure and management information systems in a timely manner could have a material adverse effect on the Bank. The Bank’s reputation could also suffer if the Bank is unable to protect its customers’ information from being used by third parties for illegal or improper purposes.</w:t>
      </w:r>
    </w:p>
    <w:p>
      <w:pPr>
        <w:spacing w:after="0" w:line="39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2" w:name="page13"/>
    <w:bookmarkEnd w:id="12"/>
    <w:p>
      <w:pPr>
        <w:spacing w:after="0"/>
        <w:rPr>
          <w:sz w:val="20"/>
          <w:szCs w:val="20"/>
          <w:color w:val="auto"/>
        </w:rPr>
      </w:pPr>
      <w:r>
        <w:rPr>
          <w:rFonts w:ascii="Arial" w:cs="Arial" w:eastAsia="Arial" w:hAnsi="Arial"/>
          <w:sz w:val="16"/>
          <w:szCs w:val="16"/>
          <w:b w:val="1"/>
          <w:bCs w:val="1"/>
          <w:i w:val="1"/>
          <w:iCs w:val="1"/>
          <w:color w:val="auto"/>
        </w:rPr>
        <w:t>Operational problems or errors can have a material adverse impact on the Bank’s business, financial condition, results of operations and cash flows.</w:t>
      </w:r>
    </w:p>
    <w:p>
      <w:pPr>
        <w:spacing w:after="0" w:line="24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like all financial institutions, is exposed to operational risks, including the risk of fraud by employees and third parties, failure to obtain proper internal authorizations, failure to properly document transactions, equipment failures and errors by employees. Any failure, interruption or breach in the security or operation of the Bank’s information technology systems could result in interruptions in such activities. Operational problems or errors such as these may have a material adverse impact on the Bank’s business, financial condition, results of operations and cash flows.</w:t>
      </w:r>
    </w:p>
    <w:p>
      <w:pPr>
        <w:spacing w:after="0" w:line="17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Any delays or failure to implement business initiatives that the Bank may undertake could prevent the Bank from realizing the anticipated revenues and benefits of these initiatives.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Part of the Bank’s strategy is to diversify income sources through certain business initiatives, including targeting new clients and developing new products and services. These initiatives may not be fully implemented within the time frame the Bank expects, or at all. In addition, even if such initiatives are fully implemented, they may not generate revenues as expected, which could adversely affect the Bank’s business, results of operations and growth prospects. Any delays in implementing these business initiatives could prevent the Bank from realizing the anticipated benefits of the initiatives, which could adversely affect the Bank’s business, results of operations and growth prospects.</w:t>
      </w:r>
    </w:p>
    <w:p>
      <w:pPr>
        <w:spacing w:after="0" w:line="18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b w:val="1"/>
          <w:bCs w:val="1"/>
          <w:i w:val="1"/>
          <w:iCs w:val="1"/>
          <w:color w:val="auto"/>
        </w:rPr>
        <w:t>Any failure to remain in compliance with applicable banking laws or other applicable regulations in the jurisdictions in which the Bank operates could harm its reputation and/or cause it to become subject to fines, sanctions or legal enforcement, which could have an adverse effect on the Bank’s business, financial condition and results of operations.</w:t>
      </w:r>
    </w:p>
    <w:p>
      <w:pPr>
        <w:spacing w:after="0" w:line="181"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Bladex has adopted various policies and procedures to ensure compliance with applicable laws, including internal controls and “know-your-customer” procedures aimed at preventing money laundering and terrorism financing; however, the participation of multiple parties in any given trade finance transaction can increase complexity and require additional time for due diligence. Also, because trade finance can be more reliant on document-based information than other banking activities, it is susceptible to documentary fraud, which can be linked to money laundering, terrorism financing, illicit activities and/or the circumvention of sanctions or other restrictions (such as export prohibitions, licensing requirements or other trade controls). While the Bank remains alert to potentially high-risk transactions, it is also aware that efforts such as forgery, double invoicing, partial shipments of goods and use of fictitious goods, may be used to evade applicable laws and regulations. If the Bank’s policies and procedures are ineffective in preventing third parties from using it as a conduit for money laundering or terrorism financing without its knowledge, the Bank’s reputation could suffer and/or it could become subject to fines, sanctions or legal action (including being added to any “blacklists” that would prohibit certain parties from engaging in transactions with the Bank), which could have an adverse effect on the Bank’s business, financial condition and results of operations. In addition, amendments to applicable laws and regulations in Panama and other countries in which the Bank operates could impose additional compliance burdens on the Bank.</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3" w:name="page14"/>
    <w:bookmarkEnd w:id="13"/>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The Bank may not be able to detect or prevent money laundering and other financial crimes fully or on a timely basis, which could expose the Bank to additional liability and could have a material adverse effect on the Bank.</w:t>
      </w:r>
    </w:p>
    <w:p>
      <w:pPr>
        <w:spacing w:after="0" w:line="170"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Bank is required to comply with applicable anti-money laundering (“AML”), anti-terrorism, anti-bribery and corruption sanctions, laws and regulations. The Bank has developed policies and procedures aimed at detecting and preventing the use of its banking network for money laundering and other financial crime related activities. Financial crime is continually evolving and is subject to increasingly stringent regulatory oversight and focus. This requires proactive and adaptive responses from the Bank so that it is able to deter threats and criminality effectively. If the Bank is unable to fully comply with applicable laws, regulations and expectations, regulators and relevant law enforcement agencies may impose significant fines and other penalties on the Bank, including a complete review of its business systems, day-to-day supervision by external consultants and ultimately the revocation of the Bank’s banking license.</w:t>
      </w:r>
    </w:p>
    <w:p>
      <w:pPr>
        <w:spacing w:after="0" w:line="16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In addition, while the Bank reviews its counterparties’ internal policies and procedures with respect to such matters, the Bank, to a large degree, relies upon its counterparties to maintain and properly apply their own appropriate compliance procedures and internal policies. Such measures, procedures and internal policies may not be completely effective in preventing third parties from using the Bank’s (and its counterparties’) services as a conduit for illicit purposes (including illegal cash operations) without the Bank’s (and its counterparties’) knowledge. If the Bank is associated with, or even accused of having breached AML, anti-terrorism or sanctions requirements, the Bank’s reputation could suffer and/or the Bank could become subject to fines, sanctions and/or legal enforcement (including being added to any blacklists that would prohibit certain parties from engaging in transactions with the Bank). Any of the above consequences could have a material adverse effect on the Bank’s operating results, financial condition and prospects.</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Changes in applicable law and regulation may have a material adverse effect on the Bank</w:t>
      </w:r>
      <w:r>
        <w:rPr>
          <w:rFonts w:ascii="Arial" w:cs="Arial" w:eastAsia="Arial" w:hAnsi="Arial"/>
          <w:sz w:val="18"/>
          <w:szCs w:val="18"/>
          <w:color w:val="auto"/>
        </w:rPr>
        <w:t>.</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is subject to extensive laws and regulations regarding the Bank’s organization, operations, lending and funding activities, capitalization and other matters. The Bank has no control over applicable law and government regulations, which govern all aspects of its operations, including regulations that impose:</w:t>
      </w:r>
    </w:p>
    <w:p>
      <w:pPr>
        <w:spacing w:after="0" w:line="181" w:lineRule="exact"/>
        <w:rPr>
          <w:sz w:val="20"/>
          <w:szCs w:val="20"/>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Minimum capital requirements;</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Reserve and compulsory deposit requirements;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Funding restrictions;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Lending limits, earmarked lending and other credit restrictions;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Limits on investments in fixed assets;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Corporate governance requirements;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Accounting and statistical requirements; and</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Other requirements or limitations.</w:t>
      </w:r>
    </w:p>
    <w:p>
      <w:pPr>
        <w:spacing w:after="0" w:line="21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regulatory structure governing financial institutions, such as the Bank, is continuously evolving. Disruptions and volatility in the global financial markets resulting in liquidity problems at major international financial institutions could lead the governments in jurisdictions in which the Bank operates to change laws and regulations applicable to financial institutions based on such international developments.</w:t>
      </w:r>
    </w:p>
    <w:p>
      <w:pPr>
        <w:spacing w:after="0" w:line="181"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In response to the global financial crisis, which began in late 2007, national and intergovernmental regulatory entities, such as the Basel Committee on Banking Regulations and Supervisory Practices (the “Basel Committee”) proposed reforms to prevent the recurrence of a similar crisis, including the Basel III framework, which creates new higher minimum regulatory capital requirements. On December 16, 2010 and January 13, 2011, the Basel Committee issued its original guidance (which was updated in 2013) on a number of regulatory reforms to the regulatory capital framework in order to strengthen minimum capital requirements, including the phasing out of innovative Tier 1 and 2 Capital instruments with incentive-based redemption clauses and implementing a leverage ratio on institutions in addition to current risk-based regulatory requirements. The Superintendency of Banks of Panama (“Superintendencia de Bancos de Panamá” or the “Superintendency”) is authorized to increase the minimum capital requirement percentage in Panama in the event that generally accepted international capitalization standards (the standards set by the Basel Committee on Banking Supervision) become more stringent.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The Bank follows Basel III criteria to determine capitalization levels, and has determined the Bank’s Tier 1 Basel III capital ratio to be 21.1% as of December 31, 2017.</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4" w:name="page15"/>
    <w:bookmarkEnd w:id="14"/>
    <w:p>
      <w:pPr>
        <w:jc w:val="both"/>
        <w:spacing w:after="0" w:line="259" w:lineRule="auto"/>
        <w:rPr>
          <w:sz w:val="20"/>
          <w:szCs w:val="20"/>
          <w:color w:val="auto"/>
        </w:rPr>
      </w:pPr>
      <w:r>
        <w:rPr>
          <w:rFonts w:ascii="Arial" w:cs="Arial" w:eastAsia="Arial" w:hAnsi="Arial"/>
          <w:sz w:val="18"/>
          <w:szCs w:val="18"/>
          <w:color w:val="auto"/>
        </w:rPr>
        <w:t>Based on the Bank’s current regulatory capital ratios, as well as conservative assumptions on expected returns and asset growth, the Bank does not anticipate that additional regulatory capital will be required to support its operations in the near future. However, depending on the effects of the rules that complete the implementation of the Basel III framework on Panamanian banks and particularly on other Bank operations, the Bank may need to reassess its ongoing funding strategy for regulatory capital.</w:t>
      </w:r>
    </w:p>
    <w:p>
      <w:pPr>
        <w:spacing w:after="0" w:line="187"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The Bank also has operations in countries outside of Panama, including the United States. Changes in the laws or regulations applicable to the Bank business in the countries in which it operates or adoption of new laws, such as the Dodd-Frank Wall Street Reform and Consumer Protection Act (the “Dodd-Frank Act”) in the United States and the related rulemaking, may have a material adverse effect on the Bank’s business, financial condition and results of operations. The Dodd-Frank Act was signed into law on July 21, 2010 and was intended to overhaul the financial regulatory framework in the United States following the global financial crisis and has substantially impacted all financial institutions that are subject to its requirements. The Dodd-Frank Act, among other things, imposes higher prudential standards, including more stringent risk-based capital, leverage, liquidity and risk-management requirements, established a Bureau of Consumer Financial Protection, established a systemic risk regulator, consolidated certain federal bank regulators, imposes additional requirements related to corporate governance and executive compensation and requires various U.S. federal agencies to adopt a broad range of new implementing rules and regulations, for which they are given broad discretion.</w:t>
      </w:r>
    </w:p>
    <w:p>
      <w:pPr>
        <w:spacing w:after="0" w:line="182"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In 2014, the U.S. Federal Reserve Board issued a final rule strengthening supervision and regulation of large U.S. bank holding companies and foreign banking organizations, such as the Bank. The final rule establishes a number of enhanced prudential standards for large U.S. bank holding companies and foreign banking organizations to help increase the resiliency of their operations. These standards include liquidity, risk management, and capital. The final rule was required by section 165 of the Dodd-Frank Act. Under the final rule, foreign banking organizations with combined U.S. assets of $50 billion or more will be required to establish a U.S. risk committee and employ a U.S. chief risk officer to help ensure that the foreign bank understands and manages the risks of its combined U.S. operations. In addition, these foreign banking organizations will be required to meet enhanced liquidity risk-management standards, conduct liquidity stress tests, and hold a buffer of highly liquid assets based on projected funding needs during a 30-day stress test event. Foreign banking organizations with total consolidated assets of $50 billion or more, but combined U.S. assets of less than $50 billion, are subject to enhanced prudential standards. However, the capital, liquidity, risk-management and stress testing requirements applicable to these foreign banking organizations are substantially less than those applicable to foreign banking organizations with a larger U.S. presence. In addition, the final rule implements stress testing requirements for foreign banking organizations with total consolidated assets of more than $10 billion and risk committee requirements for foreign banking organizations that meet the asset threshold and are publicly traded. While the majority of these enhanced prudential standards are not currently applicable to the Bank, they could ultimately become applicable as the Bank grows, its U.S. presence or assets increase or if the Dodd-Frank Act is later amended, modified or supplemented with new legislation.</w:t>
      </w:r>
    </w:p>
    <w:p>
      <w:pPr>
        <w:spacing w:after="0" w:line="185"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On December 10, 2013, pursuant to the Dodd-Frank Act, federal banking and securities regulators issued final rules to implement Section 619 of the Dodd-Frank Act (the “Volcker Rule”). Generally, subject to certain exceptions, the Volcker Rule restricts banks from: (i) short-term proprietary trading as principal in securities and other financial instruments, and (ii) sponsoring or acquiring or retaining an ownership interest in private equity and hedge funds. The Volcker Rule prohibitions and restrictions generally apply to banking entities, including the Bank, unless an exception applies. Based on analysis of applicable regulations and the Bank’s investment activities, the Bank has determined that its current investment activities are not subject to the Volcker Rule restrictions.</w:t>
      </w:r>
    </w:p>
    <w:p>
      <w:pPr>
        <w:spacing w:after="0" w:line="37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5" w:name="page16"/>
    <w:bookmarkEnd w:id="15"/>
    <w:p>
      <w:pPr>
        <w:jc w:val="both"/>
        <w:spacing w:after="0" w:line="264" w:lineRule="auto"/>
        <w:rPr>
          <w:sz w:val="20"/>
          <w:szCs w:val="20"/>
          <w:color w:val="auto"/>
        </w:rPr>
      </w:pPr>
      <w:r>
        <w:rPr>
          <w:rFonts w:ascii="Arial" w:cs="Arial" w:eastAsia="Arial" w:hAnsi="Arial"/>
          <w:sz w:val="18"/>
          <w:szCs w:val="18"/>
          <w:color w:val="auto"/>
        </w:rPr>
        <w:t>The Dodd-Frank Act also will have an impact on the Bank’s derivatives activities if it enters into swaps or security-based swaps with U.S. persons. In particular, Bladex may be subject to mandatory trade execution, mandatory clearing and mandatory posting of margin in connection with its swaps and security-based swaps with U.S. persons.</w:t>
      </w:r>
    </w:p>
    <w:p>
      <w:pPr>
        <w:spacing w:after="0" w:line="181"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On March 18, 2010, the Hiring Incentives to Restore Employment Act of 2010, Pub. L. 111-147 (H.R. 2847), added sections 1471 through 1474 (collectively, “FATCA”) to Subtitle A of the Internal Revenue Code of 1986, as amended (the “Code”). FATCA requires withholding agents, including foreign financial institutions (“FFIs”), to withhold thirty percent (30%) of certain payments to a FFI unless the FFI has entered into an agreement with the U.S. Internal Revenue Service (“IRS”) to, among other things, report certain information with respect to U.S. accounts. FATCA also imposes on withholding agents certain withholding, documentation and reporting requirements with respect to certain payments made to certain non-financial foreign entities.</w:t>
      </w:r>
    </w:p>
    <w:p>
      <w:pPr>
        <w:spacing w:after="0" w:line="15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On June 30, 2014, Panama signed a Model 1 intergovernmental agreement (“Panama IGA”) with the U.S. for purposes of FATCA. Under the Panama IGA, most Panamanian financial institutions are required to register with the IRS and comply with the requirements of the Panama IGA, including with respect to due diligence, reporting and withholding.</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To this end, the Bank registered with the IRS on April 23, 2014 as a Registered Deemed-Compliant Financial Institution (including a Reporting Financial Institution under a Model 1 IGA) and is required under the Panama IGA to identify U.S. persons and report certain information required by the IRS, through the tax authorities in Panama.</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changes in applicable laws and regulations, as well as the volume and complexity of the laws and regulations applicable to the Bank, may have a material adverse effect on the Bank.</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Adoption of IFRS affects the presentation of our financial information, which was prepared under United States Generally Accepted Accounting Principles (“U.S. GAAP”) prior to January 1, 2015.</w:t>
      </w:r>
    </w:p>
    <w:p>
      <w:pPr>
        <w:spacing w:after="0" w:line="170"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On January 1, 2015, the Bank began preparing its financial statements in accordance with IFRS, in compliance with a Superintendency mandate applicable to all financial institutions registered under general license in Panama. Prior to and including the year ended December 31, 2014, the Bank prepared its financial statements in accordance with U.S. GAAP. Because IFRS differ in certain significant respects from U.S. GAAP, the Bank’s financial information prepared and presented in its previous annual reports under U.S. GAAP is not directly comparable to its IFRS financial data. The lack of comparability with historical financial data may make it difficult to gain a full and accurate understanding of the Bank’s operations and financial condition.</w:t>
      </w:r>
    </w:p>
    <w:p>
      <w:pPr>
        <w:spacing w:after="0" w:line="15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Any failure by the Bank to maintain effective internal control over financial reporting may adversely affect investor confidence and, as a result, the value of investments in our securities.</w:t>
      </w:r>
    </w:p>
    <w:p>
      <w:pPr>
        <w:spacing w:after="0" w:line="170"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Bank is required under the Sarbanes-Oxley Act of 2002 to furnish a report by the Bank’s management on the effectiveness of its internal control over financial reporting and to include a report by its independent auditors attesting to such effectiveness. Any failure by the Bank to maintain effective internal control over financial reporting could adversely affect its ability to report accurately its financial condition or results of operations. If the Bank is unable to conclude that its internal control over financial reporting is effective, or if its independent auditors determine that Bladex has a material weakness or significant deficiency in its internal control over financial reporting, the Bank could lose investor confidence in the accuracy and completeness of its financial reports, the market prices of its shares could decline, and could be subject to sanctions or investigations by the SEC or other regulatory authorities. Failure to remedy any material weakness in its internal control over financial reporting, or to implement or maintain other effective control systems required of public companies subject to SEC regulation, also could restrict the Bank’s future access to the capital markets.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6" w:name="page17"/>
    <w:bookmarkEnd w:id="16"/>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The Bank makes estimates and assumptions in connection with the preparation of its consolidated financial statements, and any changes to those estimates and assumptions could have a material adverse effect on its operating results.</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connection with the preparation of its consolidated financial statements, the Bank uses certain estimates and assumptions based on historical experience and other factors. While the Bank’s management believes that these estimates and assumptions are reasonable under the current circumstances, they are subject to significant uncertainties, some of which are beyond its control. Should any of these estimates and assumptions change or prove to have been incorrect, its reported operating results could be materially adversely affected.</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Recent changes in the Bank’s senior management team may be disruptive to, or cause uncertainty in, the Bank’s business, results of operations and the market price of its shares.</w:t>
      </w:r>
    </w:p>
    <w:p>
      <w:pPr>
        <w:spacing w:after="0" w:line="170"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The Bank has recently experienced turnover in its senior management team, including the replacement of its Chief Executive Officer and Chief Financial Officer. As previously announced, Rubens V. Amaral Jr. has decided to retire as Chief Executive Officer and will be succeeded by Gabriel Tolchinsky upon Mr. Amaral’s departure from the Bank effective at close of business on April 30, 2018. While the Bank’s new Chief Executive Officer has extensive management experience at financial institutions and funds focused on the Region, he has limited experience as a senior officer of the Bank, having served as Chief Operating Officer since May 2017. The Bank’s new Chief Financial Officer, Ana Graciela de Méndez, has worked at the Bank in various capacities since 1990, and has held the role of alternate to the Chief Financial Officer since 2014, though she has limited experience serving as the Bank’s Chief Financial Officer, having been appointed in December 2017. Any lack of experience in their roles as Chief Executive Officer and Chief Financial Officer of the Bank, respectively, or lack of experience working together as a group, could negatively impact the Bank’s senior management team’s ability to quickly and efficiently respond to problems and effectively manage the Bank’s business. If the Bank’s management team is not able to work effectively, either individually or as together as a group, the Bank’s results of operations and market price of its shares may suffer, and its business may be harmed.</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Risks Relating to the Region</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b w:val="1"/>
          <w:bCs w:val="1"/>
          <w:i w:val="1"/>
          <w:iCs w:val="1"/>
          <w:color w:val="auto"/>
        </w:rPr>
        <w:t>The Bank’s mission is focused on supporting trade and regional integration across the Region. As a result, any increases in tariffs or other restrictions on foreign trade, or resulting uncertainty that reduces international trade flows, either throughout the Region or globally, could adversely affect the Bank’s business, results of operations or share price.</w:t>
      </w:r>
    </w:p>
    <w:p>
      <w:pPr>
        <w:spacing w:after="0" w:line="181"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Bank’s mission is focused on supporting trade and regional integration across the Region, and a significant portion of the Bank’s operations is derived from financing trade related transactions. As a result, increases in tariffs, changes in U.S. political, regulatory and economic conditions, or in U.S. policies governing infrastructure, trade and foreign investment in the U.S., or other restrictions on foreign trade throughout the Region or globally could adversely affect the Bank’s business and results of operations. For example, the Trump administration in the U.S. has increasingly threatened to impose tariffs on a variety of imports from countries throughout the world, including the Region, and has recently imposed certain tariffs on steel and aluminum. China has recently announced retaliatory tariffs against certain American products. Furthermore, the Trump administration has expressed significant doubts regarding existing trade agreements, including the North American Free Trade Agreement (“NAFTA”), and issued an executive order announcing the United States’ withdrawal from the Trans-Pacific Partnership (“TPP”). There can be no assurance that the U.S. or China, or other countries, including those in the Region, will not move to implement further tariffs or restrictions on trade, or what the scope and effects of any such restrictions might be. Any such tariffs or restrictions, or uncertainty surrounding any future restrictions, could materially adversely affect international trade flows, which is a core sector underlying the Bank’s business model. The Bank’s business, financial condition, results of operations and share price could therefore be materially adversely effected by any such developments.</w:t>
      </w:r>
    </w:p>
    <w:p>
      <w:pPr>
        <w:spacing w:after="0" w:line="180"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Global markets and currencies were also adversely impacted after the U.K.’s referendum on the exit from the European Union (the “E.U.”), commonly referred to as “Brexit”, was passed into law, and on June 19, 2017 negotiations commenced to determine the future terms of the U.K.’s relationship with the E.U. After several months of negotiations, an initial settlement has been reached on some of the key issues that were blocking future negotiation, such as trade arrangements. There is still uncertainty regarding the possible results of the initial settlement, as well as the outcome of pending tariff, trade, regulatory and other negotiations. As a result of the Brexit referendum, the global markets and currencies have been adversely impacted, including sharp fluctuations in the value of the British pound as compared to the U.S. dollar. Such effects could have a material adverse effect on the Bank.</w:t>
      </w:r>
    </w:p>
    <w:p>
      <w:pPr>
        <w:spacing w:after="0" w:line="3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7" w:name="page18"/>
    <w:bookmarkEnd w:id="17"/>
    <w:p>
      <w:pPr>
        <w:jc w:val="both"/>
        <w:spacing w:after="0" w:line="264" w:lineRule="auto"/>
        <w:rPr>
          <w:sz w:val="20"/>
          <w:szCs w:val="20"/>
          <w:color w:val="auto"/>
        </w:rPr>
      </w:pPr>
      <w:r>
        <w:rPr>
          <w:rFonts w:ascii="Arial" w:cs="Arial" w:eastAsia="Arial" w:hAnsi="Arial"/>
          <w:sz w:val="18"/>
          <w:szCs w:val="18"/>
          <w:b w:val="1"/>
          <w:bCs w:val="1"/>
          <w:i w:val="1"/>
          <w:iCs w:val="1"/>
          <w:color w:val="auto"/>
        </w:rPr>
        <w:t>The Bank’s credit activities are concentrated in the Region. The Bank also faces borrower concentration. Adverse economic changes in the Region or in the condition of the Bank’s largest borrowers could adversely affect the Bank’s growth, asset quality, prospects, profitability, financial condition and financial results.</w:t>
      </w:r>
    </w:p>
    <w:p>
      <w:pPr>
        <w:spacing w:after="0" w:line="181"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As a reflection of the Bank’s mission and strategy, the Bank’s credit activities are concentrated in the Region. Economies in the Region have historically experienced significant volatility evidenced, in some cases, by political uncertainty, including with respect to upcoming elections, slow growth or recessions, declining investments, government and private sector debt defaults and restructurings, and significant inflation and/or currency devaluation. Global economic changes, including fluctuations in oil prices, commodity prices, U.S. dollar interest rates and U.S. dollar exchange rates, and slower economic growth in industrialized countries, could have adverse effects on the economic condition of countries in the Region, including Panama, and other countries in which the Bank operates. Adverse changes affecting the economies in the Region could have a significant adverse impact on the quality of the Bank’s credit exposures, including increased allowance for ECL, debt restructurings and loan losses. In turn, these effects could also have an adverse impact on the Bank’s asset growth, asset quality, prospects, profitability and financial condition.</w:t>
      </w:r>
    </w:p>
    <w:p>
      <w:pPr>
        <w:spacing w:after="0" w:line="17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Bank’s credit activities are concentrated in a number of countries. The Bank’s credit portfolio (the “Credit Portfolio”) consists of the Commercial Portfolio and the Investment Securities Portfolio. The “Investment Securities Portfolio” consists of securities at FVOCI and investment securities at amortized cost. Adverse changes affecting one or more of these economies could have an adverse impact on the Bank’s Credit Portfolio and, as a result, its financial condition, growth, prospects, results of operations and financial condition. As of December 31, 2017, 63% of the Bank’s Credit Portfolio was outstanding to borrowers in the following five countries: Brazil ($1,023 million, or 17%), Colombia ($949 million, or 16%), Mexico ($906 million, or 15%), Panama ($556 million, or 9%) and Costa Rica ($376 million, or 6%).</w:t>
      </w:r>
    </w:p>
    <w:p>
      <w:pPr>
        <w:spacing w:after="0" w:line="19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addition, as of December 31, 2017, of the Bank’s total Credit Portfolio balances, 8% were to five borrowers in Colombia, 7% were to five borrowers in each of Brazil and Mexico, and 5% were to five borrowers in each of Costa Rica and Panama. A significant deterioration of the financial or economic condition of any of these countries or borrowers could have an adverse impact on the Bank’s Credit Portfolio, potentially requiring the Bank to create additional allowances for ECL, or suffer credit losses with the effect accentuated because of this concentration.</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See Item 4.B., “Information on the Company—Business Overview—Developments During 2017”.</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Local country foreign exchange controls or currency devaluation, monetary tightening, higher interest rates and rising inflation, may harm the Bank’s borrowers’ ability to pay U.S. dollar-denominated obligations.</w:t>
      </w:r>
    </w:p>
    <w:p>
      <w:pPr>
        <w:spacing w:after="0" w:line="170"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The Bank makes mostly U.S. dollar-denominated loans and investments. As a result, the Bank faces the risk that local foreign exchange controls may restrict the ability of the Bank’s borrowers to acquire dollars to repay loans on a timely basis, even if they are exporters, and/or that significant currency devaluation might occur, which could increase the cost, in local currency terms, to the Bank’s borrowers of acquiring dollars to repay loans. Additionally, several Latin American currencies have devalued sharply against the U.S. dollar, on concerns about the U.S. trade policy agenda, coupled with a trend of rate increases by the U.S. Federal Reserve Board. Asset risks may rise for banks that lend to exporters or high value-added manufacturers, particularly in the automotive supplier and technology sectors in the Region. U.S. monetary tightening and rising inflation could prompt central banks to tighten monetary policy in Latin American countries, with higher rates potentially leading to weaker asset quality. Rising rates may reduce borrower repayment capacity, leading to an increase in non-performing loan (NPL) ratios as loan growth decelerates. Any of these factors could harm the Bank’s borrowers’ ability to pay U.S. dollar-denominated obligations, which could adversely affect the Bank’s business and results of operations.</w:t>
      </w:r>
    </w:p>
    <w:p>
      <w:pPr>
        <w:spacing w:after="0" w:line="39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8" w:name="page19"/>
    <w:bookmarkEnd w:id="18"/>
    <w:p>
      <w:pPr>
        <w:jc w:val="both"/>
        <w:spacing w:after="0" w:line="277" w:lineRule="auto"/>
        <w:rPr>
          <w:sz w:val="20"/>
          <w:szCs w:val="20"/>
          <w:color w:val="auto"/>
        </w:rPr>
      </w:pPr>
      <w:r>
        <w:rPr>
          <w:rFonts w:ascii="Arial" w:cs="Arial" w:eastAsia="Arial" w:hAnsi="Arial"/>
          <w:sz w:val="18"/>
          <w:szCs w:val="18"/>
          <w:b w:val="1"/>
          <w:bCs w:val="1"/>
          <w:i w:val="1"/>
          <w:iCs w:val="1"/>
          <w:color w:val="auto"/>
        </w:rPr>
        <w:t>Increased risk perception in countries in the Region where the Bank has large credit exposures could have an adverse impact on the Bank’s credit ratings, funding activities and funding costs.</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Increased risk perception in any country where the Bank has large exposures could trigger downgrades to the Bank’s credit ratings. A credit rating downgrade would likely increase the Bank’s funding costs, and may reduce its deposit base and access to the debt capital markets. In that case, the Bank’s ability to obtain the necessary funding to carry on its financing activities in the Region at meaningful levels could be affected adversely.</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on the Bank’s Risk Management, see Item 18, “Financial Statements”, note 27.</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4.</w:t>
      </w:r>
      <w:r>
        <w:rPr>
          <w:sz w:val="20"/>
          <w:szCs w:val="20"/>
          <w:color w:val="auto"/>
        </w:rPr>
        <w:tab/>
      </w:r>
      <w:r>
        <w:rPr>
          <w:rFonts w:ascii="Arial" w:cs="Arial" w:eastAsia="Arial" w:hAnsi="Arial"/>
          <w:sz w:val="16"/>
          <w:szCs w:val="16"/>
          <w:b w:val="1"/>
          <w:bCs w:val="1"/>
          <w:color w:val="auto"/>
        </w:rPr>
        <w:t>Information on the Company</w:t>
      </w:r>
    </w:p>
    <w:p>
      <w:pPr>
        <w:spacing w:after="0" w:line="225" w:lineRule="exact"/>
        <w:rPr>
          <w:sz w:val="20"/>
          <w:szCs w:val="20"/>
          <w:color w:val="auto"/>
        </w:rPr>
      </w:pPr>
    </w:p>
    <w:p>
      <w:pPr>
        <w:ind w:left="660" w:hanging="652"/>
        <w:spacing w:after="0"/>
        <w:tabs>
          <w:tab w:leader="none" w:pos="660" w:val="left"/>
        </w:tabs>
        <w:numPr>
          <w:ilvl w:val="0"/>
          <w:numId w:val="15"/>
        </w:numPr>
        <w:rPr>
          <w:rFonts w:ascii="Arial" w:cs="Arial" w:eastAsia="Arial" w:hAnsi="Arial"/>
          <w:sz w:val="18"/>
          <w:szCs w:val="18"/>
          <w:b w:val="1"/>
          <w:bCs w:val="1"/>
          <w:color w:val="auto"/>
        </w:rPr>
      </w:pPr>
      <w:r>
        <w:rPr>
          <w:rFonts w:ascii="Arial" w:cs="Arial" w:eastAsia="Arial" w:hAnsi="Arial"/>
          <w:sz w:val="18"/>
          <w:szCs w:val="18"/>
          <w:b w:val="1"/>
          <w:bCs w:val="1"/>
          <w:color w:val="auto"/>
        </w:rPr>
        <w:t>History and Development of the Company</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The Bank, a corporation </w:t>
      </w:r>
      <w:r>
        <w:rPr>
          <w:rFonts w:ascii="Arial" w:cs="Arial" w:eastAsia="Arial" w:hAnsi="Arial"/>
          <w:sz w:val="18"/>
          <w:szCs w:val="18"/>
          <w:i w:val="1"/>
          <w:iCs w:val="1"/>
          <w:color w:val="auto"/>
        </w:rPr>
        <w:t>(sociedad anónima)</w:t>
      </w:r>
      <w:r>
        <w:rPr>
          <w:rFonts w:ascii="Arial" w:cs="Arial" w:eastAsia="Arial" w:hAnsi="Arial"/>
          <w:sz w:val="18"/>
          <w:szCs w:val="18"/>
          <w:color w:val="auto"/>
        </w:rPr>
        <w:t xml:space="preserve"> organized under the laws of Panama and headquartered in Panama City, Panama, is a specialized multinational bank originally established by central banks of Latin American and Caribbean countries to promote foreign trade and economic integration in the Region. The legal name of the Bank is Banco Latinoamericano de Comercio Exterior, S.A. Translated into English, the Bank is also known as Foreign Trade Bank of Latin-America, Inc. The commercial name of the Bank is Bladex.</w:t>
      </w:r>
    </w:p>
    <w:p>
      <w:pPr>
        <w:spacing w:after="0" w:line="18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was established pursuant to a May 1975 proposal presented to the Assembly of Governors of Central Banks in the Region, which recommended the creation of a multinational organization to increase foreign trade financing capacity of the Region. The Bank was organized in 1977, incorporated in 1978 as a corporation pursuant to the laws of the Republic of Panama, and officially began operations on January 2, 1979. Panama was selected as the location of the Bank’s headquarters because of the country’s importance as a banking center in the Region, the benefits of a fully U.S. dollar-based economy, the absence of foreign exchange controls, its geographic location, and the quality of its communications facilities. Under a contract-law signed in 1978 between the Republic of Panama and Bladex, Bladex was granted certain privileges by the Republic of Panama, including an exemption from payment of income taxes in Panama.</w:t>
      </w:r>
    </w:p>
    <w:p>
      <w:pPr>
        <w:spacing w:after="0" w:line="18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offers its services through its head office in Panama City, its agency in New York (the “New York Agency”), its subsidiaries in Brazil and Mexico, and its representative offices in Buenos Aires, Argentina; Mexico City, Mexico; Sao Paulo, Brazil; Lima, Peru; and Bogotá, Colombia, as well as through a worldwide network of correspondent banks. On April 3, 2017, the Bank obtained approval from the National Banking and Securities Commission of Mexico to close its Representative Office in Monterrey, Mexico, and closed this office on April 7, 2017.</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Bladex’s head office is located at Torre V, Business Park, Avenida La Rotonda, Urb. Costa del Este, Panama City, Republic of Panama, and its telephone number is +507 210-8500. The New York Agency is located at 10 Bank Street, Suite 1220, White Plains, NY 10606, and its telephone number is +1 (914) 328-6640.</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Bladex’s shares of Class E common stock are listed on the New York Stock Exchange (“NYSE”) under the symbol “BLX.”</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9" w:name="page20"/>
    <w:bookmarkEnd w:id="19"/>
    <w:p>
      <w:pPr>
        <w:spacing w:after="0"/>
        <w:rPr>
          <w:sz w:val="20"/>
          <w:szCs w:val="20"/>
          <w:color w:val="auto"/>
        </w:rPr>
      </w:pPr>
      <w:r>
        <w:rPr>
          <w:rFonts w:ascii="Arial" w:cs="Arial" w:eastAsia="Arial" w:hAnsi="Arial"/>
          <w:sz w:val="18"/>
          <w:szCs w:val="18"/>
          <w:color w:val="auto"/>
        </w:rPr>
        <w:t>The following is a description of the Bank’s subsidiaries:</w:t>
      </w:r>
    </w:p>
    <w:p>
      <w:pPr>
        <w:spacing w:after="0" w:line="225" w:lineRule="exact"/>
        <w:rPr>
          <w:sz w:val="20"/>
          <w:szCs w:val="20"/>
          <w:color w:val="auto"/>
        </w:rPr>
      </w:pPr>
    </w:p>
    <w:p>
      <w:pPr>
        <w:ind w:left="980" w:hanging="324"/>
        <w:spacing w:after="0" w:line="277" w:lineRule="auto"/>
        <w:tabs>
          <w:tab w:leader="none" w:pos="980" w:val="left"/>
        </w:tabs>
        <w:numPr>
          <w:ilvl w:val="0"/>
          <w:numId w:val="16"/>
        </w:numPr>
        <w:rPr>
          <w:rFonts w:ascii="Arial" w:cs="Arial" w:eastAsia="Arial" w:hAnsi="Arial"/>
          <w:sz w:val="18"/>
          <w:szCs w:val="18"/>
          <w:color w:val="auto"/>
        </w:rPr>
      </w:pPr>
      <w:r>
        <w:rPr>
          <w:rFonts w:ascii="Arial" w:cs="Arial" w:eastAsia="Arial" w:hAnsi="Arial"/>
          <w:sz w:val="18"/>
          <w:szCs w:val="18"/>
          <w:color w:val="auto"/>
        </w:rPr>
        <w:t>Bladex Holdings Inc. (“Bladex Holdings”) is a wholly owned subsidiary, incorporated under the laws of the State of Delaware, USA, on May 30, 2000. Bladex Holdings maintains ownership in Bladex Representação Ltda.</w:t>
      </w:r>
    </w:p>
    <w:p>
      <w:pPr>
        <w:spacing w:after="0" w:line="170" w:lineRule="exact"/>
        <w:rPr>
          <w:rFonts w:ascii="Arial" w:cs="Arial" w:eastAsia="Arial" w:hAnsi="Arial"/>
          <w:sz w:val="18"/>
          <w:szCs w:val="18"/>
          <w:color w:val="auto"/>
        </w:rPr>
      </w:pPr>
    </w:p>
    <w:p>
      <w:pPr>
        <w:ind w:left="980" w:right="20" w:hanging="324"/>
        <w:spacing w:after="0" w:line="277" w:lineRule="auto"/>
        <w:tabs>
          <w:tab w:leader="none" w:pos="980" w:val="left"/>
        </w:tabs>
        <w:numPr>
          <w:ilvl w:val="0"/>
          <w:numId w:val="16"/>
        </w:numPr>
        <w:rPr>
          <w:rFonts w:ascii="Arial" w:cs="Arial" w:eastAsia="Arial" w:hAnsi="Arial"/>
          <w:sz w:val="18"/>
          <w:szCs w:val="18"/>
          <w:color w:val="auto"/>
        </w:rPr>
      </w:pPr>
      <w:r>
        <w:rPr>
          <w:rFonts w:ascii="Arial" w:cs="Arial" w:eastAsia="Arial" w:hAnsi="Arial"/>
          <w:sz w:val="18"/>
          <w:szCs w:val="18"/>
          <w:color w:val="auto"/>
        </w:rPr>
        <w:t>Bladex Representação Ltda., incorporated under the laws of Brazil on January 7, 2000, acts as the Bank’s representative office in Brazil. Bladex Head Office owns 99.999% of Bladex Representação Ltda. and Bladex Holdings owns the remaining 0.001%.</w:t>
      </w:r>
    </w:p>
    <w:p>
      <w:pPr>
        <w:spacing w:after="0" w:line="170" w:lineRule="exact"/>
        <w:rPr>
          <w:rFonts w:ascii="Arial" w:cs="Arial" w:eastAsia="Arial" w:hAnsi="Arial"/>
          <w:sz w:val="18"/>
          <w:szCs w:val="18"/>
          <w:color w:val="auto"/>
        </w:rPr>
      </w:pPr>
    </w:p>
    <w:p>
      <w:pPr>
        <w:jc w:val="both"/>
        <w:ind w:left="980" w:hanging="324"/>
        <w:spacing w:after="0" w:line="255" w:lineRule="auto"/>
        <w:tabs>
          <w:tab w:leader="none" w:pos="980" w:val="left"/>
        </w:tabs>
        <w:numPr>
          <w:ilvl w:val="0"/>
          <w:numId w:val="16"/>
        </w:numPr>
        <w:rPr>
          <w:rFonts w:ascii="Arial" w:cs="Arial" w:eastAsia="Arial" w:hAnsi="Arial"/>
          <w:sz w:val="18"/>
          <w:szCs w:val="18"/>
          <w:color w:val="auto"/>
        </w:rPr>
      </w:pPr>
      <w:r>
        <w:rPr>
          <w:rFonts w:ascii="Arial" w:cs="Arial" w:eastAsia="Arial" w:hAnsi="Arial"/>
          <w:sz w:val="18"/>
          <w:szCs w:val="18"/>
          <w:color w:val="auto"/>
        </w:rPr>
        <w:t>Bladex Investimentos Ltda. was incorporated under the laws of Brazil on May 3, 2011. Bladex Head Office owned 99% of Bladex Investimentos Ltda. and Bladex Holdings owned the remaining 1%. Bladex Investimentos Ltda. had invested substantially all of its assets in an investment fund, Alpha4X Latam Fundo de Investimento Multimercado, incorporated in Brazil (the “Brazilian Fund”), registered with the Securities and Exchange Commission of Brazil, (Comissão de Valores Mobiliários (the “CVM”)). The objective of the Brazilian Fund was to achieve capital gains by dealing in the interest, currency, securities, commodities and debt markets, and by trading instruments available in the spot and derivative markets. Bladex Investimentos Ltda. merged with Bladex Representação Ltda. in April 2016, with Bladex Representação Ltda. as the surviving entity.</w:t>
      </w:r>
    </w:p>
    <w:p>
      <w:pPr>
        <w:spacing w:after="0" w:line="189" w:lineRule="exact"/>
        <w:rPr>
          <w:rFonts w:ascii="Arial" w:cs="Arial" w:eastAsia="Arial" w:hAnsi="Arial"/>
          <w:sz w:val="18"/>
          <w:szCs w:val="18"/>
          <w:color w:val="auto"/>
        </w:rPr>
      </w:pPr>
    </w:p>
    <w:p>
      <w:pPr>
        <w:ind w:left="980" w:hanging="324"/>
        <w:spacing w:after="0" w:line="277" w:lineRule="auto"/>
        <w:tabs>
          <w:tab w:leader="none" w:pos="980" w:val="left"/>
        </w:tabs>
        <w:numPr>
          <w:ilvl w:val="0"/>
          <w:numId w:val="16"/>
        </w:numPr>
        <w:rPr>
          <w:rFonts w:ascii="Arial" w:cs="Arial" w:eastAsia="Arial" w:hAnsi="Arial"/>
          <w:sz w:val="18"/>
          <w:szCs w:val="18"/>
          <w:color w:val="auto"/>
        </w:rPr>
      </w:pPr>
      <w:r>
        <w:rPr>
          <w:rFonts w:ascii="Arial" w:cs="Arial" w:eastAsia="Arial" w:hAnsi="Arial"/>
          <w:sz w:val="18"/>
          <w:szCs w:val="18"/>
          <w:color w:val="auto"/>
        </w:rPr>
        <w:t>Bladex Development Corp. (“Bladex Development”) was incorporated under the laws of the Republic of Panama on June 5, 2014. Bladex Head Office owns 100% of Bladex Development.</w:t>
      </w:r>
    </w:p>
    <w:p>
      <w:pPr>
        <w:spacing w:after="0" w:line="170" w:lineRule="exact"/>
        <w:rPr>
          <w:rFonts w:ascii="Arial" w:cs="Arial" w:eastAsia="Arial" w:hAnsi="Arial"/>
          <w:sz w:val="18"/>
          <w:szCs w:val="18"/>
          <w:color w:val="auto"/>
        </w:rPr>
      </w:pPr>
    </w:p>
    <w:p>
      <w:pPr>
        <w:jc w:val="both"/>
        <w:ind w:left="980" w:hanging="324"/>
        <w:spacing w:after="0" w:line="264" w:lineRule="auto"/>
        <w:tabs>
          <w:tab w:leader="none" w:pos="980" w:val="left"/>
        </w:tabs>
        <w:numPr>
          <w:ilvl w:val="0"/>
          <w:numId w:val="16"/>
        </w:numPr>
        <w:rPr>
          <w:rFonts w:ascii="Arial" w:cs="Arial" w:eastAsia="Arial" w:hAnsi="Arial"/>
          <w:sz w:val="18"/>
          <w:szCs w:val="18"/>
          <w:color w:val="auto"/>
        </w:rPr>
      </w:pPr>
      <w:r>
        <w:rPr>
          <w:rFonts w:ascii="Arial" w:cs="Arial" w:eastAsia="Arial" w:hAnsi="Arial"/>
          <w:sz w:val="18"/>
          <w:szCs w:val="18"/>
          <w:color w:val="auto"/>
        </w:rPr>
        <w:t>BLX Soluciones, S.A. de C.V., SOFOM, E.N.R. (“BLX Solutions”) was incorporated under the laws of Mexico on June 13, 2014. Bladex Head Office owns 99.9% of BLX Solutions and Bladex Development owns the remaining 0.1%. BLX Solutions specializes in offering financial leasing and other financial products, such as loans and factoring.</w:t>
      </w:r>
    </w:p>
    <w:p>
      <w:pPr>
        <w:spacing w:after="0" w:line="181"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On April 2, 2013, Bladex reached a definitive agreement to sell its Asset Management Unit. The Asset Management Unit was sold to Alpha4X Asset Management, LLC (“Alpha4X”), a company majority-owned by former executives of the Asset Management Unit. In connection with the sale: (i) Bladex Offshore Feeder Fund became Alpha4X Feeder Fund (the “Feeder”), (ii) Bladex Capital Growth Fund became Alpha4X Capital Growth Fund (the “Fund”), and (iii) Bladex Latam Fundo de Investimento Multimercado became Alpha4X Latam Fundo de Investimento Multimercado.</w:t>
      </w:r>
    </w:p>
    <w:p>
      <w:pPr>
        <w:spacing w:after="0" w:line="171"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changes of the Bank’s investment in the Feeder were recorded in the consolidated statement of profit or loss of that fund in the “Gain (loss) per financial instruments at fair value through profit or loss” line item. The Feeder was not consolidated in the Bank’s financial statements as a result of the evaluation of control as per IFRS 10 “Consolidated financial statements” according to which the existing rights in the fund did not give the Bank the ability to direct the relevant activities of the fund nor the ability to use its power over the investee to affect its return. At December 31, 2017 and 2016, the Bank did not have any participation in the Feeder, compared to participation in the Feeder of 47.71% and 49.61% at December 31, 2015 and 2014, respectively.</w:t>
      </w:r>
    </w:p>
    <w:p>
      <w:pPr>
        <w:spacing w:after="0" w:line="15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also reported the changes in the net asset value of the Brazilian Fund in the “Gain (loss) per financial instruments at fair value through profit and loss” line item, which the Bank did not consolidate, because the rights on this fund did not give the Bank the ability to direct its relevant activities nor the ability to use its power over the investee to affect its return. This investment was adjusted to recognize the Bank’ss participation in the profits or losses of the fund in the line “Gain (loss) per financial instruments at fair value through profit or loss” of the consolidated statement of profit or loss.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color w:val="auto"/>
        </w:rPr>
        <w:t>The Bank remained an investor in these funds until March 31, 2016, redeeming its investments entirely on April 1, 2016.</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 1, and 2.1.</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0" w:name="page21"/>
    <w:bookmarkEnd w:id="20"/>
    <w:p>
      <w:pPr>
        <w:ind w:left="660" w:hanging="652"/>
        <w:spacing w:after="0"/>
        <w:tabs>
          <w:tab w:leader="none" w:pos="660" w:val="left"/>
        </w:tabs>
        <w:numPr>
          <w:ilvl w:val="0"/>
          <w:numId w:val="17"/>
        </w:numPr>
        <w:rPr>
          <w:rFonts w:ascii="Arial" w:cs="Arial" w:eastAsia="Arial" w:hAnsi="Arial"/>
          <w:sz w:val="18"/>
          <w:szCs w:val="18"/>
          <w:b w:val="1"/>
          <w:bCs w:val="1"/>
          <w:color w:val="auto"/>
        </w:rPr>
      </w:pPr>
      <w:r>
        <w:rPr>
          <w:rFonts w:ascii="Arial" w:cs="Arial" w:eastAsia="Arial" w:hAnsi="Arial"/>
          <w:sz w:val="18"/>
          <w:szCs w:val="18"/>
          <w:b w:val="1"/>
          <w:bCs w:val="1"/>
          <w:color w:val="auto"/>
        </w:rPr>
        <w:t>Business Overview</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Overview</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Bank’s mission is to provide financial solutions of excellence to financial institutions, companies and investors doing business in Latin America, supporting trade and regional integration across the Region.</w:t>
      </w:r>
    </w:p>
    <w:p>
      <w:pPr>
        <w:spacing w:after="0" w:line="170"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As a multinational bank operating in 23 countries with a strong and historic commitment to Latin America, the Bank possesses extensive knowledge of business practices, risk and regulatory environments, accumulated over decades of doing business throughout the entire Region. Bladex provides foreign trade solutions to a select client base of premier Latin-American financial institutions and corporations, and has developed an extensive network of correspondent banking institutions with access to the international capital markets. Bladex enjoys a preferred creditor status in many jurisdictions, being recognized by its strong capitalization, prudent risk management and sound corporate governance standards. Bladex fosters long-term relationships with clients, and it has developed over the years a reputation for excellence when responding to its clients’ needs, in addition having a solid financial track record, which has reinforced its brand recognition and its franchise value in the Region, and contributes to the Bank achieving its vision of becoming the leading institution in Latin America supporting foreign trade and regional integration.</w:t>
      </w:r>
    </w:p>
    <w:p>
      <w:pPr>
        <w:spacing w:after="0" w:line="17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lending and investing activities are funded by interbank deposits, primarily from central banks and financial institutions in the Region, by borrowings from international commercial banks, and by sales of the Bank’s debt securities to financial institutions and investors in Asia, Europe, North America and the Region. The Bank does not provide retail banking services to the general public, such as retail savings accounts or checking accounts, and does not take retail deposits.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Bladex participates in the financial and capital markets throughout the Region, through two business segments.</w:t>
      </w:r>
    </w:p>
    <w:p>
      <w:pPr>
        <w:spacing w:after="0" w:line="22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Commercial Business Segment encompasses the Bank’s core business of financial intermediation and fee generation activities developed to cater to corporations, financial institutions and investors in Latin America. The extensive array of products and services include the origination of bilateral, structured and syndicated credits, short- and medium-term loans, customers’ liabilities under acceptances, loan commitments and financial guarantee contracts, such as confirmed and stand-by letters of credit, and guarantees covering commercial risk. The majority of the Bank’s loans are extended in connection with specifically identified foreign trade transactions. Through its revenue diversification strategy, the Bank’s Commercial Business Segment has introduced a broader range of products, services and solutions associated with foreign trade, including co-financing arrangements, underwriting of syndicated credit facilities, structured trade financing (in the form of factoring and vendor financing) and financial leasing.</w:t>
      </w:r>
    </w:p>
    <w:p>
      <w:pPr>
        <w:spacing w:after="0" w:line="17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(cash and cash equivalents) and financial instruments related to the investment management activities, consisting of securities at FVOCI and investment securities at amortized cost. The Treasury Business Segment also manages the Bank’s interest-bearing liabilities, which constitute its funding sources, mainly deposits, short- and long-term borrowings and debt.</w:t>
      </w:r>
    </w:p>
    <w:p>
      <w:pPr>
        <w:spacing w:after="0" w:line="193"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Historically, trade finance has been afforded favorable treatment during Latin American debt restructurings. This has been, in part, due to the perceived importance that governments and other borrowers in the Region have attributed to maintaining access to trade finance. The Bank believes that, in the past, the combination of its focus on trade finance and the composition of its Class A shareholders has been instrumental in obtaining certain exceptions regarding U.S. dollar convertibility and transfer limitations imposed on the servicing of external obligations, or preferred creditor status. Although the Bank maintains both its focus on trade finance and its Class A shareholders’ participation, it cannot guarantee that such exceptions will be granted in all future debt restructurings.</w:t>
      </w:r>
    </w:p>
    <w:p>
      <w:pPr>
        <w:spacing w:after="0" w:line="37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1" w:name="page22"/>
    <w:bookmarkEnd w:id="21"/>
    <w:p>
      <w:pPr>
        <w:jc w:val="both"/>
        <w:spacing w:after="0" w:line="277" w:lineRule="auto"/>
        <w:rPr>
          <w:sz w:val="20"/>
          <w:szCs w:val="20"/>
          <w:color w:val="auto"/>
        </w:rPr>
      </w:pPr>
      <w:r>
        <w:rPr>
          <w:rFonts w:ascii="Arial" w:cs="Arial" w:eastAsia="Arial" w:hAnsi="Arial"/>
          <w:sz w:val="18"/>
          <w:szCs w:val="18"/>
          <w:color w:val="auto"/>
        </w:rPr>
        <w:t>As of December 31, 2017, the Bank had 59 employees, or 31% of its total employees, across its offices responsible for marketing the Bank’s financial products and services to existing and potential customers.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Developments During 2017</w:t>
      </w:r>
    </w:p>
    <w:p>
      <w:pPr>
        <w:spacing w:after="0" w:line="225"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The International Monetary Fund (“IMF”) has estimated world GDP growth of 3.7% in 2017, driven primarily by the dynamics of U.S. growth, the improvements in the Euro zone, fiscal expansion in China and growing trade flows. Latin America posted 1.3% GDP growth in 2017, as the negative credit cycle and particularly the recession in Brazil came to an end, and due to growth in other countries in the Region, propelled by better internal demand dynamics. This GDP growth followed weak performance by the Region in the previous few years. On the political front, election results in Argentina and in Chile helped boost the confidence of international investors, generating a more favorable business environment.</w:t>
      </w:r>
    </w:p>
    <w:p>
      <w:pPr>
        <w:spacing w:after="0" w:line="17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Bladex’s performance in 2017 demonstrated the sustainability of its business model and the Bank’s ability to continue to deliver solid results in a challenging environment, which last year included political turmoil in key countries in the Region and slower than expected economic growth, accompanied by abundant liquidity that put pressure on margins. In addition, the Bank remained aware of the challenging environment for global and regional trade, as NAFTA, TPP and BREXIT discussions continued to evolve in 2018.</w:t>
      </w:r>
    </w:p>
    <w:p>
      <w:pPr>
        <w:spacing w:after="0" w:line="187"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Despite these challenges, the Bank’s profit was $82 million in 2017, representing a return on equity of 8%, down from 8.8% in 2016 due to lower average portfolio balances and lower margins. The Bank ended the year with a strong 21.1% Tier I capital ratio while the net interest margin and net interest spread were 1.85% and 1.48%, respectively, which were below 2016 levels. The Bank’s operating expenses were only slightly higher than the previous year, due largely to non-recurring severance expenses associated with its efforts to streamline its business model and increase efficiency throughout the organization. Bladex’s loan syndication and structuring business posted solid results again in 2017, contributing decisively to increased fee income and to the market perception of Bladex as a reliable and successful partner in its line of business. Fee income associated with the Bank’s traditional product, letters of credit, increased as well, confirming Bladex’s reputation as a solid financial institution in the Region. Ample access to funding in 2017, across diversified sources and geographies, proved again the creditworthiness that Bladex enjoys in the international capital markets.</w:t>
      </w:r>
    </w:p>
    <w:p>
      <w:pPr>
        <w:spacing w:after="0" w:line="17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See Item 5, “Operating and Financial Review and Prospects—Operating Results—Profit for the year” and “Trend Information” and Item 18, “Financial Statements,” note 17.</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Strategies for 2018 and Subsequent Years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Streamlining the Bank’s operating model for greater efficiency</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aims to improve efficiency and productivity throughout the organization, with investments having already been made in technology and more efficient processes. The Bank is focusing on a number of items, including a more centralized management model with our Head Office providing risk management and administrative support to the representative offices, leaving the representative offices free to concentrate primarily on origination and client relationship management. The Bank expects that this plan will reduce costs, contribute to its goal of operational excellence and provide greater flexibility to respond to the demands of its clients.</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2" w:name="page23"/>
    <w:bookmarkEnd w:id="22"/>
    <w:p>
      <w:pPr>
        <w:spacing w:after="0"/>
        <w:rPr>
          <w:sz w:val="20"/>
          <w:szCs w:val="20"/>
          <w:color w:val="auto"/>
        </w:rPr>
      </w:pPr>
      <w:r>
        <w:rPr>
          <w:rFonts w:ascii="Arial" w:cs="Arial" w:eastAsia="Arial" w:hAnsi="Arial"/>
          <w:sz w:val="18"/>
          <w:szCs w:val="18"/>
          <w:i w:val="1"/>
          <w:iCs w:val="1"/>
          <w:color w:val="auto"/>
        </w:rPr>
        <w:t>Further extend the Bank’s business in politically and economically stable, high-growth markets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expertise in risk and capital management and extensive knowledge of the Region allows it to identify and strategically focus on stable and growth-oriented markets, including investment-grade countries in the Region. Bladex maintains strategically placed representative offices in order to provide focused products and services in markets that the Bank considers key to its continued growth.</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Targeted growth in expanding and diversifying the Bank’s client base</w:t>
      </w:r>
    </w:p>
    <w:p>
      <w:pPr>
        <w:spacing w:after="0" w:line="22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Bank’s strategy to participate in a broad range of activities and further diversify its client base includes targeting clients that offer the potential for longstanding relationships and a wider presence in the Region, such as financial institutions, corporations, sovereigns and state-owned entities. This may be achieved through the Bank’s participation in bilateral and co-financed transactions and the strengthening of short- and medium-trade services provided. The Bank intends to continue enhancing existing client relationships and establish new client-relationships through its Region-wide expertise, product knowledge, quality of service, agile decision-making process and client approach, strategically targeting industries and participants in the value chain of international trade by country within the Region. Targeted participants operating in most of the main exporting sectors related to commodities (agribusiness, oil &amp; gas, metals, and petrochemicals, among others) and services (transportation and utilities, among others).</w:t>
      </w:r>
    </w:p>
    <w:p>
      <w:pPr>
        <w:spacing w:after="0" w:line="17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plans to focus its future efforts on growing its business with a larger number of clients along the trade value chain, reinforcing the Bank’s business model, enhancing origination capacity and deploying the use of capital, as well as striving for a greater dispersion of risk in order to continue diversifying and mitigating the impact of potential losses, should they occur.</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Increase the range of products and services that the Bank offers</w:t>
      </w:r>
    </w:p>
    <w:p>
      <w:pPr>
        <w:spacing w:after="0" w:line="225"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Due to the Bank’s relationships throughout, and knowledge of, the Region, the Bank is well positioned to strategically identify key additional products and services to offer to clients. The Bank’s Articles of Incorporation permit a broad scope of potential activities, encompassing all types of banking, investment, and financial and other businesses that support foreign trade flows and the development of trade and integration in the Region. This supports the Bank’s ongoing strategy to develop and expand products and services, such as vendor finance, letters of credit, leasing, debt intermediation in primary and secondary markets, syndications, including export insurance programs, that complement the Bank’s expertise in foreign trade finance and risk management.</w:t>
      </w:r>
    </w:p>
    <w:p>
      <w:pPr>
        <w:spacing w:after="0" w:line="15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Policies</w:t>
      </w:r>
    </w:p>
    <w:p>
      <w:pPr>
        <w:spacing w:after="0" w:line="22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 extends credit directly to financial institutions, corporations and upper middle-market companies within the Region. The distinction between corporations and upper middle-market companies is based on the respective client’s volumes of annual sales, the borrower’s country of domicile and the size of the market in which it operates, as well as certain other criteria. The Bank finances import and export transactions for all types of goods and products, with the exception of certain restricted items such as weapons, ammunition, military equipment, and hallucinogenic drugs or narcotics not utilized for medical purposes. Imports and exports financed by the Bank are destined for buyers and sellers in countries both inside and outside the Region. The Bank analyzes credit requests from eligible borrowers by applying its credit risk criteria, including economic and market conditions. The Bank maintains a consistent lending policy and applies the same credit criteria to all types of potential borrowers in evaluating creditworthiness.</w:t>
      </w:r>
    </w:p>
    <w:p>
      <w:pPr>
        <w:spacing w:after="0" w:line="17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Due to the nature of trade finance, the Bank’s loans are generally unsecured. However, in certain instances, based upon the Bank’s credit review of the borrower and the economic and political situation and trends in the borrower’s home country, the Bank may determine that the level of risk involved requires that a loan be secured by collateral.</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i w:val="1"/>
          <w:iCs w:val="1"/>
          <w:color w:val="auto"/>
        </w:rPr>
        <w:t>Country Credit Limits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a continual review of each country's risk profile evolution, supporting its analysis with various factors, both quantitative and qualitative, the main driving factors of which include: the evolution of macroeconomic policies (fiscal, monetary, and exchange rate policy), fiscal and external performance, price stability, level of liquidity in foreign currency, changes of legal and institutional framework, as well as material social and political events, among others, including industry analysis relevant to Bladex business activities.</w:t>
      </w:r>
    </w:p>
    <w:p>
      <w:pPr>
        <w:spacing w:after="0" w:line="187"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has a methodology for capital allocation by country and its risk weights for assets. The Risk Policy and Assessment Committee (the “CPER”) of the Bank’s Board of Directors (the “Board”) approves a level of “allocated capital” for each country, in addition to nominal exposure limits. These country capital limits are reviewed at least once a year by the CPER, and more often if necessary. The methodology helps to establish the capital equivalent of each transaction, based on the internal numeric rating assigned to each country, which is reviewed and approved by the CPER.</w:t>
      </w:r>
    </w:p>
    <w:p>
      <w:pPr>
        <w:spacing w:after="0" w:line="17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amount of capital allocated to a transaction is based on customer type (sovereign, state-owned or private corporations, middle-market companies, or financial institutions), the type of transaction (trade or non-trade), and the average remaining term of the transaction (from one to 180 days, 181 days to a year, between one and three years, or longer than three years). Capital utilizations by the business units cannot exceed the Bank’s reported total stockholders’ equity.</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Borrower Lending Limits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generally establishes lines of credit for each borrower according to the results of its risk analysis and potential business prospects; however, the Bank is not obligated to lend under these lines of credit. Once a line of credit has been established, credit generally is extended after receipt of an application from the borrower for financing, usually related to foreign trade. Loan pricing is determined in accordance with prevailing market conditions and the borrower’s creditworthiness.</w:t>
      </w:r>
    </w:p>
    <w:p>
      <w:pPr>
        <w:spacing w:after="0" w:line="187"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For existing borrowers, the Bank’s management has authority to approve credit lines up to the legal lending limit prescribed by Panamanian law, provided that the credit lines comply fully with the country credit limits and conditions for the borrower’s country of domicile set by the Board. Approved borrower lending limits are reported to the CPER quarterly. Panamanian Law sets forth certain concentration limits, which are applicable and strictly adhered to by the Bank, including a 30% limit as a percentage of capital and reserves for any one borrower and borrower group, in the case of certain financial institutions, and a 25% limit as a percentage of capital and reserves for any one borrower and borrower group, in the case of corporate, sovereign and middle-market companies. As of December 31, 2017, the Bank’s legal lending limit prescribed by Panamanian law for corporations, sovereign borrowers and middle-market companies amounted to $261 million, and for financial institutions and financial groups amounted to $313 million. Panamanian law also sets lending limits for related party transactions, which are described in more detail in the section “Regulation–Panamanian Law”.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As of December 31, 2017, the Bank was in compliance with regulatory legal lending limits.</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color w:val="auto"/>
        </w:rPr>
        <w:t>See Item 4.B., “Information on the Company—Business Overview—Supervision and Regulation—Panamanian Law.”</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i w:val="1"/>
          <w:iCs w:val="1"/>
          <w:color w:val="auto"/>
        </w:rPr>
        <w:t>Credit Portfolio</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Credit Portfolio consists of the Commercial Portfolio and the Investment Securities Portfolio. The Bank’s Commercial Portfolio includes gross loans (the “Loan Portfolio”), customers’ liabilities under acceptances, loan commitments and financial guarantee contracts, such as confirmed and stand-by letters of credit, and guarantees covering commercial risk. The Bank’s Investment Securities Portfolio consists of securities at FVOCI and investment securities at amortized cost.</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2017, the Credit Portfolio amounted to $6,085 million, a decrease from $6,552 million as of December 31, 2016, and from $7,405 million as of December 31, 2015. The $467 million, or 7%, decrease during 2017 was largely attributable to the Bank’s Commercial Portfolio, which decreased by $445 million, or 7%, due to (i) the Bank’s ongoing efforts to mitigate risk and diversify its portfolio in certain countries, industries and client exposures, and (ii) the Bank’s efforts to move to shorter tenor lending, both of which were implemented to improve the Bank’s portfolio credit risk profile during the negative credit cycle experienced in the Latin American Region.</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Commercial Portfolio</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Commercial Portfolio amounted to $5,999 million as of December 31, 2017, a $445 million, or 7%, decrease from $6,444 million as of December 31, 2016, and a $1,156 million, or 16%, decrease from $7,155 million as of December 31, 2015. These decreases reflect the Bank’s ongoing efforts to mitigate risk and diversify its portfolio mix during the past two years as well as the shorter average tenor of the Commercial Portfolio.</w:t>
      </w:r>
    </w:p>
    <w:p>
      <w:pPr>
        <w:spacing w:after="0" w:line="166"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As of December 31, 2017, 81% of the Bank’s Commercial Portfolio was scheduled to mature within one year, compared to 77% as of December 31, 2016 and 72% as of December 31, 2015. As of those same dates, trade finance operations represented 60%, 66% and 56%, respectively, of the Bank’s Commercial Portfolio, while the remaining balance consisted primarily of lending to financial institutions and corporations engaged in foreign trade. As of December 31, 2017, 49% of the Bank’s Commercial Portfolio was represented by financial institutions and 47% of the Bank’s Commercial Portfolio was represented by corporations, of which 51% and 67% was trade-related financing, respectively.</w:t>
      </w:r>
    </w:p>
    <w:p>
      <w:pPr>
        <w:spacing w:after="0" w:line="173"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distribution of the Bank’s Commercial Portfolio, by product category, as of December 31 of each year:</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42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4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6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800" w:type="dxa"/>
            <w:vAlign w:val="bottom"/>
            <w:tcBorders>
              <w:bottom w:val="single" w:sz="8" w:color="auto"/>
            </w:tcBorders>
            <w:gridSpan w:val="6"/>
          </w:tcPr>
          <w:p>
            <w:pPr>
              <w:jc w:val="center"/>
              <w:ind w:right="160"/>
              <w:spacing w:after="0"/>
              <w:rPr>
                <w:sz w:val="20"/>
                <w:szCs w:val="20"/>
                <w:color w:val="auto"/>
              </w:rPr>
            </w:pPr>
            <w:r>
              <w:rPr>
                <w:rFonts w:ascii="Arial" w:cs="Arial" w:eastAsia="Arial" w:hAnsi="Arial"/>
                <w:sz w:val="18"/>
                <w:szCs w:val="18"/>
                <w:b w:val="1"/>
                <w:bCs w:val="1"/>
                <w:color w:val="auto"/>
                <w:w w:val="88"/>
              </w:rPr>
              <w:t>As of December 31,</w:t>
            </w:r>
          </w:p>
        </w:tc>
        <w:tc>
          <w:tcPr>
            <w:tcW w:w="180" w:type="dxa"/>
            <w:vAlign w:val="bottom"/>
            <w:tcBorders>
              <w:bottom w:val="single" w:sz="8" w:color="auto"/>
            </w:tcBorders>
          </w:tcPr>
          <w:p>
            <w:pPr>
              <w:spacing w:after="0"/>
              <w:rPr>
                <w:sz w:val="20"/>
                <w:szCs w:val="20"/>
                <w:color w:val="auto"/>
              </w:rPr>
            </w:pPr>
          </w:p>
        </w:tc>
        <w:tc>
          <w:tcPr>
            <w:tcW w:w="48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64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r>
      <w:tr>
        <w:trPr>
          <w:trHeight w:val="250"/>
        </w:trPr>
        <w:tc>
          <w:tcPr>
            <w:tcW w:w="4420" w:type="dxa"/>
            <w:vAlign w:val="bottom"/>
          </w:tcPr>
          <w:p>
            <w:pPr>
              <w:spacing w:after="0"/>
              <w:rPr>
                <w:sz w:val="21"/>
                <w:szCs w:val="21"/>
                <w:color w:val="auto"/>
              </w:rPr>
            </w:pPr>
          </w:p>
        </w:tc>
        <w:tc>
          <w:tcPr>
            <w:tcW w:w="660" w:type="dxa"/>
            <w:vAlign w:val="bottom"/>
            <w:tcBorders>
              <w:bottom w:val="single" w:sz="8" w:color="auto"/>
            </w:tcBorders>
            <w:gridSpan w:val="2"/>
          </w:tcPr>
          <w:p>
            <w:pPr>
              <w:jc w:val="right"/>
              <w:spacing w:after="0" w:line="251" w:lineRule="exact"/>
              <w:rPr>
                <w:sz w:val="20"/>
                <w:szCs w:val="20"/>
                <w:color w:val="auto"/>
              </w:rPr>
            </w:pPr>
            <w:r>
              <w:rPr>
                <w:rFonts w:ascii="Arial" w:cs="Arial" w:eastAsia="Arial" w:hAnsi="Arial"/>
                <w:sz w:val="18"/>
                <w:szCs w:val="18"/>
                <w:b w:val="1"/>
                <w:bCs w:val="1"/>
                <w:color w:val="auto"/>
                <w:w w:val="87"/>
              </w:rPr>
              <w:t xml:space="preserve">2017 </w:t>
            </w:r>
            <w:r>
              <w:rPr>
                <w:rFonts w:ascii="Arial" w:cs="Arial" w:eastAsia="Arial" w:hAnsi="Arial"/>
                <w:sz w:val="29"/>
                <w:szCs w:val="29"/>
                <w:b w:val="1"/>
                <w:bCs w:val="1"/>
                <w:color w:val="auto"/>
                <w:w w:val="87"/>
                <w:vertAlign w:val="superscript"/>
              </w:rPr>
              <w:t>(1)</w:t>
            </w:r>
          </w:p>
        </w:tc>
        <w:tc>
          <w:tcPr>
            <w:tcW w:w="200" w:type="dxa"/>
            <w:vAlign w:val="bottom"/>
          </w:tcPr>
          <w:p>
            <w:pPr>
              <w:spacing w:after="0"/>
              <w:rPr>
                <w:sz w:val="21"/>
                <w:szCs w:val="21"/>
                <w:color w:val="auto"/>
              </w:rPr>
            </w:pPr>
          </w:p>
        </w:tc>
        <w:tc>
          <w:tcPr>
            <w:tcW w:w="660" w:type="dxa"/>
            <w:vAlign w:val="bottom"/>
          </w:tcPr>
          <w:p>
            <w:pPr>
              <w:jc w:val="right"/>
              <w:ind w:right="150"/>
              <w:spacing w:after="0"/>
              <w:rPr>
                <w:sz w:val="20"/>
                <w:szCs w:val="20"/>
                <w:color w:val="auto"/>
              </w:rPr>
            </w:pPr>
            <w:r>
              <w:rPr>
                <w:rFonts w:ascii="Arial" w:cs="Arial" w:eastAsia="Arial" w:hAnsi="Arial"/>
                <w:sz w:val="18"/>
                <w:szCs w:val="18"/>
                <w:b w:val="1"/>
                <w:bCs w:val="1"/>
                <w:color w:val="auto"/>
              </w:rPr>
              <w:t>%</w:t>
            </w:r>
          </w:p>
        </w:tc>
        <w:tc>
          <w:tcPr>
            <w:tcW w:w="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680" w:type="dxa"/>
            <w:vAlign w:val="bottom"/>
            <w:tcBorders>
              <w:bottom w:val="single" w:sz="8" w:color="auto"/>
            </w:tcBorders>
            <w:gridSpan w:val="2"/>
          </w:tcPr>
          <w:p>
            <w:pPr>
              <w:jc w:val="right"/>
              <w:spacing w:after="0" w:line="251" w:lineRule="exact"/>
              <w:rPr>
                <w:sz w:val="20"/>
                <w:szCs w:val="20"/>
                <w:color w:val="auto"/>
              </w:rPr>
            </w:pPr>
            <w:r>
              <w:rPr>
                <w:rFonts w:ascii="Arial" w:cs="Arial" w:eastAsia="Arial" w:hAnsi="Arial"/>
                <w:sz w:val="18"/>
                <w:szCs w:val="18"/>
                <w:b w:val="1"/>
                <w:bCs w:val="1"/>
                <w:color w:val="auto"/>
                <w:w w:val="90"/>
              </w:rPr>
              <w:t xml:space="preserve">2016 </w:t>
            </w:r>
            <w:r>
              <w:rPr>
                <w:rFonts w:ascii="Arial" w:cs="Arial" w:eastAsia="Arial" w:hAnsi="Arial"/>
                <w:sz w:val="29"/>
                <w:szCs w:val="29"/>
                <w:b w:val="1"/>
                <w:bCs w:val="1"/>
                <w:color w:val="auto"/>
                <w:w w:val="90"/>
                <w:vertAlign w:val="superscript"/>
              </w:rPr>
              <w:t>(2)</w:t>
            </w:r>
          </w:p>
        </w:tc>
        <w:tc>
          <w:tcPr>
            <w:tcW w:w="200" w:type="dxa"/>
            <w:vAlign w:val="bottom"/>
          </w:tcPr>
          <w:p>
            <w:pPr>
              <w:spacing w:after="0"/>
              <w:rPr>
                <w:sz w:val="21"/>
                <w:szCs w:val="21"/>
                <w:color w:val="auto"/>
              </w:rPr>
            </w:pPr>
          </w:p>
        </w:tc>
        <w:tc>
          <w:tcPr>
            <w:tcW w:w="660" w:type="dxa"/>
            <w:vAlign w:val="bottom"/>
          </w:tcPr>
          <w:p>
            <w:pPr>
              <w:jc w:val="right"/>
              <w:ind w:right="150"/>
              <w:spacing w:after="0"/>
              <w:rPr>
                <w:sz w:val="20"/>
                <w:szCs w:val="20"/>
                <w:color w:val="auto"/>
              </w:rPr>
            </w:pPr>
            <w:r>
              <w:rPr>
                <w:rFonts w:ascii="Arial" w:cs="Arial" w:eastAsia="Arial" w:hAnsi="Arial"/>
                <w:sz w:val="18"/>
                <w:szCs w:val="18"/>
                <w:b w:val="1"/>
                <w:bCs w:val="1"/>
                <w:color w:val="auto"/>
              </w:rPr>
              <w:t>%</w:t>
            </w:r>
          </w:p>
        </w:tc>
        <w:tc>
          <w:tcPr>
            <w:tcW w:w="160" w:type="dxa"/>
            <w:vAlign w:val="bottom"/>
          </w:tcPr>
          <w:p>
            <w:pPr>
              <w:spacing w:after="0"/>
              <w:rPr>
                <w:sz w:val="21"/>
                <w:szCs w:val="21"/>
                <w:color w:val="auto"/>
              </w:rPr>
            </w:pPr>
          </w:p>
        </w:tc>
        <w:tc>
          <w:tcPr>
            <w:tcW w:w="660" w:type="dxa"/>
            <w:vAlign w:val="bottom"/>
            <w:tcBorders>
              <w:bottom w:val="single" w:sz="8" w:color="auto"/>
            </w:tcBorders>
            <w:gridSpan w:val="2"/>
          </w:tcPr>
          <w:p>
            <w:pPr>
              <w:jc w:val="right"/>
              <w:spacing w:after="0" w:line="251" w:lineRule="exact"/>
              <w:rPr>
                <w:sz w:val="20"/>
                <w:szCs w:val="20"/>
                <w:color w:val="auto"/>
              </w:rPr>
            </w:pPr>
            <w:r>
              <w:rPr>
                <w:rFonts w:ascii="Arial" w:cs="Arial" w:eastAsia="Arial" w:hAnsi="Arial"/>
                <w:sz w:val="18"/>
                <w:szCs w:val="18"/>
                <w:b w:val="1"/>
                <w:bCs w:val="1"/>
                <w:color w:val="auto"/>
                <w:w w:val="87"/>
              </w:rPr>
              <w:t xml:space="preserve">2015 </w:t>
            </w:r>
            <w:r>
              <w:rPr>
                <w:rFonts w:ascii="Arial" w:cs="Arial" w:eastAsia="Arial" w:hAnsi="Arial"/>
                <w:sz w:val="29"/>
                <w:szCs w:val="29"/>
                <w:b w:val="1"/>
                <w:bCs w:val="1"/>
                <w:color w:val="auto"/>
                <w:w w:val="87"/>
                <w:vertAlign w:val="superscript"/>
              </w:rPr>
              <w:t>(3)</w:t>
            </w:r>
          </w:p>
        </w:tc>
        <w:tc>
          <w:tcPr>
            <w:tcW w:w="160" w:type="dxa"/>
            <w:vAlign w:val="bottom"/>
          </w:tcPr>
          <w:p>
            <w:pPr>
              <w:spacing w:after="0"/>
              <w:rPr>
                <w:sz w:val="21"/>
                <w:szCs w:val="21"/>
                <w:color w:val="auto"/>
              </w:rPr>
            </w:pPr>
          </w:p>
        </w:tc>
        <w:tc>
          <w:tcPr>
            <w:tcW w:w="640" w:type="dxa"/>
            <w:vAlign w:val="bottom"/>
          </w:tcPr>
          <w:p>
            <w:pPr>
              <w:jc w:val="right"/>
              <w:ind w:right="150"/>
              <w:spacing w:after="0"/>
              <w:rPr>
                <w:sz w:val="20"/>
                <w:szCs w:val="20"/>
                <w:color w:val="auto"/>
              </w:rPr>
            </w:pPr>
            <w:r>
              <w:rPr>
                <w:rFonts w:ascii="Arial" w:cs="Arial" w:eastAsia="Arial" w:hAnsi="Arial"/>
                <w:sz w:val="18"/>
                <w:szCs w:val="18"/>
                <w:b w:val="1"/>
                <w:bCs w:val="1"/>
                <w:color w:val="auto"/>
              </w:rPr>
              <w:t>%</w:t>
            </w:r>
          </w:p>
        </w:tc>
        <w:tc>
          <w:tcPr>
            <w:tcW w:w="80" w:type="dxa"/>
            <w:vAlign w:val="bottom"/>
          </w:tcPr>
          <w:p>
            <w:pPr>
              <w:spacing w:after="0"/>
              <w:rPr>
                <w:sz w:val="21"/>
                <w:szCs w:val="21"/>
                <w:color w:val="auto"/>
              </w:rPr>
            </w:pPr>
          </w:p>
        </w:tc>
      </w:tr>
      <w:tr>
        <w:trPr>
          <w:trHeight w:val="20"/>
        </w:trPr>
        <w:tc>
          <w:tcPr>
            <w:tcW w:w="44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60" w:type="dxa"/>
            <w:vAlign w:val="bottom"/>
            <w:gridSpan w:val="5"/>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980" w:type="dxa"/>
            <w:vAlign w:val="bottom"/>
            <w:gridSpan w:val="4"/>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83"/>
        </w:trPr>
        <w:tc>
          <w:tcPr>
            <w:tcW w:w="44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3360" w:type="dxa"/>
            <w:vAlign w:val="bottom"/>
            <w:gridSpan w:val="11"/>
          </w:tcPr>
          <w:p>
            <w:pPr>
              <w:jc w:val="center"/>
              <w:ind w:right="240"/>
              <w:spacing w:after="0" w:line="183" w:lineRule="exact"/>
              <w:rPr>
                <w:sz w:val="20"/>
                <w:szCs w:val="20"/>
                <w:color w:val="auto"/>
              </w:rPr>
            </w:pPr>
            <w:r>
              <w:rPr>
                <w:rFonts w:ascii="Arial" w:cs="Arial" w:eastAsia="Arial" w:hAnsi="Arial"/>
                <w:sz w:val="18"/>
                <w:szCs w:val="18"/>
                <w:b w:val="1"/>
                <w:bCs w:val="1"/>
                <w:color w:val="auto"/>
                <w:w w:val="88"/>
              </w:rPr>
              <w:t>(in $ millions, except percentages)</w:t>
            </w:r>
          </w:p>
        </w:tc>
        <w:tc>
          <w:tcPr>
            <w:tcW w:w="64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16"/>
        </w:trPr>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c>
          <w:tcPr>
            <w:tcW w:w="180" w:type="dxa"/>
            <w:vAlign w:val="bottom"/>
            <w:shd w:val="clear" w:color="auto" w:fill="CCEEFF"/>
          </w:tcPr>
          <w:p>
            <w:pPr>
              <w:jc w:val="right"/>
              <w:ind w:right="21"/>
              <w:spacing w:after="0"/>
              <w:rPr>
                <w:sz w:val="20"/>
                <w:szCs w:val="20"/>
                <w:color w:val="auto"/>
              </w:rPr>
            </w:pPr>
            <w:r>
              <w:rPr>
                <w:rFonts w:ascii="Arial" w:cs="Arial" w:eastAsia="Arial" w:hAnsi="Arial"/>
                <w:sz w:val="15"/>
                <w:szCs w:val="15"/>
                <w:color w:val="auto"/>
                <w:w w:val="71"/>
              </w:rPr>
              <w:t>$</w:t>
            </w:r>
          </w:p>
        </w:tc>
        <w:tc>
          <w:tcPr>
            <w:tcW w:w="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5,506</w:t>
            </w:r>
          </w:p>
        </w:tc>
        <w:tc>
          <w:tcPr>
            <w:tcW w:w="20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91.8</w:t>
            </w:r>
          </w:p>
        </w:tc>
        <w:tc>
          <w:tcPr>
            <w:tcW w:w="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6,021</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93.4</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6,692</w:t>
            </w:r>
          </w:p>
        </w:tc>
        <w:tc>
          <w:tcPr>
            <w:tcW w:w="16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93.5</w:t>
            </w:r>
          </w:p>
        </w:tc>
      </w:tr>
      <w:tr>
        <w:trPr>
          <w:trHeight w:val="216"/>
        </w:trPr>
        <w:tc>
          <w:tcPr>
            <w:tcW w:w="4420" w:type="dxa"/>
            <w:vAlign w:val="bottom"/>
          </w:tcPr>
          <w:p>
            <w:pPr>
              <w:spacing w:after="0"/>
              <w:rPr>
                <w:sz w:val="20"/>
                <w:szCs w:val="20"/>
                <w:color w:val="auto"/>
              </w:rPr>
            </w:pPr>
            <w:r>
              <w:rPr>
                <w:rFonts w:ascii="Arial" w:cs="Arial" w:eastAsia="Arial" w:hAnsi="Arial"/>
                <w:sz w:val="18"/>
                <w:szCs w:val="18"/>
                <w:color w:val="auto"/>
              </w:rPr>
              <w:t>Loan commitments and financial guarantee contracts</w:t>
            </w:r>
          </w:p>
        </w:tc>
        <w:tc>
          <w:tcPr>
            <w:tcW w:w="180" w:type="dxa"/>
            <w:vAlign w:val="bottom"/>
          </w:tcPr>
          <w:p>
            <w:pPr>
              <w:spacing w:after="0"/>
              <w:rPr>
                <w:sz w:val="18"/>
                <w:szCs w:val="18"/>
                <w:color w:val="auto"/>
              </w:rPr>
            </w:pPr>
          </w:p>
        </w:tc>
        <w:tc>
          <w:tcPr>
            <w:tcW w:w="680" w:type="dxa"/>
            <w:vAlign w:val="bottom"/>
            <w:gridSpan w:val="2"/>
          </w:tcPr>
          <w:p>
            <w:pPr>
              <w:jc w:val="right"/>
              <w:ind w:right="200"/>
              <w:spacing w:after="0"/>
              <w:rPr>
                <w:sz w:val="20"/>
                <w:szCs w:val="20"/>
                <w:color w:val="auto"/>
              </w:rPr>
            </w:pPr>
            <w:r>
              <w:rPr>
                <w:rFonts w:ascii="Arial" w:cs="Arial" w:eastAsia="Arial" w:hAnsi="Arial"/>
                <w:sz w:val="18"/>
                <w:szCs w:val="18"/>
                <w:color w:val="auto"/>
              </w:rPr>
              <w:t>487</w:t>
            </w:r>
          </w:p>
        </w:tc>
        <w:tc>
          <w:tcPr>
            <w:tcW w:w="740" w:type="dxa"/>
            <w:vAlign w:val="bottom"/>
            <w:gridSpan w:val="2"/>
          </w:tcPr>
          <w:p>
            <w:pPr>
              <w:jc w:val="right"/>
              <w:ind w:right="80"/>
              <w:spacing w:after="0"/>
              <w:rPr>
                <w:sz w:val="20"/>
                <w:szCs w:val="20"/>
                <w:color w:val="auto"/>
              </w:rPr>
            </w:pPr>
            <w:r>
              <w:rPr>
                <w:rFonts w:ascii="Arial" w:cs="Arial" w:eastAsia="Arial" w:hAnsi="Arial"/>
                <w:sz w:val="18"/>
                <w:szCs w:val="18"/>
                <w:color w:val="auto"/>
              </w:rPr>
              <w:t>8.1</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gridSpan w:val="2"/>
          </w:tcPr>
          <w:p>
            <w:pPr>
              <w:jc w:val="right"/>
              <w:ind w:right="200"/>
              <w:spacing w:after="0"/>
              <w:rPr>
                <w:sz w:val="20"/>
                <w:szCs w:val="20"/>
                <w:color w:val="auto"/>
              </w:rPr>
            </w:pPr>
            <w:r>
              <w:rPr>
                <w:rFonts w:ascii="Arial" w:cs="Arial" w:eastAsia="Arial" w:hAnsi="Arial"/>
                <w:sz w:val="18"/>
                <w:szCs w:val="18"/>
                <w:color w:val="auto"/>
              </w:rPr>
              <w:t>403</w:t>
            </w:r>
          </w:p>
        </w:tc>
        <w:tc>
          <w:tcPr>
            <w:tcW w:w="820" w:type="dxa"/>
            <w:vAlign w:val="bottom"/>
            <w:gridSpan w:val="2"/>
          </w:tcPr>
          <w:p>
            <w:pPr>
              <w:jc w:val="right"/>
              <w:ind w:right="160"/>
              <w:spacing w:after="0"/>
              <w:rPr>
                <w:sz w:val="20"/>
                <w:szCs w:val="20"/>
                <w:color w:val="auto"/>
              </w:rPr>
            </w:pPr>
            <w:r>
              <w:rPr>
                <w:rFonts w:ascii="Arial" w:cs="Arial" w:eastAsia="Arial" w:hAnsi="Arial"/>
                <w:sz w:val="18"/>
                <w:szCs w:val="18"/>
                <w:color w:val="auto"/>
              </w:rPr>
              <w:t>6.3</w:t>
            </w:r>
          </w:p>
        </w:tc>
        <w:tc>
          <w:tcPr>
            <w:tcW w:w="180" w:type="dxa"/>
            <w:vAlign w:val="bottom"/>
          </w:tcPr>
          <w:p>
            <w:pPr>
              <w:spacing w:after="0"/>
              <w:rPr>
                <w:sz w:val="18"/>
                <w:szCs w:val="18"/>
                <w:color w:val="auto"/>
              </w:rPr>
            </w:pPr>
          </w:p>
        </w:tc>
        <w:tc>
          <w:tcPr>
            <w:tcW w:w="640" w:type="dxa"/>
            <w:vAlign w:val="bottom"/>
            <w:gridSpan w:val="2"/>
          </w:tcPr>
          <w:p>
            <w:pPr>
              <w:jc w:val="right"/>
              <w:ind w:right="160"/>
              <w:spacing w:after="0"/>
              <w:rPr>
                <w:sz w:val="20"/>
                <w:szCs w:val="20"/>
                <w:color w:val="auto"/>
              </w:rPr>
            </w:pPr>
            <w:r>
              <w:rPr>
                <w:rFonts w:ascii="Arial" w:cs="Arial" w:eastAsia="Arial" w:hAnsi="Arial"/>
                <w:sz w:val="18"/>
                <w:szCs w:val="18"/>
                <w:color w:val="auto"/>
              </w:rPr>
              <w:t>447</w:t>
            </w:r>
          </w:p>
        </w:tc>
        <w:tc>
          <w:tcPr>
            <w:tcW w:w="640" w:type="dxa"/>
            <w:vAlign w:val="bottom"/>
          </w:tcPr>
          <w:p>
            <w:pPr>
              <w:jc w:val="right"/>
              <w:spacing w:after="0"/>
              <w:rPr>
                <w:sz w:val="20"/>
                <w:szCs w:val="20"/>
                <w:color w:val="auto"/>
              </w:rPr>
            </w:pPr>
            <w:r>
              <w:rPr>
                <w:rFonts w:ascii="Arial" w:cs="Arial" w:eastAsia="Arial" w:hAnsi="Arial"/>
                <w:sz w:val="18"/>
                <w:szCs w:val="18"/>
                <w:color w:val="auto"/>
              </w:rPr>
              <w:t>6.3</w:t>
            </w:r>
          </w:p>
        </w:tc>
        <w:tc>
          <w:tcPr>
            <w:tcW w:w="80" w:type="dxa"/>
            <w:vAlign w:val="bottom"/>
          </w:tcPr>
          <w:p>
            <w:pPr>
              <w:spacing w:after="0"/>
              <w:rPr>
                <w:sz w:val="18"/>
                <w:szCs w:val="18"/>
                <w:color w:val="auto"/>
              </w:rPr>
            </w:pPr>
          </w:p>
        </w:tc>
      </w:tr>
      <w:tr>
        <w:trPr>
          <w:trHeight w:val="230"/>
        </w:trPr>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80" w:type="dxa"/>
            <w:vAlign w:val="bottom"/>
            <w:shd w:val="clear" w:color="auto" w:fill="CCEEFF"/>
          </w:tcPr>
          <w:p>
            <w:pPr>
              <w:spacing w:after="0"/>
              <w:rPr>
                <w:sz w:val="19"/>
                <w:szCs w:val="19"/>
                <w:color w:val="auto"/>
              </w:rPr>
            </w:pPr>
          </w:p>
        </w:tc>
        <w:tc>
          <w:tcPr>
            <w:tcW w:w="6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0.1</w:t>
            </w: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7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0.3</w:t>
            </w:r>
          </w:p>
        </w:tc>
        <w:tc>
          <w:tcPr>
            <w:tcW w:w="180" w:type="dxa"/>
            <w:vAlign w:val="bottom"/>
            <w:shd w:val="clear" w:color="auto" w:fill="CCEEFF"/>
          </w:tcPr>
          <w:p>
            <w:pPr>
              <w:spacing w:after="0"/>
              <w:rPr>
                <w:sz w:val="19"/>
                <w:szCs w:val="19"/>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160" w:type="dxa"/>
            <w:vAlign w:val="bottom"/>
            <w:shd w:val="clear" w:color="auto" w:fill="CCEEFF"/>
          </w:tcPr>
          <w:p>
            <w:pPr>
              <w:spacing w:after="0"/>
              <w:rPr>
                <w:sz w:val="19"/>
                <w:szCs w:val="19"/>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80" w:type="dxa"/>
            <w:vAlign w:val="bottom"/>
            <w:shd w:val="clear" w:color="auto" w:fill="CCEEFF"/>
          </w:tcPr>
          <w:p>
            <w:pPr>
              <w:spacing w:after="0"/>
              <w:rPr>
                <w:sz w:val="19"/>
                <w:szCs w:val="19"/>
                <w:color w:val="auto"/>
              </w:rPr>
            </w:pPr>
          </w:p>
        </w:tc>
      </w:tr>
      <w:tr>
        <w:trPr>
          <w:trHeight w:val="228"/>
        </w:trPr>
        <w:tc>
          <w:tcPr>
            <w:tcW w:w="4420" w:type="dxa"/>
            <w:vAlign w:val="bottom"/>
          </w:tcPr>
          <w:p>
            <w:pPr>
              <w:ind w:left="340"/>
              <w:spacing w:after="0"/>
              <w:rPr>
                <w:sz w:val="20"/>
                <w:szCs w:val="20"/>
                <w:color w:val="auto"/>
              </w:rPr>
            </w:pPr>
            <w:r>
              <w:rPr>
                <w:rFonts w:ascii="Arial" w:cs="Arial" w:eastAsia="Arial" w:hAnsi="Arial"/>
                <w:sz w:val="18"/>
                <w:szCs w:val="18"/>
                <w:b w:val="1"/>
                <w:bCs w:val="1"/>
                <w:color w:val="auto"/>
              </w:rPr>
              <w:t>Total</w:t>
            </w:r>
          </w:p>
        </w:tc>
        <w:tc>
          <w:tcPr>
            <w:tcW w:w="180" w:type="dxa"/>
            <w:vAlign w:val="bottom"/>
            <w:tcBorders>
              <w:top w:val="single" w:sz="8" w:color="auto"/>
            </w:tcBorders>
          </w:tcPr>
          <w:p>
            <w:pPr>
              <w:jc w:val="right"/>
              <w:ind w:right="21"/>
              <w:spacing w:after="0"/>
              <w:rPr>
                <w:sz w:val="20"/>
                <w:szCs w:val="20"/>
                <w:color w:val="auto"/>
              </w:rPr>
            </w:pPr>
            <w:r>
              <w:rPr>
                <w:rFonts w:ascii="Arial" w:cs="Arial" w:eastAsia="Arial" w:hAnsi="Arial"/>
                <w:sz w:val="15"/>
                <w:szCs w:val="15"/>
                <w:b w:val="1"/>
                <w:bCs w:val="1"/>
                <w:u w:val="single" w:color="auto"/>
                <w:color w:val="auto"/>
                <w:w w:val="71"/>
              </w:rPr>
              <w:t>$</w:t>
            </w:r>
          </w:p>
        </w:tc>
        <w:tc>
          <w:tcPr>
            <w:tcW w:w="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u w:val="single" w:color="auto"/>
                <w:color w:val="auto"/>
              </w:rPr>
              <w:t>5,999</w:t>
            </w:r>
          </w:p>
        </w:tc>
        <w:tc>
          <w:tcPr>
            <w:tcW w:w="200" w:type="dxa"/>
            <w:vAlign w:val="bottom"/>
          </w:tcPr>
          <w:p>
            <w:pPr>
              <w:spacing w:after="0"/>
              <w:rPr>
                <w:sz w:val="19"/>
                <w:szCs w:val="19"/>
                <w:color w:val="auto"/>
              </w:rPr>
            </w:pPr>
          </w:p>
        </w:tc>
        <w:tc>
          <w:tcPr>
            <w:tcW w:w="6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u w:val="single" w:color="auto"/>
                <w:color w:val="auto"/>
                <w:w w:val="79"/>
              </w:rPr>
              <w:t>$</w:t>
            </w:r>
          </w:p>
        </w:tc>
        <w:tc>
          <w:tcPr>
            <w:tcW w:w="5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u w:val="single" w:color="auto"/>
                <w:color w:val="auto"/>
              </w:rPr>
              <w:t>6,444</w:t>
            </w:r>
          </w:p>
        </w:tc>
        <w:tc>
          <w:tcPr>
            <w:tcW w:w="200" w:type="dxa"/>
            <w:vAlign w:val="bottom"/>
          </w:tcPr>
          <w:p>
            <w:pPr>
              <w:spacing w:after="0"/>
              <w:rPr>
                <w:sz w:val="19"/>
                <w:szCs w:val="19"/>
                <w:color w:val="auto"/>
              </w:rPr>
            </w:pPr>
          </w:p>
        </w:tc>
        <w:tc>
          <w:tcPr>
            <w:tcW w:w="6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60" w:type="dxa"/>
            <w:vAlign w:val="bottom"/>
          </w:tcPr>
          <w:p>
            <w:pPr>
              <w:spacing w:after="0"/>
              <w:rPr>
                <w:sz w:val="19"/>
                <w:szCs w:val="19"/>
                <w:color w:val="auto"/>
              </w:rPr>
            </w:pPr>
          </w:p>
        </w:tc>
        <w:tc>
          <w:tcPr>
            <w:tcW w:w="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u w:val="single" w:color="auto"/>
                <w:color w:val="auto"/>
                <w:w w:val="79"/>
              </w:rPr>
              <w:t>$</w:t>
            </w:r>
          </w:p>
        </w:tc>
        <w:tc>
          <w:tcPr>
            <w:tcW w:w="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u w:val="single" w:color="auto"/>
                <w:color w:val="auto"/>
              </w:rPr>
              <w:t>7,155</w:t>
            </w:r>
          </w:p>
        </w:tc>
        <w:tc>
          <w:tcPr>
            <w:tcW w:w="160" w:type="dxa"/>
            <w:vAlign w:val="bottom"/>
          </w:tcPr>
          <w:p>
            <w:pPr>
              <w:spacing w:after="0"/>
              <w:rPr>
                <w:sz w:val="19"/>
                <w:szCs w:val="19"/>
                <w:color w:val="auto"/>
              </w:rPr>
            </w:pPr>
          </w:p>
        </w:tc>
        <w:tc>
          <w:tcPr>
            <w:tcW w:w="6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80" w:type="dxa"/>
            <w:vAlign w:val="bottom"/>
          </w:tcPr>
          <w:p>
            <w:pPr>
              <w:spacing w:after="0"/>
              <w:rPr>
                <w:sz w:val="19"/>
                <w:szCs w:val="1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5485130</wp:posOffset>
            </wp:positionH>
            <wp:positionV relativeFrom="paragraph">
              <wp:posOffset>-2540</wp:posOffset>
            </wp:positionV>
            <wp:extent cx="403225"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403225" cy="8890"/>
                    </a:xfrm>
                    <a:prstGeom prst="rect">
                      <a:avLst/>
                    </a:prstGeom>
                    <a:noFill/>
                  </pic:spPr>
                </pic:pic>
              </a:graphicData>
            </a:graphic>
          </wp:anchor>
        </w:drawing>
        <w:drawing>
          <wp:anchor simplePos="0" relativeHeight="251657728" behindDoc="1" locked="0" layoutInCell="0" allowOverlap="1">
            <wp:simplePos x="0" y="0"/>
            <wp:positionH relativeFrom="column">
              <wp:posOffset>4438650</wp:posOffset>
            </wp:positionH>
            <wp:positionV relativeFrom="paragraph">
              <wp:posOffset>-2540</wp:posOffset>
            </wp:positionV>
            <wp:extent cx="42037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420370" cy="8890"/>
                    </a:xfrm>
                    <a:prstGeom prst="rect">
                      <a:avLst/>
                    </a:prstGeom>
                    <a:noFill/>
                  </pic:spPr>
                </pic:pic>
              </a:graphicData>
            </a:graphic>
          </wp:anchor>
        </w:drawing>
        <w:drawing>
          <wp:anchor simplePos="0" relativeHeight="251657728" behindDoc="1" locked="0" layoutInCell="0" allowOverlap="1">
            <wp:simplePos x="0" y="0"/>
            <wp:positionH relativeFrom="column">
              <wp:posOffset>3349625</wp:posOffset>
            </wp:positionH>
            <wp:positionV relativeFrom="paragraph">
              <wp:posOffset>-2540</wp:posOffset>
            </wp:positionV>
            <wp:extent cx="42037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420370" cy="8890"/>
                    </a:xfrm>
                    <a:prstGeom prst="rect">
                      <a:avLst/>
                    </a:prstGeom>
                    <a:noFill/>
                  </pic:spPr>
                </pic:pic>
              </a:graphicData>
            </a:graphic>
          </wp:anchor>
        </w:drawing>
      </w:r>
    </w:p>
    <w:p>
      <w:pPr>
        <w:ind w:left="340" w:hanging="332"/>
        <w:spacing w:after="0" w:line="181" w:lineRule="auto"/>
        <w:tabs>
          <w:tab w:leader="none" w:pos="340" w:val="left"/>
        </w:tabs>
        <w:numPr>
          <w:ilvl w:val="0"/>
          <w:numId w:val="18"/>
        </w:numPr>
        <w:rPr>
          <w:rFonts w:ascii="Arial" w:cs="Arial" w:eastAsia="Arial" w:hAnsi="Arial"/>
          <w:sz w:val="29"/>
          <w:szCs w:val="29"/>
          <w:color w:val="auto"/>
          <w:vertAlign w:val="superscript"/>
        </w:rPr>
      </w:pPr>
      <w:r>
        <w:rPr>
          <w:rFonts w:ascii="Arial" w:cs="Arial" w:eastAsia="Arial" w:hAnsi="Arial"/>
          <w:sz w:val="18"/>
          <w:szCs w:val="18"/>
          <w:color w:val="auto"/>
        </w:rPr>
        <w:t>Includes non-performing loans in the amount of $59 million as of December 31, 2017.</w:t>
      </w:r>
    </w:p>
    <w:p>
      <w:pPr>
        <w:spacing w:after="0" w:line="1" w:lineRule="exact"/>
        <w:rPr>
          <w:rFonts w:ascii="Arial" w:cs="Arial" w:eastAsia="Arial" w:hAnsi="Arial"/>
          <w:sz w:val="29"/>
          <w:szCs w:val="29"/>
          <w:color w:val="auto"/>
          <w:vertAlign w:val="superscript"/>
        </w:rPr>
      </w:pPr>
    </w:p>
    <w:p>
      <w:pPr>
        <w:ind w:left="340" w:hanging="332"/>
        <w:spacing w:after="0" w:line="186" w:lineRule="auto"/>
        <w:tabs>
          <w:tab w:leader="none" w:pos="340" w:val="left"/>
        </w:tabs>
        <w:numPr>
          <w:ilvl w:val="0"/>
          <w:numId w:val="18"/>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the amount of $65 million as of December 31, 2016.</w:t>
      </w:r>
    </w:p>
    <w:p>
      <w:pPr>
        <w:spacing w:after="0" w:line="2" w:lineRule="exact"/>
        <w:rPr>
          <w:rFonts w:ascii="Arial" w:cs="Arial" w:eastAsia="Arial" w:hAnsi="Arial"/>
          <w:sz w:val="24"/>
          <w:szCs w:val="24"/>
          <w:color w:val="auto"/>
          <w:vertAlign w:val="superscript"/>
        </w:rPr>
      </w:pPr>
    </w:p>
    <w:p>
      <w:pPr>
        <w:ind w:left="340" w:hanging="332"/>
        <w:spacing w:after="0" w:line="186" w:lineRule="auto"/>
        <w:tabs>
          <w:tab w:leader="none" w:pos="340" w:val="left"/>
        </w:tabs>
        <w:numPr>
          <w:ilvl w:val="0"/>
          <w:numId w:val="18"/>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the amount of $52 million as of December 31, 2015.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2800985</wp:posOffset>
            </wp:positionH>
            <wp:positionV relativeFrom="paragraph">
              <wp:posOffset>-419100</wp:posOffset>
            </wp:positionV>
            <wp:extent cx="308737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3087370" cy="8890"/>
                    </a:xfrm>
                    <a:prstGeom prst="rect">
                      <a:avLst/>
                    </a:prstGeom>
                    <a:noFill/>
                  </pic:spPr>
                </pic:pic>
              </a:graphicData>
            </a:graphic>
          </wp:anchor>
        </w:drawing>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Portfolio</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As of December 31, 2017, the Bank’s Loan Portfolio totaled to $5,506 million, compared to $6,021 million as of December 31, 2016 and $6,692 million as of December 31, 2015. The $515 million, or 9%, Loan Portfolio decrease during 2017 was largely attributable to the Bank’s decision to improve its Loan Portfolio risk profile by reducing unwanted exposures to certain countries, industries and clients, along with a focus toward short-term lending. In addition, high levels of U.S. dollar liquidity experienced in key markets led to nearly $1 billion in pre-payments of loans originally scheduled to mature in or after 2018, significantly offsetting increased levels of credit disbursements throughout the year. As of December 31, 2017, 80% of the Bank’s Loan Portfolio was scheduled to mature within one year, compared to 76% and 70%, as of December 31, 2016 and 2015, respectively.</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5" w:name="page26"/>
    <w:bookmarkEnd w:id="25"/>
    <w:p>
      <w:pPr>
        <w:spacing w:after="0" w:line="277" w:lineRule="auto"/>
        <w:rPr>
          <w:sz w:val="20"/>
          <w:szCs w:val="20"/>
          <w:color w:val="auto"/>
        </w:rPr>
      </w:pPr>
      <w:r>
        <w:rPr>
          <w:rFonts w:ascii="Arial" w:cs="Arial" w:eastAsia="Arial" w:hAnsi="Arial"/>
          <w:sz w:val="18"/>
          <w:szCs w:val="18"/>
          <w:color w:val="auto"/>
        </w:rPr>
        <w:t>As of December 31, 2017, the Bank had non-performing loans of $59 million (or 1.07% of the Loan Portfolio), compared to $65 million (or 1.09% of the Loan Portfolio) as of December 31, 2016 and $52 million (or 0.78% of the Loan Portfolio) as of December 31, 2015.</w:t>
      </w:r>
    </w:p>
    <w:p>
      <w:pPr>
        <w:spacing w:after="0" w:line="170" w:lineRule="exact"/>
        <w:rPr>
          <w:sz w:val="20"/>
          <w:szCs w:val="20"/>
          <w:color w:val="auto"/>
        </w:rPr>
      </w:pPr>
    </w:p>
    <w:p>
      <w:pPr>
        <w:spacing w:after="0" w:line="342" w:lineRule="auto"/>
        <w:rPr>
          <w:sz w:val="20"/>
          <w:szCs w:val="20"/>
          <w:color w:val="auto"/>
        </w:rPr>
      </w:pPr>
      <w:r>
        <w:rPr>
          <w:rFonts w:ascii="Arial" w:cs="Arial" w:eastAsia="Arial" w:hAnsi="Arial"/>
          <w:sz w:val="16"/>
          <w:szCs w:val="16"/>
          <w:color w:val="auto"/>
        </w:rPr>
        <w:t>For more detailed information, see Item 5, “Operating and Financial Review and Prospects—Operating Results—Changes in Financial Position”. “Operating and Financial Review and Prospects—Operating Results—Asset Quality”, “—Allowance for ECL” and Item 18, “Financial Statements,” notes 3.5 and 5.5.</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Loan Portfolio by Country Risk</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distribution of the Bank’s Loan Portfolio by country risk at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68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80" w:type="dxa"/>
            <w:vAlign w:val="bottom"/>
            <w:tcBorders>
              <w:bottom w:val="single" w:sz="8" w:color="auto"/>
            </w:tcBorders>
            <w:gridSpan w:val="4"/>
          </w:tcPr>
          <w:p>
            <w:pPr>
              <w:jc w:val="center"/>
              <w:ind w:right="380"/>
              <w:spacing w:after="0"/>
              <w:rPr>
                <w:sz w:val="20"/>
                <w:szCs w:val="20"/>
                <w:color w:val="auto"/>
              </w:rPr>
            </w:pPr>
            <w:r>
              <w:rPr>
                <w:rFonts w:ascii="Arial" w:cs="Arial" w:eastAsia="Arial" w:hAnsi="Arial"/>
                <w:sz w:val="18"/>
                <w:szCs w:val="18"/>
                <w:b w:val="1"/>
                <w:bCs w:val="1"/>
                <w:color w:val="auto"/>
                <w:w w:val="89"/>
              </w:rPr>
              <w:t>As of December 31,</w:t>
            </w:r>
          </w:p>
        </w:tc>
        <w:tc>
          <w:tcPr>
            <w:tcW w:w="200" w:type="dxa"/>
            <w:vAlign w:val="bottom"/>
            <w:tcBorders>
              <w:bottom w:val="single" w:sz="8" w:color="auto"/>
            </w:tcBorders>
          </w:tcPr>
          <w:p>
            <w:pPr>
              <w:spacing w:after="0"/>
              <w:rPr>
                <w:sz w:val="20"/>
                <w:szCs w:val="20"/>
                <w:color w:val="auto"/>
              </w:rPr>
            </w:pPr>
          </w:p>
        </w:tc>
        <w:tc>
          <w:tcPr>
            <w:tcW w:w="62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191"/>
        </w:trPr>
        <w:tc>
          <w:tcPr>
            <w:tcW w:w="3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gridSpan w:val="2"/>
          </w:tcPr>
          <w:p>
            <w:pPr>
              <w:jc w:val="center"/>
              <w:ind w:right="80"/>
              <w:spacing w:after="0" w:line="191" w:lineRule="exact"/>
              <w:rPr>
                <w:sz w:val="20"/>
                <w:szCs w:val="20"/>
                <w:color w:val="auto"/>
              </w:rPr>
            </w:pPr>
            <w:r>
              <w:rPr>
                <w:rFonts w:ascii="Arial" w:cs="Arial" w:eastAsia="Arial" w:hAnsi="Arial"/>
                <w:sz w:val="18"/>
                <w:szCs w:val="18"/>
                <w:b w:val="1"/>
                <w:bCs w:val="1"/>
                <w:color w:val="auto"/>
                <w:w w:val="99"/>
              </w:rPr>
              <w:t>% of</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8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99"/>
              </w:rPr>
              <w:t>% of</w:t>
            </w:r>
          </w:p>
        </w:tc>
        <w:tc>
          <w:tcPr>
            <w:tcW w:w="20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9"/>
              </w:rPr>
              <w:t>% of</w:t>
            </w:r>
          </w:p>
        </w:tc>
        <w:tc>
          <w:tcPr>
            <w:tcW w:w="80" w:type="dxa"/>
            <w:vAlign w:val="bottom"/>
            <w:gridSpan w:val="2"/>
          </w:tcPr>
          <w:p>
            <w:pPr>
              <w:spacing w:after="0"/>
              <w:rPr>
                <w:sz w:val="16"/>
                <w:szCs w:val="16"/>
                <w:color w:val="auto"/>
              </w:rPr>
            </w:pPr>
          </w:p>
        </w:tc>
      </w:tr>
      <w:tr>
        <w:trPr>
          <w:trHeight w:val="216"/>
        </w:trPr>
        <w:tc>
          <w:tcPr>
            <w:tcW w:w="3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Total</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Total</w:t>
            </w:r>
          </w:p>
        </w:tc>
        <w:tc>
          <w:tcPr>
            <w:tcW w:w="2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Total</w:t>
            </w:r>
          </w:p>
        </w:tc>
      </w:tr>
      <w:tr>
        <w:trPr>
          <w:trHeight w:val="234"/>
        </w:trPr>
        <w:tc>
          <w:tcPr>
            <w:tcW w:w="32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80" w:type="dxa"/>
            <w:vAlign w:val="bottom"/>
          </w:tcPr>
          <w:p>
            <w:pPr>
              <w:jc w:val="right"/>
              <w:ind w:right="150"/>
              <w:spacing w:after="0"/>
              <w:rPr>
                <w:sz w:val="20"/>
                <w:szCs w:val="20"/>
                <w:color w:val="auto"/>
              </w:rPr>
            </w:pPr>
            <w:r>
              <w:rPr>
                <w:rFonts w:ascii="Arial" w:cs="Arial" w:eastAsia="Arial" w:hAnsi="Arial"/>
                <w:sz w:val="18"/>
                <w:szCs w:val="18"/>
                <w:b w:val="1"/>
                <w:bCs w:val="1"/>
                <w:color w:val="auto"/>
              </w:rPr>
              <w:t>2017</w:t>
            </w:r>
          </w:p>
        </w:tc>
        <w:tc>
          <w:tcPr>
            <w:tcW w:w="180" w:type="dxa"/>
            <w:vAlign w:val="bottom"/>
          </w:tcPr>
          <w:p>
            <w:pPr>
              <w:spacing w:after="0"/>
              <w:rPr>
                <w:sz w:val="20"/>
                <w:szCs w:val="20"/>
                <w:color w:val="auto"/>
              </w:rPr>
            </w:pPr>
          </w:p>
        </w:tc>
        <w:tc>
          <w:tcPr>
            <w:tcW w:w="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Loans</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jc w:val="right"/>
              <w:ind w:right="150"/>
              <w:spacing w:after="0"/>
              <w:rPr>
                <w:sz w:val="20"/>
                <w:szCs w:val="20"/>
                <w:color w:val="auto"/>
              </w:rPr>
            </w:pPr>
            <w:r>
              <w:rPr>
                <w:rFonts w:ascii="Arial" w:cs="Arial" w:eastAsia="Arial" w:hAnsi="Arial"/>
                <w:sz w:val="18"/>
                <w:szCs w:val="18"/>
                <w:b w:val="1"/>
                <w:bCs w:val="1"/>
                <w:color w:val="auto"/>
              </w:rPr>
              <w:t>2016</w:t>
            </w:r>
          </w:p>
        </w:tc>
        <w:tc>
          <w:tcPr>
            <w:tcW w:w="160" w:type="dxa"/>
            <w:vAlign w:val="bottom"/>
          </w:tcPr>
          <w:p>
            <w:pPr>
              <w:spacing w:after="0"/>
              <w:rPr>
                <w:sz w:val="20"/>
                <w:szCs w:val="20"/>
                <w:color w:val="auto"/>
              </w:rPr>
            </w:pPr>
          </w:p>
        </w:tc>
        <w:tc>
          <w:tcPr>
            <w:tcW w:w="9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Loans</w:t>
            </w:r>
          </w:p>
        </w:tc>
        <w:tc>
          <w:tcPr>
            <w:tcW w:w="200" w:type="dxa"/>
            <w:vAlign w:val="bottom"/>
          </w:tcPr>
          <w:p>
            <w:pPr>
              <w:spacing w:after="0"/>
              <w:rPr>
                <w:sz w:val="20"/>
                <w:szCs w:val="20"/>
                <w:color w:val="auto"/>
              </w:rPr>
            </w:pPr>
          </w:p>
        </w:tc>
        <w:tc>
          <w:tcPr>
            <w:tcW w:w="620" w:type="dxa"/>
            <w:vAlign w:val="bottom"/>
          </w:tcPr>
          <w:p>
            <w:pPr>
              <w:jc w:val="right"/>
              <w:ind w:right="130"/>
              <w:spacing w:after="0"/>
              <w:rPr>
                <w:sz w:val="20"/>
                <w:szCs w:val="20"/>
                <w:color w:val="auto"/>
              </w:rPr>
            </w:pPr>
            <w:r>
              <w:rPr>
                <w:rFonts w:ascii="Arial" w:cs="Arial" w:eastAsia="Arial" w:hAnsi="Arial"/>
                <w:sz w:val="18"/>
                <w:szCs w:val="18"/>
                <w:b w:val="1"/>
                <w:bCs w:val="1"/>
                <w:color w:val="auto"/>
                <w:w w:val="94"/>
              </w:rPr>
              <w:t>2015</w:t>
            </w:r>
          </w:p>
        </w:tc>
        <w:tc>
          <w:tcPr>
            <w:tcW w:w="160" w:type="dxa"/>
            <w:vAlign w:val="bottom"/>
          </w:tcPr>
          <w:p>
            <w:pPr>
              <w:spacing w:after="0"/>
              <w:rPr>
                <w:sz w:val="20"/>
                <w:szCs w:val="20"/>
                <w:color w:val="auto"/>
              </w:rPr>
            </w:pPr>
          </w:p>
        </w:tc>
        <w:tc>
          <w:tcPr>
            <w:tcW w:w="9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6"/>
              </w:rPr>
              <w:t>Loans</w:t>
            </w:r>
          </w:p>
        </w:tc>
      </w:tr>
      <w:tr>
        <w:trPr>
          <w:trHeight w:val="210"/>
        </w:trPr>
        <w:tc>
          <w:tcPr>
            <w:tcW w:w="320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3220" w:type="dxa"/>
            <w:vAlign w:val="bottom"/>
            <w:tcBorders>
              <w:top w:val="single" w:sz="8" w:color="auto"/>
            </w:tcBorders>
            <w:gridSpan w:val="9"/>
          </w:tcPr>
          <w:p>
            <w:pPr>
              <w:jc w:val="center"/>
              <w:ind w:left="470"/>
              <w:spacing w:after="0"/>
              <w:rPr>
                <w:sz w:val="20"/>
                <w:szCs w:val="20"/>
                <w:color w:val="auto"/>
              </w:rPr>
            </w:pPr>
            <w:r>
              <w:rPr>
                <w:rFonts w:ascii="Arial" w:cs="Arial" w:eastAsia="Arial" w:hAnsi="Arial"/>
                <w:sz w:val="18"/>
                <w:szCs w:val="18"/>
                <w:b w:val="1"/>
                <w:bCs w:val="1"/>
                <w:color w:val="auto"/>
                <w:w w:val="87"/>
              </w:rPr>
              <w:t>(in $ millions, except percentages)</w:t>
            </w:r>
          </w:p>
        </w:tc>
        <w:tc>
          <w:tcPr>
            <w:tcW w:w="620" w:type="dxa"/>
            <w:vAlign w:val="bottom"/>
            <w:tcBorders>
              <w:top w:val="single" w:sz="8" w:color="auto"/>
            </w:tcBorders>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295</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w:t>
            </w:r>
          </w:p>
        </w:tc>
        <w:tc>
          <w:tcPr>
            <w:tcW w:w="100" w:type="dxa"/>
            <w:vAlign w:val="bottom"/>
            <w:shd w:val="clear" w:color="auto" w:fill="CCEEFF"/>
          </w:tcPr>
          <w:p>
            <w:pPr>
              <w:spacing w:after="0"/>
              <w:rPr>
                <w:sz w:val="18"/>
                <w:szCs w:val="18"/>
                <w:color w:val="auto"/>
              </w:rPr>
            </w:pP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325</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142</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w:t>
            </w:r>
          </w:p>
        </w:tc>
        <w:tc>
          <w:tcPr>
            <w:tcW w:w="60" w:type="dxa"/>
            <w:vAlign w:val="bottom"/>
            <w:shd w:val="clear" w:color="auto" w:fill="CCEEFF"/>
          </w:tcPr>
          <w:p>
            <w:pPr>
              <w:spacing w:after="0"/>
              <w:rPr>
                <w:sz w:val="18"/>
                <w:szCs w:val="18"/>
                <w:color w:val="auto"/>
              </w:rPr>
            </w:pP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Belgium</w:t>
            </w:r>
          </w:p>
        </w:tc>
        <w:tc>
          <w:tcPr>
            <w:tcW w:w="18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11</w:t>
            </w:r>
          </w:p>
        </w:tc>
        <w:tc>
          <w:tcPr>
            <w:tcW w:w="18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0.2</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4</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0.1</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13</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0.2</w:t>
            </w:r>
          </w:p>
        </w:tc>
        <w:tc>
          <w:tcPr>
            <w:tcW w:w="60" w:type="dxa"/>
            <w:vAlign w:val="bottom"/>
          </w:tcPr>
          <w:p>
            <w:pPr>
              <w:spacing w:after="0"/>
              <w:rPr>
                <w:sz w:val="18"/>
                <w:szCs w:val="18"/>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Bermuda</w:t>
            </w:r>
          </w:p>
        </w:tc>
        <w:tc>
          <w:tcPr>
            <w:tcW w:w="18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w:t>
            </w:r>
          </w:p>
        </w:tc>
        <w:tc>
          <w:tcPr>
            <w:tcW w:w="2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0.3</w:t>
            </w:r>
          </w:p>
        </w:tc>
        <w:tc>
          <w:tcPr>
            <w:tcW w:w="60" w:type="dxa"/>
            <w:vAlign w:val="bottom"/>
            <w:shd w:val="clear" w:color="auto" w:fill="CCEEFF"/>
          </w:tcPr>
          <w:p>
            <w:pPr>
              <w:spacing w:after="0"/>
              <w:rPr>
                <w:sz w:val="18"/>
                <w:szCs w:val="18"/>
                <w:color w:val="auto"/>
              </w:rPr>
            </w:pP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Bolivia</w:t>
            </w:r>
          </w:p>
        </w:tc>
        <w:tc>
          <w:tcPr>
            <w:tcW w:w="18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15</w:t>
            </w:r>
          </w:p>
        </w:tc>
        <w:tc>
          <w:tcPr>
            <w:tcW w:w="18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0.3</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18</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0.3</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20</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0.3</w:t>
            </w:r>
          </w:p>
        </w:tc>
        <w:tc>
          <w:tcPr>
            <w:tcW w:w="60" w:type="dxa"/>
            <w:vAlign w:val="bottom"/>
          </w:tcPr>
          <w:p>
            <w:pPr>
              <w:spacing w:after="0"/>
              <w:rPr>
                <w:sz w:val="18"/>
                <w:szCs w:val="18"/>
                <w:color w:val="auto"/>
              </w:rPr>
            </w:pPr>
          </w:p>
        </w:tc>
      </w:tr>
      <w:tr>
        <w:trPr>
          <w:trHeight w:val="257"/>
        </w:trPr>
        <w:tc>
          <w:tcPr>
            <w:tcW w:w="32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Brazil </w:t>
            </w:r>
            <w:r>
              <w:rPr>
                <w:rFonts w:ascii="Arial" w:cs="Arial" w:eastAsia="Arial" w:hAnsi="Arial"/>
                <w:sz w:val="29"/>
                <w:szCs w:val="29"/>
                <w:color w:val="auto"/>
                <w:vertAlign w:val="superscript"/>
              </w:rPr>
              <w:t>(1)</w:t>
            </w:r>
          </w:p>
        </w:tc>
        <w:tc>
          <w:tcPr>
            <w:tcW w:w="18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1,019</w:t>
            </w:r>
          </w:p>
        </w:tc>
        <w:tc>
          <w:tcPr>
            <w:tcW w:w="180" w:type="dxa"/>
            <w:vAlign w:val="bottom"/>
            <w:shd w:val="clear" w:color="auto" w:fill="CCEEFF"/>
          </w:tcPr>
          <w:p>
            <w:pPr>
              <w:spacing w:after="0"/>
              <w:rPr>
                <w:sz w:val="22"/>
                <w:szCs w:val="22"/>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18.5</w:t>
            </w: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1,164</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19.3</w:t>
            </w:r>
          </w:p>
        </w:tc>
        <w:tc>
          <w:tcPr>
            <w:tcW w:w="200" w:type="dxa"/>
            <w:vAlign w:val="bottom"/>
            <w:shd w:val="clear" w:color="auto" w:fill="CCEEFF"/>
          </w:tcPr>
          <w:p>
            <w:pPr>
              <w:spacing w:after="0"/>
              <w:rPr>
                <w:sz w:val="22"/>
                <w:szCs w:val="22"/>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1,605</w:t>
            </w:r>
          </w:p>
        </w:tc>
        <w:tc>
          <w:tcPr>
            <w:tcW w:w="90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24.0</w:t>
            </w: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Chile</w:t>
            </w:r>
          </w:p>
        </w:tc>
        <w:tc>
          <w:tcPr>
            <w:tcW w:w="180" w:type="dxa"/>
            <w:vAlign w:val="bottom"/>
          </w:tcPr>
          <w:p>
            <w:pPr>
              <w:spacing w:after="0"/>
              <w:rPr>
                <w:sz w:val="18"/>
                <w:szCs w:val="18"/>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171</w:t>
            </w:r>
          </w:p>
        </w:tc>
        <w:tc>
          <w:tcPr>
            <w:tcW w:w="840" w:type="dxa"/>
            <w:vAlign w:val="bottom"/>
          </w:tcPr>
          <w:p>
            <w:pPr>
              <w:jc w:val="right"/>
              <w:spacing w:after="0"/>
              <w:rPr>
                <w:sz w:val="20"/>
                <w:szCs w:val="20"/>
                <w:color w:val="auto"/>
              </w:rPr>
            </w:pPr>
            <w:r>
              <w:rPr>
                <w:rFonts w:ascii="Arial" w:cs="Arial" w:eastAsia="Arial" w:hAnsi="Arial"/>
                <w:sz w:val="18"/>
                <w:szCs w:val="18"/>
                <w:color w:val="auto"/>
              </w:rPr>
              <w:t>3.1</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69</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1.2</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195</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2.9</w:t>
            </w:r>
          </w:p>
        </w:tc>
        <w:tc>
          <w:tcPr>
            <w:tcW w:w="60" w:type="dxa"/>
            <w:vAlign w:val="bottom"/>
          </w:tcPr>
          <w:p>
            <w:pPr>
              <w:spacing w:after="0"/>
              <w:rPr>
                <w:sz w:val="18"/>
                <w:szCs w:val="18"/>
                <w:color w:val="auto"/>
              </w:rPr>
            </w:pPr>
          </w:p>
        </w:tc>
      </w:tr>
      <w:tr>
        <w:trPr>
          <w:trHeight w:val="257"/>
        </w:trPr>
        <w:tc>
          <w:tcPr>
            <w:tcW w:w="32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Colombia </w:t>
            </w:r>
            <w:r>
              <w:rPr>
                <w:rFonts w:ascii="Arial" w:cs="Arial" w:eastAsia="Arial" w:hAnsi="Arial"/>
                <w:sz w:val="29"/>
                <w:szCs w:val="29"/>
                <w:color w:val="auto"/>
                <w:vertAlign w:val="superscript"/>
              </w:rPr>
              <w:t>(2)</w:t>
            </w:r>
          </w:p>
        </w:tc>
        <w:tc>
          <w:tcPr>
            <w:tcW w:w="180" w:type="dxa"/>
            <w:vAlign w:val="bottom"/>
            <w:shd w:val="clear" w:color="auto" w:fill="CCEEFF"/>
          </w:tcPr>
          <w:p>
            <w:pPr>
              <w:spacing w:after="0"/>
              <w:rPr>
                <w:sz w:val="22"/>
                <w:szCs w:val="22"/>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829</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15.1</w:t>
            </w: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653</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10.8</w:t>
            </w:r>
          </w:p>
        </w:tc>
        <w:tc>
          <w:tcPr>
            <w:tcW w:w="200" w:type="dxa"/>
            <w:vAlign w:val="bottom"/>
            <w:shd w:val="clear" w:color="auto" w:fill="CCEEFF"/>
          </w:tcPr>
          <w:p>
            <w:pPr>
              <w:spacing w:after="0"/>
              <w:rPr>
                <w:sz w:val="22"/>
                <w:szCs w:val="22"/>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621</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9.3</w:t>
            </w:r>
          </w:p>
        </w:tc>
        <w:tc>
          <w:tcPr>
            <w:tcW w:w="60" w:type="dxa"/>
            <w:vAlign w:val="bottom"/>
            <w:shd w:val="clear" w:color="auto" w:fill="CCEEFF"/>
          </w:tcPr>
          <w:p>
            <w:pPr>
              <w:spacing w:after="0"/>
              <w:rPr>
                <w:sz w:val="22"/>
                <w:szCs w:val="22"/>
                <w:color w:val="auto"/>
              </w:rPr>
            </w:pP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Costa Rica</w:t>
            </w:r>
          </w:p>
        </w:tc>
        <w:tc>
          <w:tcPr>
            <w:tcW w:w="180" w:type="dxa"/>
            <w:vAlign w:val="bottom"/>
          </w:tcPr>
          <w:p>
            <w:pPr>
              <w:spacing w:after="0"/>
              <w:rPr>
                <w:sz w:val="18"/>
                <w:szCs w:val="18"/>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356</w:t>
            </w:r>
          </w:p>
        </w:tc>
        <w:tc>
          <w:tcPr>
            <w:tcW w:w="840" w:type="dxa"/>
            <w:vAlign w:val="bottom"/>
          </w:tcPr>
          <w:p>
            <w:pPr>
              <w:jc w:val="right"/>
              <w:spacing w:after="0"/>
              <w:rPr>
                <w:sz w:val="20"/>
                <w:szCs w:val="20"/>
                <w:color w:val="auto"/>
              </w:rPr>
            </w:pPr>
            <w:r>
              <w:rPr>
                <w:rFonts w:ascii="Arial" w:cs="Arial" w:eastAsia="Arial" w:hAnsi="Arial"/>
                <w:sz w:val="18"/>
                <w:szCs w:val="18"/>
                <w:color w:val="auto"/>
              </w:rPr>
              <w:t>6.5</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400</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6.6</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341</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5.1</w:t>
            </w:r>
          </w:p>
        </w:tc>
        <w:tc>
          <w:tcPr>
            <w:tcW w:w="60" w:type="dxa"/>
            <w:vAlign w:val="bottom"/>
          </w:tcPr>
          <w:p>
            <w:pPr>
              <w:spacing w:after="0"/>
              <w:rPr>
                <w:sz w:val="18"/>
                <w:szCs w:val="18"/>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Dominican Republic</w:t>
            </w:r>
          </w:p>
        </w:tc>
        <w:tc>
          <w:tcPr>
            <w:tcW w:w="18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250</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244</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4.1</w:t>
            </w:r>
          </w:p>
        </w:tc>
        <w:tc>
          <w:tcPr>
            <w:tcW w:w="2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384</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w:t>
            </w:r>
          </w:p>
        </w:tc>
        <w:tc>
          <w:tcPr>
            <w:tcW w:w="60" w:type="dxa"/>
            <w:vAlign w:val="bottom"/>
            <w:shd w:val="clear" w:color="auto" w:fill="CCEEFF"/>
          </w:tcPr>
          <w:p>
            <w:pPr>
              <w:spacing w:after="0"/>
              <w:rPr>
                <w:sz w:val="18"/>
                <w:szCs w:val="18"/>
                <w:color w:val="auto"/>
              </w:rPr>
            </w:pP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Ecuador</w:t>
            </w:r>
          </w:p>
        </w:tc>
        <w:tc>
          <w:tcPr>
            <w:tcW w:w="18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94</w:t>
            </w:r>
          </w:p>
        </w:tc>
        <w:tc>
          <w:tcPr>
            <w:tcW w:w="18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1.7</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129</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2.1</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169</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2.5</w:t>
            </w:r>
          </w:p>
        </w:tc>
        <w:tc>
          <w:tcPr>
            <w:tcW w:w="60" w:type="dxa"/>
            <w:vAlign w:val="bottom"/>
          </w:tcPr>
          <w:p>
            <w:pPr>
              <w:spacing w:after="0"/>
              <w:rPr>
                <w:sz w:val="18"/>
                <w:szCs w:val="18"/>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El Salvador</w:t>
            </w: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w:t>
            </w:r>
          </w:p>
        </w:tc>
        <w:tc>
          <w:tcPr>
            <w:tcW w:w="18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105</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w:t>
            </w:r>
          </w:p>
        </w:tc>
        <w:tc>
          <w:tcPr>
            <w:tcW w:w="2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68</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w:t>
            </w:r>
          </w:p>
        </w:tc>
        <w:tc>
          <w:tcPr>
            <w:tcW w:w="60" w:type="dxa"/>
            <w:vAlign w:val="bottom"/>
            <w:shd w:val="clear" w:color="auto" w:fill="CCEEFF"/>
          </w:tcPr>
          <w:p>
            <w:pPr>
              <w:spacing w:after="0"/>
              <w:rPr>
                <w:sz w:val="18"/>
                <w:szCs w:val="18"/>
                <w:color w:val="auto"/>
              </w:rPr>
            </w:pP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France</w:t>
            </w:r>
          </w:p>
        </w:tc>
        <w:tc>
          <w:tcPr>
            <w:tcW w:w="180" w:type="dxa"/>
            <w:vAlign w:val="bottom"/>
          </w:tcPr>
          <w:p>
            <w:pPr>
              <w:spacing w:after="0"/>
              <w:rPr>
                <w:sz w:val="18"/>
                <w:szCs w:val="18"/>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840" w:type="dxa"/>
            <w:vAlign w:val="bottom"/>
          </w:tcPr>
          <w:p>
            <w:pPr>
              <w:jc w:val="right"/>
              <w:spacing w:after="0"/>
              <w:rPr>
                <w:sz w:val="20"/>
                <w:szCs w:val="20"/>
                <w:color w:val="auto"/>
              </w:rPr>
            </w:pPr>
            <w:r>
              <w:rPr>
                <w:rFonts w:ascii="Arial" w:cs="Arial" w:eastAsia="Arial" w:hAnsi="Arial"/>
                <w:sz w:val="18"/>
                <w:szCs w:val="18"/>
                <w:color w:val="auto"/>
              </w:rPr>
              <w:t>0.0</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0.0</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6</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0.1</w:t>
            </w:r>
          </w:p>
        </w:tc>
        <w:tc>
          <w:tcPr>
            <w:tcW w:w="60" w:type="dxa"/>
            <w:vAlign w:val="bottom"/>
          </w:tcPr>
          <w:p>
            <w:pPr>
              <w:spacing w:after="0"/>
              <w:rPr>
                <w:sz w:val="18"/>
                <w:szCs w:val="18"/>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Germany</w:t>
            </w: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18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0.7</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50</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0.8</w:t>
            </w:r>
          </w:p>
        </w:tc>
        <w:tc>
          <w:tcPr>
            <w:tcW w:w="2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97</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w:t>
            </w:r>
          </w:p>
        </w:tc>
        <w:tc>
          <w:tcPr>
            <w:tcW w:w="60" w:type="dxa"/>
            <w:vAlign w:val="bottom"/>
            <w:shd w:val="clear" w:color="auto" w:fill="CCEEFF"/>
          </w:tcPr>
          <w:p>
            <w:pPr>
              <w:spacing w:after="0"/>
              <w:rPr>
                <w:sz w:val="18"/>
                <w:szCs w:val="18"/>
                <w:color w:val="auto"/>
              </w:rPr>
            </w:pP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Guatemala</w:t>
            </w:r>
          </w:p>
        </w:tc>
        <w:tc>
          <w:tcPr>
            <w:tcW w:w="180" w:type="dxa"/>
            <w:vAlign w:val="bottom"/>
          </w:tcPr>
          <w:p>
            <w:pPr>
              <w:spacing w:after="0"/>
              <w:rPr>
                <w:sz w:val="18"/>
                <w:szCs w:val="18"/>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309</w:t>
            </w:r>
          </w:p>
        </w:tc>
        <w:tc>
          <w:tcPr>
            <w:tcW w:w="840" w:type="dxa"/>
            <w:vAlign w:val="bottom"/>
          </w:tcPr>
          <w:p>
            <w:pPr>
              <w:jc w:val="right"/>
              <w:spacing w:after="0"/>
              <w:rPr>
                <w:sz w:val="20"/>
                <w:szCs w:val="20"/>
                <w:color w:val="auto"/>
              </w:rPr>
            </w:pPr>
            <w:r>
              <w:rPr>
                <w:rFonts w:ascii="Arial" w:cs="Arial" w:eastAsia="Arial" w:hAnsi="Arial"/>
                <w:sz w:val="18"/>
                <w:szCs w:val="18"/>
                <w:color w:val="auto"/>
              </w:rPr>
              <w:t>5.6</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316</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5.2</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458</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6.8</w:t>
            </w:r>
          </w:p>
        </w:tc>
        <w:tc>
          <w:tcPr>
            <w:tcW w:w="60" w:type="dxa"/>
            <w:vAlign w:val="bottom"/>
          </w:tcPr>
          <w:p>
            <w:pPr>
              <w:spacing w:after="0"/>
              <w:rPr>
                <w:sz w:val="18"/>
                <w:szCs w:val="18"/>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w:t>
            </w:r>
          </w:p>
        </w:tc>
        <w:tc>
          <w:tcPr>
            <w:tcW w:w="18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73</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w:t>
            </w:r>
          </w:p>
        </w:tc>
        <w:tc>
          <w:tcPr>
            <w:tcW w:w="2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118</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w:t>
            </w:r>
          </w:p>
        </w:tc>
        <w:tc>
          <w:tcPr>
            <w:tcW w:w="60" w:type="dxa"/>
            <w:vAlign w:val="bottom"/>
            <w:shd w:val="clear" w:color="auto" w:fill="CCEEFF"/>
          </w:tcPr>
          <w:p>
            <w:pPr>
              <w:spacing w:after="0"/>
              <w:rPr>
                <w:sz w:val="18"/>
                <w:szCs w:val="18"/>
                <w:color w:val="auto"/>
              </w:rPr>
            </w:pP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Jamaica</w:t>
            </w:r>
          </w:p>
        </w:tc>
        <w:tc>
          <w:tcPr>
            <w:tcW w:w="18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24</w:t>
            </w:r>
          </w:p>
        </w:tc>
        <w:tc>
          <w:tcPr>
            <w:tcW w:w="18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0.4</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8</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0.1</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17</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0.2</w:t>
            </w:r>
          </w:p>
        </w:tc>
        <w:tc>
          <w:tcPr>
            <w:tcW w:w="60" w:type="dxa"/>
            <w:vAlign w:val="bottom"/>
          </w:tcPr>
          <w:p>
            <w:pPr>
              <w:spacing w:after="0"/>
              <w:rPr>
                <w:sz w:val="18"/>
                <w:szCs w:val="18"/>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Luxembourg</w:t>
            </w: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18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0.4</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0.2</w:t>
            </w:r>
          </w:p>
        </w:tc>
        <w:tc>
          <w:tcPr>
            <w:tcW w:w="2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0.0</w:t>
            </w:r>
          </w:p>
        </w:tc>
        <w:tc>
          <w:tcPr>
            <w:tcW w:w="60" w:type="dxa"/>
            <w:vAlign w:val="bottom"/>
            <w:shd w:val="clear" w:color="auto" w:fill="CCEEFF"/>
          </w:tcPr>
          <w:p>
            <w:pPr>
              <w:spacing w:after="0"/>
              <w:rPr>
                <w:sz w:val="18"/>
                <w:szCs w:val="18"/>
                <w:color w:val="auto"/>
              </w:rPr>
            </w:pPr>
          </w:p>
        </w:tc>
      </w:tr>
      <w:tr>
        <w:trPr>
          <w:trHeight w:val="257"/>
        </w:trPr>
        <w:tc>
          <w:tcPr>
            <w:tcW w:w="3200" w:type="dxa"/>
            <w:vAlign w:val="bottom"/>
          </w:tcPr>
          <w:p>
            <w:pPr>
              <w:spacing w:after="0" w:line="256" w:lineRule="exact"/>
              <w:rPr>
                <w:sz w:val="20"/>
                <w:szCs w:val="20"/>
                <w:color w:val="auto"/>
              </w:rPr>
            </w:pPr>
            <w:r>
              <w:rPr>
                <w:rFonts w:ascii="Arial" w:cs="Arial" w:eastAsia="Arial" w:hAnsi="Arial"/>
                <w:sz w:val="18"/>
                <w:szCs w:val="18"/>
                <w:color w:val="auto"/>
              </w:rPr>
              <w:t xml:space="preserve">Mexico </w:t>
            </w:r>
            <w:r>
              <w:rPr>
                <w:rFonts w:ascii="Arial" w:cs="Arial" w:eastAsia="Arial" w:hAnsi="Arial"/>
                <w:sz w:val="29"/>
                <w:szCs w:val="29"/>
                <w:color w:val="auto"/>
                <w:vertAlign w:val="superscript"/>
              </w:rPr>
              <w:t>(3)</w:t>
            </w:r>
          </w:p>
        </w:tc>
        <w:tc>
          <w:tcPr>
            <w:tcW w:w="180" w:type="dxa"/>
            <w:vAlign w:val="bottom"/>
          </w:tcPr>
          <w:p>
            <w:pPr>
              <w:spacing w:after="0"/>
              <w:rPr>
                <w:sz w:val="22"/>
                <w:szCs w:val="22"/>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850</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15.4</w:t>
            </w:r>
          </w:p>
        </w:tc>
        <w:tc>
          <w:tcPr>
            <w:tcW w:w="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927</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15.4</w:t>
            </w:r>
          </w:p>
        </w:tc>
        <w:tc>
          <w:tcPr>
            <w:tcW w:w="200" w:type="dxa"/>
            <w:vAlign w:val="bottom"/>
          </w:tcPr>
          <w:p>
            <w:pPr>
              <w:spacing w:after="0"/>
              <w:rPr>
                <w:sz w:val="22"/>
                <w:szCs w:val="22"/>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789</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11.8</w:t>
            </w:r>
          </w:p>
        </w:tc>
        <w:tc>
          <w:tcPr>
            <w:tcW w:w="60" w:type="dxa"/>
            <w:vAlign w:val="bottom"/>
          </w:tcPr>
          <w:p>
            <w:pPr>
              <w:spacing w:after="0"/>
              <w:rPr>
                <w:sz w:val="22"/>
                <w:szCs w:val="22"/>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Nicaragua</w:t>
            </w: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18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0.5</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0.6</w:t>
            </w:r>
          </w:p>
        </w:tc>
        <w:tc>
          <w:tcPr>
            <w:tcW w:w="2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0.3</w:t>
            </w:r>
          </w:p>
        </w:tc>
        <w:tc>
          <w:tcPr>
            <w:tcW w:w="60" w:type="dxa"/>
            <w:vAlign w:val="bottom"/>
            <w:shd w:val="clear" w:color="auto" w:fill="CCEEFF"/>
          </w:tcPr>
          <w:p>
            <w:pPr>
              <w:spacing w:after="0"/>
              <w:rPr>
                <w:sz w:val="18"/>
                <w:szCs w:val="18"/>
                <w:color w:val="auto"/>
              </w:rPr>
            </w:pPr>
          </w:p>
        </w:tc>
      </w:tr>
      <w:tr>
        <w:trPr>
          <w:trHeight w:val="257"/>
        </w:trPr>
        <w:tc>
          <w:tcPr>
            <w:tcW w:w="3200" w:type="dxa"/>
            <w:vAlign w:val="bottom"/>
          </w:tcPr>
          <w:p>
            <w:pPr>
              <w:spacing w:after="0" w:line="256" w:lineRule="exact"/>
              <w:rPr>
                <w:sz w:val="20"/>
                <w:szCs w:val="20"/>
                <w:color w:val="auto"/>
              </w:rPr>
            </w:pPr>
            <w:r>
              <w:rPr>
                <w:rFonts w:ascii="Arial" w:cs="Arial" w:eastAsia="Arial" w:hAnsi="Arial"/>
                <w:sz w:val="18"/>
                <w:szCs w:val="18"/>
                <w:color w:val="auto"/>
              </w:rPr>
              <w:t xml:space="preserve">Panama </w:t>
            </w:r>
            <w:r>
              <w:rPr>
                <w:rFonts w:ascii="Arial" w:cs="Arial" w:eastAsia="Arial" w:hAnsi="Arial"/>
                <w:sz w:val="29"/>
                <w:szCs w:val="29"/>
                <w:color w:val="auto"/>
                <w:vertAlign w:val="superscript"/>
              </w:rPr>
              <w:t>(4)</w:t>
            </w:r>
          </w:p>
        </w:tc>
        <w:tc>
          <w:tcPr>
            <w:tcW w:w="180" w:type="dxa"/>
            <w:vAlign w:val="bottom"/>
          </w:tcPr>
          <w:p>
            <w:pPr>
              <w:spacing w:after="0"/>
              <w:rPr>
                <w:sz w:val="22"/>
                <w:szCs w:val="22"/>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500</w:t>
            </w:r>
          </w:p>
        </w:tc>
        <w:tc>
          <w:tcPr>
            <w:tcW w:w="840" w:type="dxa"/>
            <w:vAlign w:val="bottom"/>
          </w:tcPr>
          <w:p>
            <w:pPr>
              <w:jc w:val="right"/>
              <w:spacing w:after="0"/>
              <w:rPr>
                <w:sz w:val="20"/>
                <w:szCs w:val="20"/>
                <w:color w:val="auto"/>
              </w:rPr>
            </w:pPr>
            <w:r>
              <w:rPr>
                <w:rFonts w:ascii="Arial" w:cs="Arial" w:eastAsia="Arial" w:hAnsi="Arial"/>
                <w:sz w:val="18"/>
                <w:szCs w:val="18"/>
                <w:color w:val="auto"/>
              </w:rPr>
              <w:t>9.1</w:t>
            </w:r>
          </w:p>
        </w:tc>
        <w:tc>
          <w:tcPr>
            <w:tcW w:w="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499</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8.3</w:t>
            </w:r>
          </w:p>
        </w:tc>
        <w:tc>
          <w:tcPr>
            <w:tcW w:w="200" w:type="dxa"/>
            <w:vAlign w:val="bottom"/>
          </w:tcPr>
          <w:p>
            <w:pPr>
              <w:spacing w:after="0"/>
              <w:rPr>
                <w:sz w:val="22"/>
                <w:szCs w:val="22"/>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455</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6.8</w:t>
            </w:r>
          </w:p>
        </w:tc>
        <w:tc>
          <w:tcPr>
            <w:tcW w:w="60" w:type="dxa"/>
            <w:vAlign w:val="bottom"/>
          </w:tcPr>
          <w:p>
            <w:pPr>
              <w:spacing w:after="0"/>
              <w:rPr>
                <w:sz w:val="22"/>
                <w:szCs w:val="22"/>
                <w:color w:val="auto"/>
              </w:rPr>
            </w:pPr>
          </w:p>
        </w:tc>
      </w:tr>
      <w:tr>
        <w:trPr>
          <w:trHeight w:val="257"/>
        </w:trPr>
        <w:tc>
          <w:tcPr>
            <w:tcW w:w="32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Paraguay </w:t>
            </w:r>
            <w:r>
              <w:rPr>
                <w:rFonts w:ascii="Arial" w:cs="Arial" w:eastAsia="Arial" w:hAnsi="Arial"/>
                <w:sz w:val="29"/>
                <w:szCs w:val="29"/>
                <w:color w:val="auto"/>
                <w:vertAlign w:val="superscript"/>
              </w:rPr>
              <w:t>(5)</w:t>
            </w:r>
          </w:p>
        </w:tc>
        <w:tc>
          <w:tcPr>
            <w:tcW w:w="180" w:type="dxa"/>
            <w:vAlign w:val="bottom"/>
            <w:shd w:val="clear" w:color="auto" w:fill="CCEEFF"/>
          </w:tcPr>
          <w:p>
            <w:pPr>
              <w:spacing w:after="0"/>
              <w:rPr>
                <w:sz w:val="22"/>
                <w:szCs w:val="2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18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108</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w:t>
            </w:r>
          </w:p>
        </w:tc>
        <w:tc>
          <w:tcPr>
            <w:tcW w:w="200" w:type="dxa"/>
            <w:vAlign w:val="bottom"/>
            <w:shd w:val="clear" w:color="auto" w:fill="CCEEFF"/>
          </w:tcPr>
          <w:p>
            <w:pPr>
              <w:spacing w:after="0"/>
              <w:rPr>
                <w:sz w:val="22"/>
                <w:szCs w:val="22"/>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116</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w:t>
            </w:r>
          </w:p>
        </w:tc>
        <w:tc>
          <w:tcPr>
            <w:tcW w:w="60" w:type="dxa"/>
            <w:vAlign w:val="bottom"/>
            <w:shd w:val="clear" w:color="auto" w:fill="CCEEFF"/>
          </w:tcPr>
          <w:p>
            <w:pPr>
              <w:spacing w:after="0"/>
              <w:rPr>
                <w:sz w:val="22"/>
                <w:szCs w:val="22"/>
                <w:color w:val="auto"/>
              </w:rPr>
            </w:pP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Peru</w:t>
            </w:r>
          </w:p>
        </w:tc>
        <w:tc>
          <w:tcPr>
            <w:tcW w:w="180" w:type="dxa"/>
            <w:vAlign w:val="bottom"/>
          </w:tcPr>
          <w:p>
            <w:pPr>
              <w:spacing w:after="0"/>
              <w:rPr>
                <w:sz w:val="18"/>
                <w:szCs w:val="18"/>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212</w:t>
            </w:r>
          </w:p>
        </w:tc>
        <w:tc>
          <w:tcPr>
            <w:tcW w:w="840" w:type="dxa"/>
            <w:vAlign w:val="bottom"/>
          </w:tcPr>
          <w:p>
            <w:pPr>
              <w:jc w:val="right"/>
              <w:spacing w:after="0"/>
              <w:rPr>
                <w:sz w:val="20"/>
                <w:szCs w:val="20"/>
                <w:color w:val="auto"/>
              </w:rPr>
            </w:pPr>
            <w:r>
              <w:rPr>
                <w:rFonts w:ascii="Arial" w:cs="Arial" w:eastAsia="Arial" w:hAnsi="Arial"/>
                <w:sz w:val="18"/>
                <w:szCs w:val="18"/>
                <w:color w:val="auto"/>
              </w:rPr>
              <w:t>3.8</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467</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7.8</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511</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7.6</w:t>
            </w:r>
          </w:p>
        </w:tc>
        <w:tc>
          <w:tcPr>
            <w:tcW w:w="60" w:type="dxa"/>
            <w:vAlign w:val="bottom"/>
          </w:tcPr>
          <w:p>
            <w:pPr>
              <w:spacing w:after="0"/>
              <w:rPr>
                <w:sz w:val="18"/>
                <w:szCs w:val="18"/>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Singapore</w:t>
            </w:r>
          </w:p>
        </w:tc>
        <w:tc>
          <w:tcPr>
            <w:tcW w:w="1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w:t>
            </w:r>
          </w:p>
        </w:tc>
        <w:tc>
          <w:tcPr>
            <w:tcW w:w="18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70</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w:t>
            </w:r>
          </w:p>
        </w:tc>
        <w:tc>
          <w:tcPr>
            <w:tcW w:w="2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0.2</w:t>
            </w:r>
          </w:p>
        </w:tc>
        <w:tc>
          <w:tcPr>
            <w:tcW w:w="60" w:type="dxa"/>
            <w:vAlign w:val="bottom"/>
            <w:shd w:val="clear" w:color="auto" w:fill="CCEEFF"/>
          </w:tcPr>
          <w:p>
            <w:pPr>
              <w:spacing w:after="0"/>
              <w:rPr>
                <w:sz w:val="18"/>
                <w:szCs w:val="18"/>
                <w:color w:val="auto"/>
              </w:rPr>
            </w:pP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Switzerland</w:t>
            </w:r>
          </w:p>
        </w:tc>
        <w:tc>
          <w:tcPr>
            <w:tcW w:w="180" w:type="dxa"/>
            <w:vAlign w:val="bottom"/>
          </w:tcPr>
          <w:p>
            <w:pPr>
              <w:spacing w:after="0"/>
              <w:rPr>
                <w:sz w:val="18"/>
                <w:szCs w:val="18"/>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4</w:t>
            </w:r>
          </w:p>
        </w:tc>
        <w:tc>
          <w:tcPr>
            <w:tcW w:w="840" w:type="dxa"/>
            <w:vAlign w:val="bottom"/>
          </w:tcPr>
          <w:p>
            <w:pPr>
              <w:jc w:val="right"/>
              <w:spacing w:after="0"/>
              <w:rPr>
                <w:sz w:val="20"/>
                <w:szCs w:val="20"/>
                <w:color w:val="auto"/>
              </w:rPr>
            </w:pPr>
            <w:r>
              <w:rPr>
                <w:rFonts w:ascii="Arial" w:cs="Arial" w:eastAsia="Arial" w:hAnsi="Arial"/>
                <w:sz w:val="18"/>
                <w:szCs w:val="18"/>
                <w:color w:val="auto"/>
              </w:rPr>
              <w:t>0.1</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46</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0.8</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45</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0.7</w:t>
            </w:r>
          </w:p>
        </w:tc>
        <w:tc>
          <w:tcPr>
            <w:tcW w:w="60" w:type="dxa"/>
            <w:vAlign w:val="bottom"/>
          </w:tcPr>
          <w:p>
            <w:pPr>
              <w:spacing w:after="0"/>
              <w:rPr>
                <w:sz w:val="18"/>
                <w:szCs w:val="18"/>
                <w:color w:val="auto"/>
              </w:rPr>
            </w:pP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Trinidad &amp; Tobago</w:t>
            </w:r>
          </w:p>
        </w:tc>
        <w:tc>
          <w:tcPr>
            <w:tcW w:w="18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175</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184</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w:t>
            </w:r>
          </w:p>
        </w:tc>
        <w:tc>
          <w:tcPr>
            <w:tcW w:w="2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200</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w:t>
            </w:r>
          </w:p>
        </w:tc>
        <w:tc>
          <w:tcPr>
            <w:tcW w:w="60" w:type="dxa"/>
            <w:vAlign w:val="bottom"/>
            <w:shd w:val="clear" w:color="auto" w:fill="CCEEFF"/>
          </w:tcPr>
          <w:p>
            <w:pPr>
              <w:spacing w:after="0"/>
              <w:rPr>
                <w:sz w:val="18"/>
                <w:szCs w:val="18"/>
                <w:color w:val="auto"/>
              </w:rPr>
            </w:pP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United States of America</w:t>
            </w:r>
          </w:p>
        </w:tc>
        <w:tc>
          <w:tcPr>
            <w:tcW w:w="18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44</w:t>
            </w:r>
          </w:p>
        </w:tc>
        <w:tc>
          <w:tcPr>
            <w:tcW w:w="18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0.8</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73</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1.2</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54</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0.8</w:t>
            </w:r>
          </w:p>
        </w:tc>
        <w:tc>
          <w:tcPr>
            <w:tcW w:w="60" w:type="dxa"/>
            <w:vAlign w:val="bottom"/>
          </w:tcPr>
          <w:p>
            <w:pPr>
              <w:spacing w:after="0"/>
              <w:rPr>
                <w:sz w:val="18"/>
                <w:szCs w:val="18"/>
                <w:color w:val="auto"/>
              </w:rPr>
            </w:pPr>
          </w:p>
        </w:tc>
      </w:tr>
      <w:tr>
        <w:trPr>
          <w:trHeight w:val="270"/>
        </w:trPr>
        <w:tc>
          <w:tcPr>
            <w:tcW w:w="320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Uruguay </w:t>
            </w:r>
            <w:r>
              <w:rPr>
                <w:rFonts w:ascii="Arial" w:cs="Arial" w:eastAsia="Arial" w:hAnsi="Arial"/>
                <w:sz w:val="30"/>
                <w:szCs w:val="30"/>
                <w:color w:val="auto"/>
                <w:vertAlign w:val="superscript"/>
              </w:rPr>
              <w:t>(6)</w:t>
            </w:r>
          </w:p>
        </w:tc>
        <w:tc>
          <w:tcPr>
            <w:tcW w:w="180" w:type="dxa"/>
            <w:vAlign w:val="bottom"/>
            <w:shd w:val="clear" w:color="auto" w:fill="CCEEFF"/>
          </w:tcPr>
          <w:p>
            <w:pPr>
              <w:spacing w:after="0"/>
              <w:rPr>
                <w:sz w:val="23"/>
                <w:szCs w:val="23"/>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180" w:type="dxa"/>
            <w:vAlign w:val="bottom"/>
            <w:shd w:val="clear" w:color="auto" w:fill="CCEEFF"/>
          </w:tcPr>
          <w:p>
            <w:pPr>
              <w:spacing w:after="0"/>
              <w:rPr>
                <w:sz w:val="23"/>
                <w:szCs w:val="23"/>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0.3</w:t>
            </w:r>
          </w:p>
        </w:tc>
        <w:tc>
          <w:tcPr>
            <w:tcW w:w="10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0.6</w:t>
            </w:r>
          </w:p>
        </w:tc>
        <w:tc>
          <w:tcPr>
            <w:tcW w:w="200" w:type="dxa"/>
            <w:vAlign w:val="bottom"/>
            <w:shd w:val="clear" w:color="auto" w:fill="CCEEFF"/>
          </w:tcPr>
          <w:p>
            <w:pPr>
              <w:spacing w:after="0"/>
              <w:rPr>
                <w:sz w:val="23"/>
                <w:szCs w:val="23"/>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219</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3.3</w:t>
            </w:r>
          </w:p>
        </w:tc>
        <w:tc>
          <w:tcPr>
            <w:tcW w:w="60" w:type="dxa"/>
            <w:vAlign w:val="bottom"/>
            <w:shd w:val="clear" w:color="auto" w:fill="CCEEFF"/>
          </w:tcPr>
          <w:p>
            <w:pPr>
              <w:spacing w:after="0"/>
              <w:rPr>
                <w:sz w:val="23"/>
                <w:szCs w:val="23"/>
                <w:color w:val="auto"/>
              </w:rPr>
            </w:pPr>
          </w:p>
        </w:tc>
      </w:tr>
      <w:tr>
        <w:trPr>
          <w:trHeight w:val="223"/>
        </w:trPr>
        <w:tc>
          <w:tcPr>
            <w:tcW w:w="3200" w:type="dxa"/>
            <w:vAlign w:val="bottom"/>
          </w:tcPr>
          <w:p>
            <w:pPr>
              <w:ind w:left="180"/>
              <w:spacing w:after="0"/>
              <w:rPr>
                <w:sz w:val="20"/>
                <w:szCs w:val="20"/>
                <w:color w:val="auto"/>
              </w:rPr>
            </w:pPr>
            <w:r>
              <w:rPr>
                <w:rFonts w:ascii="Arial" w:cs="Arial" w:eastAsia="Arial" w:hAnsi="Arial"/>
                <w:sz w:val="18"/>
                <w:szCs w:val="18"/>
                <w:b w:val="1"/>
                <w:bCs w:val="1"/>
                <w:color w:val="auto"/>
              </w:rPr>
              <w:t>Total</w:t>
            </w: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5,506</w:t>
            </w:r>
          </w:p>
        </w:tc>
        <w:tc>
          <w:tcPr>
            <w:tcW w:w="18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6,021</w:t>
            </w:r>
          </w:p>
        </w:tc>
        <w:tc>
          <w:tcPr>
            <w:tcW w:w="160" w:type="dxa"/>
            <w:vAlign w:val="bottom"/>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60" w:type="dxa"/>
            <w:vAlign w:val="bottom"/>
          </w:tcPr>
          <w:p>
            <w:pPr>
              <w:spacing w:after="0"/>
              <w:rPr>
                <w:sz w:val="19"/>
                <w:szCs w:val="19"/>
                <w:color w:val="auto"/>
              </w:rPr>
            </w:pP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6,692</w:t>
            </w:r>
          </w:p>
        </w:tc>
        <w:tc>
          <w:tcPr>
            <w:tcW w:w="160" w:type="dxa"/>
            <w:vAlign w:val="bottom"/>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32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74" w:lineRule="exact"/>
        <w:rPr>
          <w:sz w:val="20"/>
          <w:szCs w:val="20"/>
          <w:color w:val="auto"/>
        </w:rPr>
      </w:pPr>
    </w:p>
    <w:p>
      <w:pPr>
        <w:ind w:left="340" w:hanging="332"/>
        <w:spacing w:after="0"/>
        <w:tabs>
          <w:tab w:leader="none" w:pos="340" w:val="left"/>
        </w:tabs>
        <w:numPr>
          <w:ilvl w:val="0"/>
          <w:numId w:val="19"/>
        </w:numPr>
        <w:rPr>
          <w:rFonts w:ascii="Arial" w:cs="Arial" w:eastAsia="Arial" w:hAnsi="Arial"/>
          <w:sz w:val="30"/>
          <w:szCs w:val="30"/>
          <w:color w:val="auto"/>
          <w:vertAlign w:val="superscript"/>
        </w:rPr>
      </w:pPr>
      <w:r>
        <w:rPr>
          <w:rFonts w:ascii="Arial" w:cs="Arial" w:eastAsia="Arial" w:hAnsi="Arial"/>
          <w:sz w:val="18"/>
          <w:szCs w:val="18"/>
          <w:color w:val="auto"/>
        </w:rPr>
        <w:t>Includes non-performing loans in Brazil of $54 million in 2017, $49 million in 2016 and $4 million in 2015.</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19"/>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Colombia of $47 million in 2015.</w:t>
      </w:r>
    </w:p>
    <w:p>
      <w:pPr>
        <w:spacing w:after="0" w:line="2" w:lineRule="exact"/>
        <w:rPr>
          <w:rFonts w:ascii="Arial" w:cs="Arial" w:eastAsia="Arial" w:hAnsi="Arial"/>
          <w:sz w:val="24"/>
          <w:szCs w:val="24"/>
          <w:color w:val="auto"/>
          <w:vertAlign w:val="superscript"/>
        </w:rPr>
      </w:pPr>
    </w:p>
    <w:p>
      <w:pPr>
        <w:ind w:left="340" w:hanging="332"/>
        <w:spacing w:after="0" w:line="186" w:lineRule="auto"/>
        <w:tabs>
          <w:tab w:leader="none" w:pos="340" w:val="left"/>
        </w:tabs>
        <w:numPr>
          <w:ilvl w:val="0"/>
          <w:numId w:val="19"/>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Mexico of $1 million in 2015.</w:t>
      </w:r>
    </w:p>
    <w:p>
      <w:pPr>
        <w:spacing w:after="0" w:line="2" w:lineRule="exact"/>
        <w:rPr>
          <w:rFonts w:ascii="Arial" w:cs="Arial" w:eastAsia="Arial" w:hAnsi="Arial"/>
          <w:sz w:val="24"/>
          <w:szCs w:val="24"/>
          <w:color w:val="auto"/>
          <w:vertAlign w:val="superscript"/>
        </w:rPr>
      </w:pPr>
    </w:p>
    <w:p>
      <w:pPr>
        <w:ind w:left="340" w:hanging="332"/>
        <w:spacing w:after="0" w:line="186" w:lineRule="auto"/>
        <w:tabs>
          <w:tab w:leader="none" w:pos="340" w:val="left"/>
        </w:tabs>
        <w:numPr>
          <w:ilvl w:val="0"/>
          <w:numId w:val="19"/>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Panama of $12 million in 2016.</w:t>
      </w:r>
    </w:p>
    <w:p>
      <w:pPr>
        <w:spacing w:after="0" w:line="2" w:lineRule="exact"/>
        <w:rPr>
          <w:rFonts w:ascii="Arial" w:cs="Arial" w:eastAsia="Arial" w:hAnsi="Arial"/>
          <w:sz w:val="24"/>
          <w:szCs w:val="24"/>
          <w:color w:val="auto"/>
          <w:vertAlign w:val="superscript"/>
        </w:rPr>
      </w:pPr>
    </w:p>
    <w:p>
      <w:pPr>
        <w:ind w:left="340" w:hanging="332"/>
        <w:spacing w:after="0" w:line="186" w:lineRule="auto"/>
        <w:tabs>
          <w:tab w:leader="none" w:pos="340" w:val="left"/>
        </w:tabs>
        <w:numPr>
          <w:ilvl w:val="0"/>
          <w:numId w:val="19"/>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Paraguay of $5 million in 2017.</w:t>
      </w:r>
    </w:p>
    <w:p>
      <w:pPr>
        <w:spacing w:after="0" w:line="2" w:lineRule="exact"/>
        <w:rPr>
          <w:rFonts w:ascii="Arial" w:cs="Arial" w:eastAsia="Arial" w:hAnsi="Arial"/>
          <w:sz w:val="24"/>
          <w:szCs w:val="24"/>
          <w:color w:val="auto"/>
          <w:vertAlign w:val="superscript"/>
        </w:rPr>
      </w:pPr>
    </w:p>
    <w:p>
      <w:pPr>
        <w:ind w:left="340" w:hanging="332"/>
        <w:spacing w:after="0" w:line="186" w:lineRule="auto"/>
        <w:tabs>
          <w:tab w:leader="none" w:pos="340" w:val="left"/>
        </w:tabs>
        <w:numPr>
          <w:ilvl w:val="0"/>
          <w:numId w:val="19"/>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Uruguay of $4 million in 2016.</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6" w:name="page27"/>
    <w:bookmarkEnd w:id="26"/>
    <w:p>
      <w:pPr>
        <w:jc w:val="both"/>
        <w:spacing w:after="0" w:line="259" w:lineRule="auto"/>
        <w:rPr>
          <w:sz w:val="20"/>
          <w:szCs w:val="20"/>
          <w:color w:val="auto"/>
        </w:rPr>
      </w:pPr>
      <w:r>
        <w:rPr>
          <w:rFonts w:ascii="Arial" w:cs="Arial" w:eastAsia="Arial" w:hAnsi="Arial"/>
          <w:sz w:val="18"/>
          <w:szCs w:val="18"/>
          <w:color w:val="auto"/>
        </w:rPr>
        <w:t>The risk relating to countries outside the Region pertains to transactions carried out in the Region, with credit risk transferred outside the Region by way of legally binding corporate guarantees that are payable at first demand. As of December 31, 2017, the Bank’s combined Loan Portfolio associated with European country risk represented $73 million, or 1.32%, of the total Loan Portfolio, compared to $115 million, or 1.91%, of the total Loan Portfolio as of December 31, 2016 and $160 million, or 2.40%, as of December 31, 2015.</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Loan Portfolio by Type of Borrower</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amounts of the Bank’s Loan Portfolio by type of borrower at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68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80" w:type="dxa"/>
            <w:vAlign w:val="bottom"/>
            <w:tcBorders>
              <w:bottom w:val="single" w:sz="8" w:color="auto"/>
            </w:tcBorders>
            <w:gridSpan w:val="4"/>
          </w:tcPr>
          <w:p>
            <w:pPr>
              <w:jc w:val="center"/>
              <w:ind w:right="380"/>
              <w:spacing w:after="0"/>
              <w:rPr>
                <w:sz w:val="20"/>
                <w:szCs w:val="20"/>
                <w:color w:val="auto"/>
              </w:rPr>
            </w:pPr>
            <w:r>
              <w:rPr>
                <w:rFonts w:ascii="Arial" w:cs="Arial" w:eastAsia="Arial" w:hAnsi="Arial"/>
                <w:sz w:val="18"/>
                <w:szCs w:val="18"/>
                <w:b w:val="1"/>
                <w:bCs w:val="1"/>
                <w:color w:val="auto"/>
                <w:w w:val="89"/>
              </w:rPr>
              <w:t>As of December 31,</w:t>
            </w:r>
          </w:p>
        </w:tc>
        <w:tc>
          <w:tcPr>
            <w:tcW w:w="200" w:type="dxa"/>
            <w:vAlign w:val="bottom"/>
            <w:tcBorders>
              <w:bottom w:val="single" w:sz="8" w:color="auto"/>
            </w:tcBorders>
          </w:tcPr>
          <w:p>
            <w:pPr>
              <w:spacing w:after="0"/>
              <w:rPr>
                <w:sz w:val="20"/>
                <w:szCs w:val="20"/>
                <w:color w:val="auto"/>
              </w:rPr>
            </w:pPr>
          </w:p>
        </w:tc>
        <w:tc>
          <w:tcPr>
            <w:tcW w:w="62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3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99"/>
              </w:rPr>
              <w:t>% of</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8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9"/>
              </w:rPr>
              <w:t>% of</w:t>
            </w:r>
          </w:p>
        </w:tc>
        <w:tc>
          <w:tcPr>
            <w:tcW w:w="20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20" w:type="dxa"/>
            <w:vAlign w:val="bottom"/>
          </w:tcPr>
          <w:p>
            <w:pPr>
              <w:ind w:left="200"/>
              <w:spacing w:after="0" w:line="191" w:lineRule="exact"/>
              <w:rPr>
                <w:sz w:val="20"/>
                <w:szCs w:val="20"/>
                <w:color w:val="auto"/>
              </w:rPr>
            </w:pPr>
            <w:r>
              <w:rPr>
                <w:rFonts w:ascii="Arial" w:cs="Arial" w:eastAsia="Arial" w:hAnsi="Arial"/>
                <w:sz w:val="18"/>
                <w:szCs w:val="18"/>
                <w:b w:val="1"/>
                <w:bCs w:val="1"/>
                <w:color w:val="auto"/>
              </w:rPr>
              <w:t>% of</w:t>
            </w:r>
          </w:p>
        </w:tc>
        <w:tc>
          <w:tcPr>
            <w:tcW w:w="80" w:type="dxa"/>
            <w:vAlign w:val="bottom"/>
          </w:tcPr>
          <w:p>
            <w:pPr>
              <w:spacing w:after="0"/>
              <w:rPr>
                <w:sz w:val="16"/>
                <w:szCs w:val="16"/>
                <w:color w:val="auto"/>
              </w:rPr>
            </w:pPr>
          </w:p>
        </w:tc>
      </w:tr>
      <w:tr>
        <w:trPr>
          <w:trHeight w:val="216"/>
        </w:trPr>
        <w:tc>
          <w:tcPr>
            <w:tcW w:w="3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Total</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Total</w:t>
            </w:r>
          </w:p>
        </w:tc>
        <w:tc>
          <w:tcPr>
            <w:tcW w:w="2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r>
      <w:tr>
        <w:trPr>
          <w:trHeight w:val="234"/>
        </w:trPr>
        <w:tc>
          <w:tcPr>
            <w:tcW w:w="32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80" w:type="dxa"/>
            <w:vAlign w:val="bottom"/>
          </w:tcPr>
          <w:p>
            <w:pPr>
              <w:jc w:val="right"/>
              <w:ind w:right="150"/>
              <w:spacing w:after="0"/>
              <w:rPr>
                <w:sz w:val="20"/>
                <w:szCs w:val="20"/>
                <w:color w:val="auto"/>
              </w:rPr>
            </w:pPr>
            <w:r>
              <w:rPr>
                <w:rFonts w:ascii="Arial" w:cs="Arial" w:eastAsia="Arial" w:hAnsi="Arial"/>
                <w:sz w:val="18"/>
                <w:szCs w:val="18"/>
                <w:b w:val="1"/>
                <w:bCs w:val="1"/>
                <w:color w:val="auto"/>
              </w:rPr>
              <w:t>2017</w:t>
            </w:r>
          </w:p>
        </w:tc>
        <w:tc>
          <w:tcPr>
            <w:tcW w:w="180" w:type="dxa"/>
            <w:vAlign w:val="bottom"/>
          </w:tcPr>
          <w:p>
            <w:pPr>
              <w:spacing w:after="0"/>
              <w:rPr>
                <w:sz w:val="20"/>
                <w:szCs w:val="20"/>
                <w:color w:val="auto"/>
              </w:rPr>
            </w:pPr>
          </w:p>
        </w:tc>
        <w:tc>
          <w:tcPr>
            <w:tcW w:w="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Loans</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jc w:val="right"/>
              <w:ind w:right="150"/>
              <w:spacing w:after="0"/>
              <w:rPr>
                <w:sz w:val="20"/>
                <w:szCs w:val="20"/>
                <w:color w:val="auto"/>
              </w:rPr>
            </w:pPr>
            <w:r>
              <w:rPr>
                <w:rFonts w:ascii="Arial" w:cs="Arial" w:eastAsia="Arial" w:hAnsi="Arial"/>
                <w:sz w:val="18"/>
                <w:szCs w:val="18"/>
                <w:b w:val="1"/>
                <w:bCs w:val="1"/>
                <w:color w:val="auto"/>
              </w:rPr>
              <w:t>2016</w:t>
            </w:r>
          </w:p>
        </w:tc>
        <w:tc>
          <w:tcPr>
            <w:tcW w:w="160" w:type="dxa"/>
            <w:vAlign w:val="bottom"/>
          </w:tcPr>
          <w:p>
            <w:pPr>
              <w:spacing w:after="0"/>
              <w:rPr>
                <w:sz w:val="20"/>
                <w:szCs w:val="20"/>
                <w:color w:val="auto"/>
              </w:rPr>
            </w:pPr>
          </w:p>
        </w:tc>
        <w:tc>
          <w:tcPr>
            <w:tcW w:w="9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Loans</w:t>
            </w:r>
          </w:p>
        </w:tc>
        <w:tc>
          <w:tcPr>
            <w:tcW w:w="200" w:type="dxa"/>
            <w:vAlign w:val="bottom"/>
          </w:tcPr>
          <w:p>
            <w:pPr>
              <w:spacing w:after="0"/>
              <w:rPr>
                <w:sz w:val="20"/>
                <w:szCs w:val="20"/>
                <w:color w:val="auto"/>
              </w:rPr>
            </w:pPr>
          </w:p>
        </w:tc>
        <w:tc>
          <w:tcPr>
            <w:tcW w:w="620" w:type="dxa"/>
            <w:vAlign w:val="bottom"/>
          </w:tcPr>
          <w:p>
            <w:pPr>
              <w:jc w:val="right"/>
              <w:ind w:right="130"/>
              <w:spacing w:after="0"/>
              <w:rPr>
                <w:sz w:val="20"/>
                <w:szCs w:val="20"/>
                <w:color w:val="auto"/>
              </w:rPr>
            </w:pPr>
            <w:r>
              <w:rPr>
                <w:rFonts w:ascii="Arial" w:cs="Arial" w:eastAsia="Arial" w:hAnsi="Arial"/>
                <w:sz w:val="18"/>
                <w:szCs w:val="18"/>
                <w:b w:val="1"/>
                <w:bCs w:val="1"/>
                <w:color w:val="auto"/>
                <w:w w:val="94"/>
              </w:rPr>
              <w:t>2015</w:t>
            </w:r>
          </w:p>
        </w:tc>
        <w:tc>
          <w:tcPr>
            <w:tcW w:w="160" w:type="dxa"/>
            <w:vAlign w:val="bottom"/>
          </w:tcPr>
          <w:p>
            <w:pPr>
              <w:spacing w:after="0"/>
              <w:rPr>
                <w:sz w:val="20"/>
                <w:szCs w:val="20"/>
                <w:color w:val="auto"/>
              </w:rPr>
            </w:pPr>
          </w:p>
        </w:tc>
        <w:tc>
          <w:tcPr>
            <w:tcW w:w="900" w:type="dxa"/>
            <w:vAlign w:val="bottom"/>
            <w:gridSpan w:val="2"/>
          </w:tcPr>
          <w:p>
            <w:pPr>
              <w:ind w:left="180"/>
              <w:spacing w:after="0"/>
              <w:rPr>
                <w:sz w:val="20"/>
                <w:szCs w:val="20"/>
                <w:color w:val="auto"/>
              </w:rPr>
            </w:pPr>
            <w:r>
              <w:rPr>
                <w:rFonts w:ascii="Arial" w:cs="Arial" w:eastAsia="Arial" w:hAnsi="Arial"/>
                <w:sz w:val="18"/>
                <w:szCs w:val="18"/>
                <w:b w:val="1"/>
                <w:bCs w:val="1"/>
                <w:color w:val="auto"/>
              </w:rPr>
              <w:t>Loans</w:t>
            </w:r>
          </w:p>
        </w:tc>
      </w:tr>
      <w:tr>
        <w:trPr>
          <w:trHeight w:val="210"/>
        </w:trPr>
        <w:tc>
          <w:tcPr>
            <w:tcW w:w="320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3220" w:type="dxa"/>
            <w:vAlign w:val="bottom"/>
            <w:tcBorders>
              <w:top w:val="single" w:sz="8" w:color="auto"/>
            </w:tcBorders>
            <w:gridSpan w:val="9"/>
          </w:tcPr>
          <w:p>
            <w:pPr>
              <w:jc w:val="center"/>
              <w:ind w:left="470"/>
              <w:spacing w:after="0"/>
              <w:rPr>
                <w:sz w:val="20"/>
                <w:szCs w:val="20"/>
                <w:color w:val="auto"/>
              </w:rPr>
            </w:pPr>
            <w:r>
              <w:rPr>
                <w:rFonts w:ascii="Arial" w:cs="Arial" w:eastAsia="Arial" w:hAnsi="Arial"/>
                <w:sz w:val="18"/>
                <w:szCs w:val="18"/>
                <w:b w:val="1"/>
                <w:bCs w:val="1"/>
                <w:color w:val="auto"/>
                <w:w w:val="87"/>
              </w:rPr>
              <w:t>(in $ millions, except percentages)</w:t>
            </w:r>
          </w:p>
        </w:tc>
        <w:tc>
          <w:tcPr>
            <w:tcW w:w="620" w:type="dxa"/>
            <w:vAlign w:val="bottom"/>
            <w:tcBorders>
              <w:top w:val="single" w:sz="8" w:color="auto"/>
            </w:tcBorders>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2"/>
        </w:trPr>
        <w:tc>
          <w:tcPr>
            <w:tcW w:w="32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Private sector commercial banks and</w:t>
            </w:r>
          </w:p>
        </w:tc>
        <w:tc>
          <w:tcPr>
            <w:tcW w:w="1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0"/>
        </w:trPr>
        <w:tc>
          <w:tcPr>
            <w:tcW w:w="3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financial institutions</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2,084</w:t>
            </w:r>
          </w:p>
        </w:tc>
        <w:tc>
          <w:tcPr>
            <w:tcW w:w="18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37.9</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1,739</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28.9</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1,975</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29.5</w:t>
            </w: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State-owned commercial banks</w:t>
            </w:r>
          </w:p>
        </w:tc>
        <w:tc>
          <w:tcPr>
            <w:tcW w:w="180" w:type="dxa"/>
            <w:vAlign w:val="bottom"/>
          </w:tcPr>
          <w:p>
            <w:pPr>
              <w:spacing w:after="0"/>
              <w:rPr>
                <w:sz w:val="18"/>
                <w:szCs w:val="18"/>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574</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10.4</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515</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8.5</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613</w:t>
            </w: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9.2</w:t>
            </w:r>
          </w:p>
        </w:tc>
      </w:tr>
      <w:tr>
        <w:trPr>
          <w:trHeight w:val="216"/>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Central banks</w:t>
            </w:r>
          </w:p>
        </w:tc>
        <w:tc>
          <w:tcPr>
            <w:tcW w:w="18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30</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0.5</w:t>
            </w:r>
          </w:p>
        </w:tc>
        <w:tc>
          <w:tcPr>
            <w:tcW w:w="2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0.0</w:t>
            </w:r>
          </w:p>
        </w:tc>
      </w:tr>
      <w:tr>
        <w:trPr>
          <w:trHeight w:val="216"/>
        </w:trPr>
        <w:tc>
          <w:tcPr>
            <w:tcW w:w="3200" w:type="dxa"/>
            <w:vAlign w:val="bottom"/>
          </w:tcPr>
          <w:p>
            <w:pPr>
              <w:spacing w:after="0"/>
              <w:rPr>
                <w:sz w:val="20"/>
                <w:szCs w:val="20"/>
                <w:color w:val="auto"/>
              </w:rPr>
            </w:pPr>
            <w:r>
              <w:rPr>
                <w:rFonts w:ascii="Arial" w:cs="Arial" w:eastAsia="Arial" w:hAnsi="Arial"/>
                <w:sz w:val="18"/>
                <w:szCs w:val="18"/>
                <w:color w:val="auto"/>
              </w:rPr>
              <w:t>State-owned organizations</w:t>
            </w:r>
          </w:p>
        </w:tc>
        <w:tc>
          <w:tcPr>
            <w:tcW w:w="180" w:type="dxa"/>
            <w:vAlign w:val="bottom"/>
          </w:tcPr>
          <w:p>
            <w:pPr>
              <w:spacing w:after="0"/>
              <w:rPr>
                <w:sz w:val="18"/>
                <w:szCs w:val="18"/>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723</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13.1</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787</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13.1</w:t>
            </w:r>
          </w:p>
        </w:tc>
        <w:tc>
          <w:tcPr>
            <w:tcW w:w="200" w:type="dxa"/>
            <w:vAlign w:val="bottom"/>
          </w:tcPr>
          <w:p>
            <w:pPr>
              <w:spacing w:after="0"/>
              <w:rPr>
                <w:sz w:val="18"/>
                <w:szCs w:val="18"/>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462</w:t>
            </w: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6.9</w:t>
            </w:r>
          </w:p>
        </w:tc>
      </w:tr>
      <w:tr>
        <w:trPr>
          <w:trHeight w:val="257"/>
        </w:trPr>
        <w:tc>
          <w:tcPr>
            <w:tcW w:w="32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Private middle-market companies </w:t>
            </w:r>
            <w:r>
              <w:rPr>
                <w:rFonts w:ascii="Arial" w:cs="Arial" w:eastAsia="Arial" w:hAnsi="Arial"/>
                <w:sz w:val="29"/>
                <w:szCs w:val="29"/>
                <w:color w:val="auto"/>
                <w:vertAlign w:val="superscript"/>
              </w:rPr>
              <w:t>(1)</w:t>
            </w:r>
          </w:p>
        </w:tc>
        <w:tc>
          <w:tcPr>
            <w:tcW w:w="180" w:type="dxa"/>
            <w:vAlign w:val="bottom"/>
            <w:shd w:val="clear" w:color="auto" w:fill="CCEEFF"/>
          </w:tcPr>
          <w:p>
            <w:pPr>
              <w:spacing w:after="0"/>
              <w:rPr>
                <w:sz w:val="22"/>
                <w:szCs w:val="22"/>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242</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w:t>
            </w: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294</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4.9</w:t>
            </w:r>
          </w:p>
        </w:tc>
        <w:tc>
          <w:tcPr>
            <w:tcW w:w="200" w:type="dxa"/>
            <w:vAlign w:val="bottom"/>
            <w:shd w:val="clear" w:color="auto" w:fill="CCEEFF"/>
          </w:tcPr>
          <w:p>
            <w:pPr>
              <w:spacing w:after="0"/>
              <w:rPr>
                <w:sz w:val="22"/>
                <w:szCs w:val="22"/>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388</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5.8</w:t>
            </w:r>
          </w:p>
        </w:tc>
      </w:tr>
      <w:tr>
        <w:trPr>
          <w:trHeight w:val="270"/>
        </w:trPr>
        <w:tc>
          <w:tcPr>
            <w:tcW w:w="3200" w:type="dxa"/>
            <w:vAlign w:val="bottom"/>
          </w:tcPr>
          <w:p>
            <w:pPr>
              <w:spacing w:after="0" w:line="269" w:lineRule="exact"/>
              <w:rPr>
                <w:sz w:val="20"/>
                <w:szCs w:val="20"/>
                <w:color w:val="auto"/>
              </w:rPr>
            </w:pPr>
            <w:r>
              <w:rPr>
                <w:rFonts w:ascii="Arial" w:cs="Arial" w:eastAsia="Arial" w:hAnsi="Arial"/>
                <w:sz w:val="18"/>
                <w:szCs w:val="18"/>
                <w:color w:val="auto"/>
              </w:rPr>
              <w:t xml:space="preserve">Private corporations </w:t>
            </w:r>
            <w:r>
              <w:rPr>
                <w:rFonts w:ascii="Arial" w:cs="Arial" w:eastAsia="Arial" w:hAnsi="Arial"/>
                <w:sz w:val="30"/>
                <w:szCs w:val="30"/>
                <w:color w:val="auto"/>
                <w:vertAlign w:val="superscript"/>
              </w:rPr>
              <w:t>(2)</w:t>
            </w:r>
          </w:p>
        </w:tc>
        <w:tc>
          <w:tcPr>
            <w:tcW w:w="180" w:type="dxa"/>
            <w:vAlign w:val="bottom"/>
          </w:tcPr>
          <w:p>
            <w:pPr>
              <w:spacing w:after="0"/>
              <w:rPr>
                <w:sz w:val="23"/>
                <w:szCs w:val="23"/>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1,883</w:t>
            </w:r>
          </w:p>
        </w:tc>
        <w:tc>
          <w:tcPr>
            <w:tcW w:w="180" w:type="dxa"/>
            <w:vAlign w:val="bottom"/>
          </w:tcPr>
          <w:p>
            <w:pPr>
              <w:spacing w:after="0"/>
              <w:rPr>
                <w:sz w:val="23"/>
                <w:szCs w:val="23"/>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34.2</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2,656</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44.1</w:t>
            </w:r>
          </w:p>
        </w:tc>
        <w:tc>
          <w:tcPr>
            <w:tcW w:w="200" w:type="dxa"/>
            <w:vAlign w:val="bottom"/>
          </w:tcPr>
          <w:p>
            <w:pPr>
              <w:spacing w:after="0"/>
              <w:rPr>
                <w:sz w:val="23"/>
                <w:szCs w:val="23"/>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8"/>
                <w:szCs w:val="18"/>
                <w:color w:val="auto"/>
              </w:rPr>
              <w:t>3,255</w:t>
            </w: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48.6</w:t>
            </w:r>
          </w:p>
        </w:tc>
      </w:tr>
      <w:tr>
        <w:trPr>
          <w:trHeight w:val="223"/>
        </w:trPr>
        <w:tc>
          <w:tcPr>
            <w:tcW w:w="3200" w:type="dxa"/>
            <w:vAlign w:val="bottom"/>
            <w:tcBorders>
              <w:top w:val="single" w:sz="8" w:color="CCEEFF"/>
              <w:bottom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Total</w:t>
            </w: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5,506</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6,021</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6,692</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2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260" w:hanging="252"/>
        <w:spacing w:after="0"/>
        <w:tabs>
          <w:tab w:leader="none" w:pos="260" w:val="left"/>
        </w:tabs>
        <w:numPr>
          <w:ilvl w:val="0"/>
          <w:numId w:val="20"/>
        </w:numPr>
        <w:rPr>
          <w:rFonts w:ascii="Arial" w:cs="Arial" w:eastAsia="Arial" w:hAnsi="Arial"/>
          <w:sz w:val="30"/>
          <w:szCs w:val="30"/>
          <w:color w:val="auto"/>
          <w:vertAlign w:val="superscript"/>
        </w:rPr>
      </w:pPr>
      <w:r>
        <w:rPr>
          <w:rFonts w:ascii="Arial" w:cs="Arial" w:eastAsia="Arial" w:hAnsi="Arial"/>
          <w:sz w:val="18"/>
          <w:szCs w:val="18"/>
          <w:color w:val="auto"/>
        </w:rPr>
        <w:t>Includes $35 million, $35 million and $1 million in non-performing loans in 2017, 2016 and 2015, respectively.</w:t>
      </w:r>
    </w:p>
    <w:p>
      <w:pPr>
        <w:spacing w:after="0" w:line="1" w:lineRule="exact"/>
        <w:rPr>
          <w:rFonts w:ascii="Arial" w:cs="Arial" w:eastAsia="Arial" w:hAnsi="Arial"/>
          <w:sz w:val="30"/>
          <w:szCs w:val="30"/>
          <w:color w:val="auto"/>
          <w:vertAlign w:val="superscript"/>
        </w:rPr>
      </w:pPr>
    </w:p>
    <w:p>
      <w:pPr>
        <w:ind w:left="260" w:hanging="252"/>
        <w:spacing w:after="0" w:line="186" w:lineRule="auto"/>
        <w:tabs>
          <w:tab w:leader="none" w:pos="260" w:val="left"/>
        </w:tabs>
        <w:numPr>
          <w:ilvl w:val="0"/>
          <w:numId w:val="20"/>
        </w:numPr>
        <w:rPr>
          <w:rFonts w:ascii="Arial" w:cs="Arial" w:eastAsia="Arial" w:hAnsi="Arial"/>
          <w:sz w:val="24"/>
          <w:szCs w:val="24"/>
          <w:color w:val="auto"/>
          <w:vertAlign w:val="superscript"/>
        </w:rPr>
      </w:pPr>
      <w:r>
        <w:rPr>
          <w:rFonts w:ascii="Arial" w:cs="Arial" w:eastAsia="Arial" w:hAnsi="Arial"/>
          <w:sz w:val="15"/>
          <w:szCs w:val="15"/>
          <w:color w:val="auto"/>
        </w:rPr>
        <w:t>Includes $24 million, $30 million and $51 million in non-performing loans in 2017, 2016 and 2015, respectively.</w:t>
      </w:r>
    </w:p>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As of December 31, 2017, the Bank’s Loan Portfolio industry exposure mainly included: (i) 48% in the financial institutions sector; (ii) 14% in the industrial sector, comprised mostly of metal manufacturing, food and beverage, electric power, plastics and packaging, and other manufacturing industries; and (iii) 13% in the oil and gas sector, which in turn was divided into integrated (11%) and downstream (2%) subsegments. No other industry sector exceeded 10% exposure of the Loan Portfolio.</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Maturities and Sensitivities of the Loan Portfolio to Changes in Interest Rates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remaining term of the maturity profile of the Bank’s Loan Portfolio as of December 31, 2017, by type of rate and type of borrower:</w:t>
      </w:r>
    </w:p>
    <w:p>
      <w:pPr>
        <w:sectPr>
          <w:pgSz w:w="11900" w:h="16838" w:orient="portrait"/>
          <w:cols w:equalWidth="0" w:num="1">
            <w:col w:w="11420"/>
          </w:cols>
          <w:pgMar w:left="240" w:top="93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FIXED RATE</w:t>
      </w:r>
    </w:p>
    <w:p>
      <w:pPr>
        <w:spacing w:after="0" w:line="27" w:lineRule="exact"/>
        <w:rPr>
          <w:sz w:val="20"/>
          <w:szCs w:val="20"/>
          <w:color w:val="auto"/>
        </w:rPr>
      </w:pPr>
    </w:p>
    <w:p>
      <w:pPr>
        <w:spacing w:after="0"/>
        <w:rPr>
          <w:sz w:val="20"/>
          <w:szCs w:val="20"/>
          <w:color w:val="auto"/>
        </w:rPr>
      </w:pPr>
      <w:r>
        <w:rPr>
          <w:rFonts w:ascii="Arial" w:cs="Arial" w:eastAsia="Arial" w:hAnsi="Arial"/>
          <w:sz w:val="16"/>
          <w:szCs w:val="16"/>
          <w:color w:val="auto"/>
        </w:rPr>
        <w:t>Private sector commercial banks and financial institutions</w:t>
      </w:r>
    </w:p>
    <w:p>
      <w:pPr>
        <w:spacing w:after="0" w:line="32" w:lineRule="exact"/>
        <w:rPr>
          <w:sz w:val="20"/>
          <w:szCs w:val="20"/>
          <w:color w:val="auto"/>
        </w:rPr>
      </w:pPr>
    </w:p>
    <w:p>
      <w:pPr>
        <w:spacing w:after="0"/>
        <w:rPr>
          <w:sz w:val="20"/>
          <w:szCs w:val="20"/>
          <w:color w:val="auto"/>
        </w:rPr>
      </w:pPr>
      <w:r>
        <w:rPr>
          <w:rFonts w:ascii="Arial" w:cs="Arial" w:eastAsia="Arial" w:hAnsi="Arial"/>
          <w:sz w:val="18"/>
          <w:szCs w:val="18"/>
          <w:color w:val="auto"/>
        </w:rPr>
        <w:t>State-owned commercial banks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State-owned organizations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Private middle-market companies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Private corporations</w:t>
      </w:r>
    </w:p>
    <w:p>
      <w:pPr>
        <w:spacing w:after="0" w:line="9"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Subtotal</w:t>
      </w:r>
    </w:p>
    <w:p>
      <w:pPr>
        <w:spacing w:after="0" w:line="7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FLOATING RATE</w:t>
      </w:r>
    </w:p>
    <w:p>
      <w:pPr>
        <w:spacing w:after="0" w:line="27" w:lineRule="exact"/>
        <w:rPr>
          <w:sz w:val="20"/>
          <w:szCs w:val="20"/>
          <w:color w:val="auto"/>
        </w:rPr>
      </w:pPr>
    </w:p>
    <w:p>
      <w:pPr>
        <w:spacing w:after="0"/>
        <w:rPr>
          <w:sz w:val="20"/>
          <w:szCs w:val="20"/>
          <w:color w:val="auto"/>
        </w:rPr>
      </w:pPr>
      <w:r>
        <w:rPr>
          <w:rFonts w:ascii="Arial" w:cs="Arial" w:eastAsia="Arial" w:hAnsi="Arial"/>
          <w:sz w:val="16"/>
          <w:szCs w:val="16"/>
          <w:color w:val="auto"/>
        </w:rPr>
        <w:t>Private sector commercial banks and financial institutions</w:t>
      </w:r>
    </w:p>
    <w:p>
      <w:pPr>
        <w:spacing w:after="0" w:line="32" w:lineRule="exact"/>
        <w:rPr>
          <w:sz w:val="20"/>
          <w:szCs w:val="20"/>
          <w:color w:val="auto"/>
        </w:rPr>
      </w:pPr>
    </w:p>
    <w:p>
      <w:pPr>
        <w:spacing w:after="0"/>
        <w:rPr>
          <w:sz w:val="20"/>
          <w:szCs w:val="20"/>
          <w:color w:val="auto"/>
        </w:rPr>
      </w:pPr>
      <w:r>
        <w:rPr>
          <w:rFonts w:ascii="Arial" w:cs="Arial" w:eastAsia="Arial" w:hAnsi="Arial"/>
          <w:sz w:val="18"/>
          <w:szCs w:val="18"/>
          <w:color w:val="auto"/>
        </w:rPr>
        <w:t>State-owned commercial banks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State-owned organizations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Private middle-market companies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Private corporations</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000"/>
        <w:spacing w:after="0"/>
        <w:rPr>
          <w:sz w:val="20"/>
          <w:szCs w:val="20"/>
          <w:color w:val="auto"/>
        </w:rPr>
      </w:pPr>
      <w:r>
        <w:rPr>
          <w:rFonts w:ascii="Arial" w:cs="Arial" w:eastAsia="Arial" w:hAnsi="Arial"/>
          <w:sz w:val="18"/>
          <w:szCs w:val="18"/>
          <w:b w:val="1"/>
          <w:bCs w:val="1"/>
          <w:color w:val="auto"/>
        </w:rPr>
        <w:t>As of December 31,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2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460" w:type="dxa"/>
            <w:vAlign w:val="bottom"/>
            <w:tcBorders>
              <w:top w:val="single" w:sz="8" w:color="auto"/>
            </w:tcBorders>
          </w:tcPr>
          <w:p>
            <w:pPr>
              <w:spacing w:after="0"/>
              <w:rPr>
                <w:sz w:val="16"/>
                <w:szCs w:val="16"/>
                <w:color w:val="auto"/>
              </w:rPr>
            </w:pPr>
          </w:p>
        </w:tc>
        <w:tc>
          <w:tcPr>
            <w:tcW w:w="2620" w:type="dxa"/>
            <w:vAlign w:val="bottom"/>
            <w:tcBorders>
              <w:top w:val="single" w:sz="8" w:color="auto"/>
            </w:tcBorders>
            <w:gridSpan w:val="5"/>
          </w:tcPr>
          <w:p>
            <w:pPr>
              <w:jc w:val="right"/>
              <w:ind w:right="1180"/>
              <w:spacing w:after="0" w:line="191" w:lineRule="exact"/>
              <w:rPr>
                <w:sz w:val="20"/>
                <w:szCs w:val="20"/>
                <w:color w:val="auto"/>
              </w:rPr>
            </w:pPr>
            <w:r>
              <w:rPr>
                <w:rFonts w:ascii="Arial" w:cs="Arial" w:eastAsia="Arial" w:hAnsi="Arial"/>
                <w:sz w:val="18"/>
                <w:szCs w:val="18"/>
                <w:b w:val="1"/>
                <w:bCs w:val="1"/>
                <w:color w:val="auto"/>
              </w:rPr>
              <w:t>(in $ millions)</w:t>
            </w:r>
          </w:p>
        </w:tc>
        <w:tc>
          <w:tcPr>
            <w:tcW w:w="26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r>
      <w:tr>
        <w:trPr>
          <w:trHeight w:val="216"/>
        </w:trPr>
        <w:tc>
          <w:tcPr>
            <w:tcW w:w="5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1"/>
              </w:rPr>
              <w:t>Due after five</w:t>
            </w: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r>
      <w:tr>
        <w:trPr>
          <w:trHeight w:val="216"/>
        </w:trPr>
        <w:tc>
          <w:tcPr>
            <w:tcW w:w="1460" w:type="dxa"/>
            <w:vAlign w:val="bottom"/>
            <w:gridSpan w:val="3"/>
          </w:tcPr>
          <w:p>
            <w:pPr>
              <w:spacing w:after="0"/>
              <w:rPr>
                <w:sz w:val="20"/>
                <w:szCs w:val="20"/>
                <w:color w:val="auto"/>
              </w:rPr>
            </w:pPr>
            <w:r>
              <w:rPr>
                <w:rFonts w:ascii="Arial" w:cs="Arial" w:eastAsia="Arial" w:hAnsi="Arial"/>
                <w:sz w:val="18"/>
                <w:szCs w:val="18"/>
                <w:b w:val="1"/>
                <w:bCs w:val="1"/>
                <w:color w:val="auto"/>
                <w:w w:val="96"/>
              </w:rPr>
              <w:t>Impaired and due</w:t>
            </w:r>
          </w:p>
        </w:tc>
        <w:tc>
          <w:tcPr>
            <w:tcW w:w="1740" w:type="dxa"/>
            <w:vAlign w:val="bottom"/>
            <w:gridSpan w:val="4"/>
          </w:tcPr>
          <w:p>
            <w:pPr>
              <w:jc w:val="right"/>
              <w:ind w:right="200"/>
              <w:spacing w:after="0"/>
              <w:rPr>
                <w:sz w:val="20"/>
                <w:szCs w:val="20"/>
                <w:color w:val="auto"/>
              </w:rPr>
            </w:pPr>
            <w:r>
              <w:rPr>
                <w:rFonts w:ascii="Arial" w:cs="Arial" w:eastAsia="Arial" w:hAnsi="Arial"/>
                <w:sz w:val="18"/>
                <w:szCs w:val="18"/>
                <w:b w:val="1"/>
                <w:bCs w:val="1"/>
                <w:color w:val="auto"/>
                <w:w w:val="96"/>
              </w:rPr>
              <w:t>Due after one year</w:t>
            </w:r>
          </w:p>
        </w:tc>
        <w:tc>
          <w:tcPr>
            <w:tcW w:w="14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years through</w:t>
            </w: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r>
      <w:tr>
        <w:trPr>
          <w:trHeight w:val="234"/>
        </w:trPr>
        <w:tc>
          <w:tcPr>
            <w:tcW w:w="1460" w:type="dxa"/>
            <w:vAlign w:val="bottom"/>
            <w:gridSpan w:val="3"/>
          </w:tcPr>
          <w:p>
            <w:pPr>
              <w:spacing w:after="0"/>
              <w:rPr>
                <w:sz w:val="20"/>
                <w:szCs w:val="20"/>
                <w:color w:val="auto"/>
              </w:rPr>
            </w:pPr>
            <w:r>
              <w:rPr>
                <w:rFonts w:ascii="Arial" w:cs="Arial" w:eastAsia="Arial" w:hAnsi="Arial"/>
                <w:sz w:val="18"/>
                <w:szCs w:val="18"/>
                <w:b w:val="1"/>
                <w:bCs w:val="1"/>
                <w:color w:val="auto"/>
                <w:w w:val="91"/>
              </w:rPr>
              <w:t>in one year or less</w:t>
            </w:r>
          </w:p>
        </w:tc>
        <w:tc>
          <w:tcPr>
            <w:tcW w:w="120" w:type="dxa"/>
            <w:vAlign w:val="bottom"/>
          </w:tcPr>
          <w:p>
            <w:pPr>
              <w:spacing w:after="0"/>
              <w:rPr>
                <w:sz w:val="20"/>
                <w:szCs w:val="20"/>
                <w:color w:val="auto"/>
              </w:rPr>
            </w:pPr>
          </w:p>
        </w:tc>
        <w:tc>
          <w:tcPr>
            <w:tcW w:w="162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88"/>
              </w:rPr>
              <w:t>through five years</w:t>
            </w:r>
          </w:p>
        </w:tc>
        <w:tc>
          <w:tcPr>
            <w:tcW w:w="100" w:type="dxa"/>
            <w:vAlign w:val="bottom"/>
          </w:tcPr>
          <w:p>
            <w:pPr>
              <w:spacing w:after="0"/>
              <w:rPr>
                <w:sz w:val="20"/>
                <w:szCs w:val="20"/>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ten years</w:t>
            </w:r>
          </w:p>
        </w:tc>
        <w:tc>
          <w:tcPr>
            <w:tcW w:w="260" w:type="dxa"/>
            <w:vAlign w:val="bottom"/>
          </w:tcPr>
          <w:p>
            <w:pPr>
              <w:spacing w:after="0"/>
              <w:rPr>
                <w:sz w:val="20"/>
                <w:szCs w:val="20"/>
                <w:color w:val="auto"/>
              </w:rPr>
            </w:pPr>
          </w:p>
        </w:tc>
        <w:tc>
          <w:tcPr>
            <w:tcW w:w="980" w:type="dxa"/>
            <w:vAlign w:val="bottom"/>
          </w:tcPr>
          <w:p>
            <w:pPr>
              <w:jc w:val="right"/>
              <w:ind w:right="330"/>
              <w:spacing w:after="0"/>
              <w:rPr>
                <w:sz w:val="20"/>
                <w:szCs w:val="20"/>
                <w:color w:val="auto"/>
              </w:rPr>
            </w:pPr>
            <w:r>
              <w:rPr>
                <w:rFonts w:ascii="Arial" w:cs="Arial" w:eastAsia="Arial" w:hAnsi="Arial"/>
                <w:sz w:val="18"/>
                <w:szCs w:val="18"/>
                <w:b w:val="1"/>
                <w:bCs w:val="1"/>
                <w:color w:val="auto"/>
              </w:rPr>
              <w:t>Total</w:t>
            </w:r>
          </w:p>
        </w:tc>
      </w:tr>
      <w:tr>
        <w:trPr>
          <w:trHeight w:val="20"/>
        </w:trPr>
        <w:tc>
          <w:tcPr>
            <w:tcW w:w="52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r>
      <w:tr>
        <w:trPr>
          <w:trHeight w:val="411"/>
        </w:trPr>
        <w:tc>
          <w:tcPr>
            <w:tcW w:w="520" w:type="dxa"/>
            <w:vAlign w:val="bottom"/>
          </w:tcPr>
          <w:p>
            <w:pPr>
              <w:spacing w:after="0"/>
              <w:rPr>
                <w:sz w:val="20"/>
                <w:szCs w:val="20"/>
                <w:color w:val="auto"/>
              </w:rPr>
            </w:pPr>
            <w:r>
              <w:rPr>
                <w:rFonts w:ascii="Arial" w:cs="Arial" w:eastAsia="Arial" w:hAnsi="Arial"/>
                <w:sz w:val="18"/>
                <w:szCs w:val="18"/>
                <w:color w:val="auto"/>
              </w:rPr>
              <w:t>$</w:t>
            </w:r>
          </w:p>
        </w:tc>
        <w:tc>
          <w:tcPr>
            <w:tcW w:w="840" w:type="dxa"/>
            <w:vAlign w:val="bottom"/>
          </w:tcPr>
          <w:p>
            <w:pPr>
              <w:jc w:val="right"/>
              <w:spacing w:after="0"/>
              <w:rPr>
                <w:sz w:val="20"/>
                <w:szCs w:val="20"/>
                <w:color w:val="auto"/>
              </w:rPr>
            </w:pPr>
            <w:r>
              <w:rPr>
                <w:rFonts w:ascii="Arial" w:cs="Arial" w:eastAsia="Arial" w:hAnsi="Arial"/>
                <w:sz w:val="18"/>
                <w:szCs w:val="18"/>
                <w:color w:val="auto"/>
              </w:rPr>
              <w:t>791</w:t>
            </w:r>
          </w:p>
        </w:tc>
        <w:tc>
          <w:tcPr>
            <w:tcW w:w="100" w:type="dxa"/>
            <w:vAlign w:val="bottom"/>
          </w:tcPr>
          <w:p>
            <w:pPr>
              <w:spacing w:after="0"/>
              <w:rPr>
                <w:sz w:val="24"/>
                <w:szCs w:val="24"/>
                <w:color w:val="auto"/>
              </w:rPr>
            </w:pPr>
          </w:p>
        </w:tc>
        <w:tc>
          <w:tcPr>
            <w:tcW w:w="580" w:type="dxa"/>
            <w:vAlign w:val="bottom"/>
            <w:gridSpan w:val="2"/>
          </w:tcPr>
          <w:p>
            <w:pPr>
              <w:jc w:val="right"/>
              <w:ind w:right="297"/>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29</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820</w:t>
            </w:r>
          </w:p>
        </w:tc>
      </w:tr>
      <w:tr>
        <w:trPr>
          <w:trHeight w:val="216"/>
        </w:trPr>
        <w:tc>
          <w:tcPr>
            <w:tcW w:w="52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307</w:t>
            </w: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307</w:t>
            </w:r>
          </w:p>
        </w:tc>
      </w:tr>
      <w:tr>
        <w:trPr>
          <w:trHeight w:val="216"/>
        </w:trPr>
        <w:tc>
          <w:tcPr>
            <w:tcW w:w="52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418</w:t>
            </w: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418</w:t>
            </w:r>
          </w:p>
        </w:tc>
      </w:tr>
      <w:tr>
        <w:trPr>
          <w:trHeight w:val="230"/>
        </w:trPr>
        <w:tc>
          <w:tcPr>
            <w:tcW w:w="520" w:type="dxa"/>
            <w:vAlign w:val="bottom"/>
          </w:tcPr>
          <w:p>
            <w:pPr>
              <w:spacing w:after="0"/>
              <w:rPr>
                <w:sz w:val="19"/>
                <w:szCs w:val="19"/>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190</w:t>
            </w:r>
          </w:p>
        </w:tc>
        <w:tc>
          <w:tcPr>
            <w:tcW w:w="1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19"/>
                <w:szCs w:val="19"/>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192</w:t>
            </w:r>
          </w:p>
        </w:tc>
      </w:tr>
      <w:tr>
        <w:trPr>
          <w:trHeight w:val="230"/>
        </w:trPr>
        <w:tc>
          <w:tcPr>
            <w:tcW w:w="520" w:type="dxa"/>
            <w:vAlign w:val="bottom"/>
          </w:tcPr>
          <w:p>
            <w:pPr>
              <w:spacing w:after="0"/>
              <w:rPr>
                <w:sz w:val="20"/>
                <w:szCs w:val="20"/>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613</w:t>
            </w:r>
          </w:p>
        </w:tc>
        <w:tc>
          <w:tcPr>
            <w:tcW w:w="1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18</w:t>
            </w:r>
          </w:p>
        </w:tc>
        <w:tc>
          <w:tcPr>
            <w:tcW w:w="100" w:type="dxa"/>
            <w:vAlign w:val="bottom"/>
          </w:tcPr>
          <w:p>
            <w:pPr>
              <w:spacing w:after="0"/>
              <w:rPr>
                <w:sz w:val="20"/>
                <w:szCs w:val="20"/>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26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642</w:t>
            </w:r>
          </w:p>
        </w:tc>
      </w:tr>
      <w:tr>
        <w:trPr>
          <w:trHeight w:val="223"/>
        </w:trPr>
        <w:tc>
          <w:tcPr>
            <w:tcW w:w="52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2,319</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ind w:right="297"/>
              <w:spacing w:after="0"/>
              <w:rPr>
                <w:sz w:val="20"/>
                <w:szCs w:val="20"/>
                <w:color w:val="auto"/>
              </w:rPr>
            </w:pPr>
            <w:r>
              <w:rPr>
                <w:rFonts w:ascii="Arial" w:cs="Arial" w:eastAsia="Arial" w:hAnsi="Arial"/>
                <w:sz w:val="15"/>
                <w:szCs w:val="15"/>
                <w:b w:val="1"/>
                <w:bCs w:val="1"/>
                <w:color w:val="auto"/>
                <w:w w:val="71"/>
              </w:rPr>
              <w:t>$</w:t>
            </w: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w:t>
            </w:r>
          </w:p>
        </w:tc>
        <w:tc>
          <w:tcPr>
            <w:tcW w:w="220" w:type="dxa"/>
            <w:vAlign w:val="bottom"/>
          </w:tcPr>
          <w:p>
            <w:pPr>
              <w:spacing w:after="0"/>
              <w:rPr>
                <w:sz w:val="19"/>
                <w:szCs w:val="19"/>
                <w:color w:val="auto"/>
              </w:rPr>
            </w:pPr>
          </w:p>
        </w:tc>
        <w:tc>
          <w:tcPr>
            <w:tcW w:w="26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2,379</w:t>
            </w:r>
          </w:p>
        </w:tc>
      </w:tr>
      <w:tr>
        <w:trPr>
          <w:trHeight w:val="20"/>
        </w:trPr>
        <w:tc>
          <w:tcPr>
            <w:tcW w:w="5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r>
      <w:tr>
        <w:trPr>
          <w:trHeight w:val="398"/>
        </w:trPr>
        <w:tc>
          <w:tcPr>
            <w:tcW w:w="520" w:type="dxa"/>
            <w:vAlign w:val="bottom"/>
          </w:tcPr>
          <w:p>
            <w:pPr>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1,017</w:t>
            </w:r>
          </w:p>
        </w:tc>
        <w:tc>
          <w:tcPr>
            <w:tcW w:w="580" w:type="dxa"/>
            <w:vAlign w:val="bottom"/>
            <w:gridSpan w:val="2"/>
          </w:tcPr>
          <w:p>
            <w:pPr>
              <w:jc w:val="right"/>
              <w:ind w:right="297"/>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247</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1,264</w:t>
            </w:r>
          </w:p>
        </w:tc>
      </w:tr>
      <w:tr>
        <w:trPr>
          <w:trHeight w:val="216"/>
        </w:trPr>
        <w:tc>
          <w:tcPr>
            <w:tcW w:w="52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171</w:t>
            </w: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95</w:t>
            </w:r>
          </w:p>
        </w:tc>
        <w:tc>
          <w:tcPr>
            <w:tcW w:w="100" w:type="dxa"/>
            <w:vAlign w:val="bottom"/>
          </w:tcPr>
          <w:p>
            <w:pPr>
              <w:spacing w:after="0"/>
              <w:rPr>
                <w:sz w:val="18"/>
                <w:szCs w:val="18"/>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266</w:t>
            </w:r>
          </w:p>
        </w:tc>
      </w:tr>
      <w:tr>
        <w:trPr>
          <w:trHeight w:val="216"/>
        </w:trPr>
        <w:tc>
          <w:tcPr>
            <w:tcW w:w="52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205</w:t>
            </w: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100</w:t>
            </w:r>
          </w:p>
        </w:tc>
        <w:tc>
          <w:tcPr>
            <w:tcW w:w="100" w:type="dxa"/>
            <w:vAlign w:val="bottom"/>
          </w:tcPr>
          <w:p>
            <w:pPr>
              <w:spacing w:after="0"/>
              <w:rPr>
                <w:sz w:val="18"/>
                <w:szCs w:val="18"/>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305</w:t>
            </w:r>
          </w:p>
        </w:tc>
      </w:tr>
      <w:tr>
        <w:trPr>
          <w:trHeight w:val="230"/>
        </w:trPr>
        <w:tc>
          <w:tcPr>
            <w:tcW w:w="520" w:type="dxa"/>
            <w:vAlign w:val="bottom"/>
          </w:tcPr>
          <w:p>
            <w:pPr>
              <w:spacing w:after="0"/>
              <w:rPr>
                <w:sz w:val="19"/>
                <w:szCs w:val="19"/>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32</w:t>
            </w:r>
          </w:p>
        </w:tc>
        <w:tc>
          <w:tcPr>
            <w:tcW w:w="1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14</w:t>
            </w:r>
          </w:p>
        </w:tc>
        <w:tc>
          <w:tcPr>
            <w:tcW w:w="100" w:type="dxa"/>
            <w:vAlign w:val="bottom"/>
          </w:tcPr>
          <w:p>
            <w:pPr>
              <w:spacing w:after="0"/>
              <w:rPr>
                <w:sz w:val="19"/>
                <w:szCs w:val="19"/>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2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50</w:t>
            </w:r>
          </w:p>
        </w:tc>
      </w:tr>
      <w:tr>
        <w:trPr>
          <w:trHeight w:val="230"/>
        </w:trPr>
        <w:tc>
          <w:tcPr>
            <w:tcW w:w="520" w:type="dxa"/>
            <w:vAlign w:val="bottom"/>
          </w:tcPr>
          <w:p>
            <w:pPr>
              <w:spacing w:after="0"/>
              <w:rPr>
                <w:sz w:val="20"/>
                <w:szCs w:val="20"/>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637</w:t>
            </w:r>
          </w:p>
        </w:tc>
        <w:tc>
          <w:tcPr>
            <w:tcW w:w="1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594</w:t>
            </w:r>
          </w:p>
        </w:tc>
        <w:tc>
          <w:tcPr>
            <w:tcW w:w="100" w:type="dxa"/>
            <w:vAlign w:val="bottom"/>
          </w:tcPr>
          <w:p>
            <w:pPr>
              <w:spacing w:after="0"/>
              <w:rPr>
                <w:sz w:val="20"/>
                <w:szCs w:val="20"/>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26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1,242</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-3435985</wp:posOffset>
            </wp:positionH>
            <wp:positionV relativeFrom="paragraph">
              <wp:posOffset>-1851660</wp:posOffset>
            </wp:positionV>
            <wp:extent cx="7246620" cy="1460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146050"/>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-1568450</wp:posOffset>
            </wp:positionV>
            <wp:extent cx="7246620" cy="13716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-1294130</wp:posOffset>
            </wp:positionV>
            <wp:extent cx="7246620" cy="13716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-1011555</wp:posOffset>
            </wp:positionV>
            <wp:extent cx="7246620" cy="16319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163195"/>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-694055</wp:posOffset>
            </wp:positionV>
            <wp:extent cx="7246620" cy="13716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-419735</wp:posOffset>
            </wp:positionV>
            <wp:extent cx="7246620" cy="13716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-145415</wp:posOffset>
            </wp:positionV>
            <wp:extent cx="7246620" cy="14605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4700" w:space="720"/>
            <w:col w:w="6000"/>
          </w:cols>
          <w:pgMar w:left="240" w:top="935" w:right="239" w:bottom="1440" w:gutter="0" w:footer="0" w:header="0"/>
          <w:type w:val="continuous"/>
        </w:sectPr>
      </w:pPr>
    </w:p>
    <w:tbl>
      <w:tblPr>
        <w:tblLayout w:type="fixed"/>
        <w:tblInd w:w="0" w:type="dxa"/>
        <w:tblCellMar>
          <w:top w:w="0" w:type="dxa"/>
          <w:left w:w="0" w:type="dxa"/>
          <w:bottom w:w="0" w:type="dxa"/>
          <w:right w:w="0" w:type="dxa"/>
        </w:tblCellMar>
      </w:tblPr>
      <w:tr>
        <w:trPr>
          <w:trHeight w:val="263"/>
        </w:trPr>
        <w:tc>
          <w:tcPr>
            <w:tcW w:w="5420" w:type="dxa"/>
            <w:vAlign w:val="bottom"/>
          </w:tcPr>
          <w:p>
            <w:pPr>
              <w:ind w:left="180"/>
              <w:spacing w:after="0"/>
              <w:rPr>
                <w:sz w:val="20"/>
                <w:szCs w:val="20"/>
                <w:color w:val="auto"/>
              </w:rPr>
            </w:pPr>
            <w:r>
              <w:rPr>
                <w:rFonts w:ascii="Arial" w:cs="Arial" w:eastAsia="Arial" w:hAnsi="Arial"/>
                <w:sz w:val="18"/>
                <w:szCs w:val="18"/>
                <w:b w:val="1"/>
                <w:bCs w:val="1"/>
                <w:color w:val="auto"/>
              </w:rPr>
              <w:t>Subtotal</w:t>
            </w:r>
          </w:p>
        </w:tc>
        <w:tc>
          <w:tcPr>
            <w:tcW w:w="520" w:type="dxa"/>
            <w:vAlign w:val="bottom"/>
            <w:tcBorders>
              <w:top w:val="single" w:sz="8" w:color="auto"/>
            </w:tcBorders>
          </w:tcPr>
          <w:p>
            <w:pPr>
              <w:jc w:val="right"/>
              <w:ind w:right="36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2,062</w:t>
            </w:r>
          </w:p>
        </w:tc>
        <w:tc>
          <w:tcPr>
            <w:tcW w:w="220" w:type="dxa"/>
            <w:vAlign w:val="bottom"/>
          </w:tcPr>
          <w:p>
            <w:pPr>
              <w:spacing w:after="0"/>
              <w:rPr>
                <w:sz w:val="22"/>
                <w:szCs w:val="22"/>
                <w:color w:val="auto"/>
              </w:rPr>
            </w:pPr>
          </w:p>
        </w:tc>
        <w:tc>
          <w:tcPr>
            <w:tcW w:w="540" w:type="dxa"/>
            <w:vAlign w:val="bottom"/>
            <w:tcBorders>
              <w:top w:val="single" w:sz="8" w:color="auto"/>
            </w:tcBorders>
          </w:tcPr>
          <w:p>
            <w:pPr>
              <w:jc w:val="right"/>
              <w:ind w:right="385"/>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1,050</w:t>
            </w:r>
          </w:p>
        </w:tc>
        <w:tc>
          <w:tcPr>
            <w:tcW w:w="220" w:type="dxa"/>
            <w:vAlign w:val="bottom"/>
          </w:tcPr>
          <w:p>
            <w:pPr>
              <w:spacing w:after="0"/>
              <w:rPr>
                <w:sz w:val="22"/>
                <w:szCs w:val="22"/>
                <w:color w:val="auto"/>
              </w:rPr>
            </w:pPr>
          </w:p>
        </w:tc>
        <w:tc>
          <w:tcPr>
            <w:tcW w:w="580" w:type="dxa"/>
            <w:vAlign w:val="bottom"/>
            <w:tcBorders>
              <w:top w:val="single" w:sz="8" w:color="auto"/>
            </w:tcBorders>
          </w:tcPr>
          <w:p>
            <w:pPr>
              <w:jc w:val="right"/>
              <w:ind w:right="390"/>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15</w:t>
            </w:r>
          </w:p>
        </w:tc>
        <w:tc>
          <w:tcPr>
            <w:tcW w:w="220" w:type="dxa"/>
            <w:vAlign w:val="bottom"/>
          </w:tcPr>
          <w:p>
            <w:pPr>
              <w:spacing w:after="0"/>
              <w:rPr>
                <w:sz w:val="22"/>
                <w:szCs w:val="22"/>
                <w:color w:val="auto"/>
              </w:rPr>
            </w:pPr>
          </w:p>
        </w:tc>
        <w:tc>
          <w:tcPr>
            <w:tcW w:w="460" w:type="dxa"/>
            <w:vAlign w:val="bottom"/>
            <w:tcBorders>
              <w:top w:val="single" w:sz="8" w:color="auto"/>
            </w:tcBorders>
          </w:tcPr>
          <w:p>
            <w:pPr>
              <w:jc w:val="right"/>
              <w:ind w:right="27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3,127</w:t>
            </w:r>
          </w:p>
        </w:tc>
        <w:tc>
          <w:tcPr>
            <w:tcW w:w="80" w:type="dxa"/>
            <w:vAlign w:val="bottom"/>
          </w:tcPr>
          <w:p>
            <w:pPr>
              <w:spacing w:after="0"/>
              <w:rPr>
                <w:sz w:val="22"/>
                <w:szCs w:val="22"/>
                <w:color w:val="auto"/>
              </w:rPr>
            </w:pPr>
          </w:p>
        </w:tc>
      </w:tr>
      <w:tr>
        <w:trPr>
          <w:trHeight w:val="197"/>
        </w:trPr>
        <w:tc>
          <w:tcPr>
            <w:tcW w:w="5420" w:type="dxa"/>
            <w:vAlign w:val="bottom"/>
            <w:tcBorders>
              <w:top w:val="single" w:sz="8" w:color="CCEEFF"/>
              <w:bottom w:val="single" w:sz="8" w:color="CCEEFF"/>
            </w:tcBorders>
            <w:shd w:val="clear" w:color="auto" w:fill="CCEEFF"/>
          </w:tcPr>
          <w:p>
            <w:pPr>
              <w:ind w:left="260"/>
              <w:spacing w:after="0" w:line="195" w:lineRule="exact"/>
              <w:rPr>
                <w:sz w:val="20"/>
                <w:szCs w:val="20"/>
                <w:color w:val="auto"/>
              </w:rPr>
            </w:pPr>
            <w:r>
              <w:rPr>
                <w:rFonts w:ascii="Arial" w:cs="Arial" w:eastAsia="Arial" w:hAnsi="Arial"/>
                <w:sz w:val="18"/>
                <w:szCs w:val="18"/>
                <w:b w:val="1"/>
                <w:bCs w:val="1"/>
                <w:color w:val="auto"/>
              </w:rPr>
              <w:t>Total</w:t>
            </w:r>
          </w:p>
        </w:tc>
        <w:tc>
          <w:tcPr>
            <w:tcW w:w="520" w:type="dxa"/>
            <w:vAlign w:val="bottom"/>
            <w:tcBorders>
              <w:top w:val="single" w:sz="8" w:color="auto"/>
              <w:bottom w:val="single" w:sz="8" w:color="auto"/>
            </w:tcBorders>
            <w:shd w:val="clear" w:color="auto" w:fill="CCEEFF"/>
          </w:tcPr>
          <w:p>
            <w:pPr>
              <w:jc w:val="right"/>
              <w:ind w:right="36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4,381</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540" w:type="dxa"/>
            <w:vAlign w:val="bottom"/>
            <w:tcBorders>
              <w:top w:val="single" w:sz="8" w:color="auto"/>
              <w:bottom w:val="single" w:sz="8" w:color="auto"/>
            </w:tcBorders>
            <w:shd w:val="clear" w:color="auto" w:fill="CCEEFF"/>
          </w:tcPr>
          <w:p>
            <w:pPr>
              <w:jc w:val="right"/>
              <w:ind w:right="385"/>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1,099</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580" w:type="dxa"/>
            <w:vAlign w:val="bottom"/>
            <w:tcBorders>
              <w:top w:val="single" w:sz="8" w:color="auto"/>
              <w:bottom w:val="single" w:sz="8" w:color="auto"/>
            </w:tcBorders>
            <w:shd w:val="clear" w:color="auto" w:fill="CCEEFF"/>
          </w:tcPr>
          <w:p>
            <w:pPr>
              <w:jc w:val="right"/>
              <w:ind w:right="390"/>
              <w:spacing w:after="0" w:line="196" w:lineRule="exact"/>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26</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460" w:type="dxa"/>
            <w:vAlign w:val="bottom"/>
            <w:tcBorders>
              <w:top w:val="single" w:sz="8" w:color="auto"/>
              <w:bottom w:val="single" w:sz="8" w:color="auto"/>
            </w:tcBorders>
            <w:shd w:val="clear" w:color="auto" w:fill="CCEEFF"/>
          </w:tcPr>
          <w:p>
            <w:pPr>
              <w:jc w:val="right"/>
              <w:ind w:right="270"/>
              <w:spacing w:after="0" w:line="196" w:lineRule="exact"/>
              <w:rPr>
                <w:sz w:val="20"/>
                <w:szCs w:val="20"/>
                <w:color w:val="auto"/>
              </w:rPr>
            </w:pPr>
            <w:r>
              <w:rPr>
                <w:rFonts w:ascii="Arial" w:cs="Arial" w:eastAsia="Arial" w:hAnsi="Arial"/>
                <w:sz w:val="18"/>
                <w:szCs w:val="18"/>
                <w:b w:val="1"/>
                <w:bCs w:val="1"/>
                <w:color w:val="auto"/>
                <w:w w:val="79"/>
              </w:rPr>
              <w:t>$</w:t>
            </w:r>
          </w:p>
        </w:tc>
        <w:tc>
          <w:tcPr>
            <w:tcW w:w="7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5,506</w:t>
            </w:r>
          </w:p>
        </w:tc>
        <w:tc>
          <w:tcPr>
            <w:tcW w:w="2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542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7"/>
          <w:szCs w:val="17"/>
          <w:color w:val="auto"/>
        </w:rPr>
        <w:t>Note: Scheduled amortization repayments fall into the maturity category in which the payment is due, rather than that of the final maturity of the loan.</w:t>
      </w:r>
    </w:p>
    <w:p>
      <w:pPr>
        <w:spacing w:after="0" w:line="200" w:lineRule="exact"/>
        <w:rPr>
          <w:sz w:val="20"/>
          <w:szCs w:val="20"/>
          <w:color w:val="auto"/>
        </w:rPr>
      </w:pPr>
    </w:p>
    <w:p>
      <w:pPr>
        <w:spacing w:after="0" w:line="25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35" w:right="239" w:bottom="1440" w:gutter="0" w:footer="0" w:header="0"/>
          <w:type w:val="continuous"/>
        </w:sectPr>
      </w:pPr>
    </w:p>
    <w:bookmarkStart w:id="27" w:name="page28"/>
    <w:bookmarkEnd w:id="2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FIXED RATE</w:t>
      </w:r>
    </w:p>
    <w:p>
      <w:pPr>
        <w:spacing w:after="0" w:line="27" w:lineRule="exact"/>
        <w:rPr>
          <w:sz w:val="20"/>
          <w:szCs w:val="20"/>
          <w:color w:val="auto"/>
        </w:rPr>
      </w:pPr>
    </w:p>
    <w:p>
      <w:pPr>
        <w:spacing w:after="0"/>
        <w:rPr>
          <w:sz w:val="20"/>
          <w:szCs w:val="20"/>
          <w:color w:val="auto"/>
        </w:rPr>
      </w:pPr>
      <w:r>
        <w:rPr>
          <w:rFonts w:ascii="Arial" w:cs="Arial" w:eastAsia="Arial" w:hAnsi="Arial"/>
          <w:sz w:val="16"/>
          <w:szCs w:val="16"/>
          <w:color w:val="auto"/>
        </w:rPr>
        <w:t>Private sector commercial banks and financial institutions</w:t>
      </w:r>
    </w:p>
    <w:p>
      <w:pPr>
        <w:spacing w:after="0" w:line="32" w:lineRule="exact"/>
        <w:rPr>
          <w:sz w:val="20"/>
          <w:szCs w:val="20"/>
          <w:color w:val="auto"/>
        </w:rPr>
      </w:pPr>
    </w:p>
    <w:p>
      <w:pPr>
        <w:spacing w:after="0"/>
        <w:rPr>
          <w:sz w:val="20"/>
          <w:szCs w:val="20"/>
          <w:color w:val="auto"/>
        </w:rPr>
      </w:pPr>
      <w:r>
        <w:rPr>
          <w:rFonts w:ascii="Arial" w:cs="Arial" w:eastAsia="Arial" w:hAnsi="Arial"/>
          <w:sz w:val="18"/>
          <w:szCs w:val="18"/>
          <w:color w:val="auto"/>
        </w:rPr>
        <w:t>State-owned commercial banks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State-owned organizations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Private middle-market companies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Private corporations</w:t>
      </w:r>
    </w:p>
    <w:p>
      <w:pPr>
        <w:spacing w:after="0" w:line="9"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Subtotal</w:t>
      </w:r>
    </w:p>
    <w:p>
      <w:pPr>
        <w:spacing w:after="0" w:line="7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FLOATING RATE</w:t>
      </w:r>
    </w:p>
    <w:p>
      <w:pPr>
        <w:spacing w:after="0" w:line="27" w:lineRule="exact"/>
        <w:rPr>
          <w:sz w:val="20"/>
          <w:szCs w:val="20"/>
          <w:color w:val="auto"/>
        </w:rPr>
      </w:pPr>
    </w:p>
    <w:p>
      <w:pPr>
        <w:spacing w:after="0"/>
        <w:rPr>
          <w:sz w:val="20"/>
          <w:szCs w:val="20"/>
          <w:color w:val="auto"/>
        </w:rPr>
      </w:pPr>
      <w:r>
        <w:rPr>
          <w:rFonts w:ascii="Arial" w:cs="Arial" w:eastAsia="Arial" w:hAnsi="Arial"/>
          <w:sz w:val="16"/>
          <w:szCs w:val="16"/>
          <w:color w:val="auto"/>
        </w:rPr>
        <w:t>Private sector commercial banks and financial institutions</w:t>
      </w:r>
    </w:p>
    <w:p>
      <w:pPr>
        <w:spacing w:after="0" w:line="32" w:lineRule="exact"/>
        <w:rPr>
          <w:sz w:val="20"/>
          <w:szCs w:val="20"/>
          <w:color w:val="auto"/>
        </w:rPr>
      </w:pPr>
    </w:p>
    <w:p>
      <w:pPr>
        <w:spacing w:after="0"/>
        <w:rPr>
          <w:sz w:val="20"/>
          <w:szCs w:val="20"/>
          <w:color w:val="auto"/>
        </w:rPr>
      </w:pPr>
      <w:r>
        <w:rPr>
          <w:rFonts w:ascii="Arial" w:cs="Arial" w:eastAsia="Arial" w:hAnsi="Arial"/>
          <w:sz w:val="18"/>
          <w:szCs w:val="18"/>
          <w:color w:val="auto"/>
        </w:rPr>
        <w:t>State-owned commercial banks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Central banks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State-owned organizations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Private middle-market companies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Private corporations</w:t>
      </w:r>
    </w:p>
    <w:p>
      <w:pPr>
        <w:spacing w:after="0" w:line="20" w:lineRule="exact"/>
        <w:rPr>
          <w:sz w:val="20"/>
          <w:szCs w:val="20"/>
          <w:color w:val="auto"/>
        </w:rPr>
      </w:pPr>
      <w:r>
        <w:rPr>
          <w:sz w:val="20"/>
          <w:szCs w:val="20"/>
          <w:color w:val="auto"/>
        </w:rPr>
        <w:br w:type="column"/>
      </w:r>
    </w:p>
    <w:p>
      <w:pPr>
        <w:ind w:left="2000"/>
        <w:spacing w:after="0"/>
        <w:rPr>
          <w:sz w:val="20"/>
          <w:szCs w:val="20"/>
          <w:color w:val="auto"/>
        </w:rPr>
      </w:pPr>
      <w:r>
        <w:rPr>
          <w:rFonts w:ascii="Arial" w:cs="Arial" w:eastAsia="Arial" w:hAnsi="Arial"/>
          <w:sz w:val="18"/>
          <w:szCs w:val="18"/>
          <w:b w:val="1"/>
          <w:bCs w:val="1"/>
          <w:color w:val="auto"/>
        </w:rPr>
        <w:t>As of December 31,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2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460" w:type="dxa"/>
            <w:vAlign w:val="bottom"/>
            <w:tcBorders>
              <w:top w:val="single" w:sz="8" w:color="auto"/>
            </w:tcBorders>
          </w:tcPr>
          <w:p>
            <w:pPr>
              <w:spacing w:after="0"/>
              <w:rPr>
                <w:sz w:val="16"/>
                <w:szCs w:val="16"/>
                <w:color w:val="auto"/>
              </w:rPr>
            </w:pPr>
          </w:p>
        </w:tc>
        <w:tc>
          <w:tcPr>
            <w:tcW w:w="2620" w:type="dxa"/>
            <w:vAlign w:val="bottom"/>
            <w:tcBorders>
              <w:top w:val="single" w:sz="8" w:color="auto"/>
            </w:tcBorders>
            <w:gridSpan w:val="5"/>
          </w:tcPr>
          <w:p>
            <w:pPr>
              <w:ind w:left="380"/>
              <w:spacing w:after="0" w:line="191" w:lineRule="exact"/>
              <w:rPr>
                <w:sz w:val="20"/>
                <w:szCs w:val="20"/>
                <w:color w:val="auto"/>
              </w:rPr>
            </w:pPr>
            <w:r>
              <w:rPr>
                <w:rFonts w:ascii="Arial" w:cs="Arial" w:eastAsia="Arial" w:hAnsi="Arial"/>
                <w:sz w:val="18"/>
                <w:szCs w:val="18"/>
                <w:b w:val="1"/>
                <w:bCs w:val="1"/>
                <w:color w:val="auto"/>
              </w:rPr>
              <w:t>(in $ millions)</w:t>
            </w:r>
          </w:p>
        </w:tc>
        <w:tc>
          <w:tcPr>
            <w:tcW w:w="26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r>
      <w:tr>
        <w:trPr>
          <w:trHeight w:val="216"/>
        </w:trPr>
        <w:tc>
          <w:tcPr>
            <w:tcW w:w="5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1"/>
              </w:rPr>
              <w:t>Due after five</w:t>
            </w: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r>
      <w:tr>
        <w:trPr>
          <w:trHeight w:val="216"/>
        </w:trPr>
        <w:tc>
          <w:tcPr>
            <w:tcW w:w="1460" w:type="dxa"/>
            <w:vAlign w:val="bottom"/>
            <w:gridSpan w:val="3"/>
          </w:tcPr>
          <w:p>
            <w:pPr>
              <w:spacing w:after="0"/>
              <w:rPr>
                <w:sz w:val="20"/>
                <w:szCs w:val="20"/>
                <w:color w:val="auto"/>
              </w:rPr>
            </w:pPr>
            <w:r>
              <w:rPr>
                <w:rFonts w:ascii="Arial" w:cs="Arial" w:eastAsia="Arial" w:hAnsi="Arial"/>
                <w:sz w:val="18"/>
                <w:szCs w:val="18"/>
                <w:b w:val="1"/>
                <w:bCs w:val="1"/>
                <w:color w:val="auto"/>
                <w:w w:val="96"/>
              </w:rPr>
              <w:t>Impaired and due</w:t>
            </w:r>
          </w:p>
        </w:tc>
        <w:tc>
          <w:tcPr>
            <w:tcW w:w="1740" w:type="dxa"/>
            <w:vAlign w:val="bottom"/>
            <w:gridSpan w:val="4"/>
          </w:tcPr>
          <w:p>
            <w:pPr>
              <w:jc w:val="right"/>
              <w:ind w:right="200"/>
              <w:spacing w:after="0"/>
              <w:rPr>
                <w:sz w:val="20"/>
                <w:szCs w:val="20"/>
                <w:color w:val="auto"/>
              </w:rPr>
            </w:pPr>
            <w:r>
              <w:rPr>
                <w:rFonts w:ascii="Arial" w:cs="Arial" w:eastAsia="Arial" w:hAnsi="Arial"/>
                <w:sz w:val="18"/>
                <w:szCs w:val="18"/>
                <w:b w:val="1"/>
                <w:bCs w:val="1"/>
                <w:color w:val="auto"/>
                <w:w w:val="96"/>
              </w:rPr>
              <w:t>Due after one year</w:t>
            </w:r>
          </w:p>
        </w:tc>
        <w:tc>
          <w:tcPr>
            <w:tcW w:w="14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years through</w:t>
            </w: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r>
      <w:tr>
        <w:trPr>
          <w:trHeight w:val="234"/>
        </w:trPr>
        <w:tc>
          <w:tcPr>
            <w:tcW w:w="1460" w:type="dxa"/>
            <w:vAlign w:val="bottom"/>
            <w:gridSpan w:val="3"/>
          </w:tcPr>
          <w:p>
            <w:pPr>
              <w:spacing w:after="0"/>
              <w:rPr>
                <w:sz w:val="20"/>
                <w:szCs w:val="20"/>
                <w:color w:val="auto"/>
              </w:rPr>
            </w:pPr>
            <w:r>
              <w:rPr>
                <w:rFonts w:ascii="Arial" w:cs="Arial" w:eastAsia="Arial" w:hAnsi="Arial"/>
                <w:sz w:val="18"/>
                <w:szCs w:val="18"/>
                <w:b w:val="1"/>
                <w:bCs w:val="1"/>
                <w:color w:val="auto"/>
                <w:w w:val="91"/>
              </w:rPr>
              <w:t>in one year or less</w:t>
            </w:r>
          </w:p>
        </w:tc>
        <w:tc>
          <w:tcPr>
            <w:tcW w:w="120" w:type="dxa"/>
            <w:vAlign w:val="bottom"/>
          </w:tcPr>
          <w:p>
            <w:pPr>
              <w:spacing w:after="0"/>
              <w:rPr>
                <w:sz w:val="20"/>
                <w:szCs w:val="20"/>
                <w:color w:val="auto"/>
              </w:rPr>
            </w:pPr>
          </w:p>
        </w:tc>
        <w:tc>
          <w:tcPr>
            <w:tcW w:w="162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88"/>
              </w:rPr>
              <w:t>through five years</w:t>
            </w:r>
          </w:p>
        </w:tc>
        <w:tc>
          <w:tcPr>
            <w:tcW w:w="100" w:type="dxa"/>
            <w:vAlign w:val="bottom"/>
          </w:tcPr>
          <w:p>
            <w:pPr>
              <w:spacing w:after="0"/>
              <w:rPr>
                <w:sz w:val="20"/>
                <w:szCs w:val="20"/>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ten years</w:t>
            </w:r>
          </w:p>
        </w:tc>
        <w:tc>
          <w:tcPr>
            <w:tcW w:w="260" w:type="dxa"/>
            <w:vAlign w:val="bottom"/>
          </w:tcPr>
          <w:p>
            <w:pPr>
              <w:spacing w:after="0"/>
              <w:rPr>
                <w:sz w:val="20"/>
                <w:szCs w:val="20"/>
                <w:color w:val="auto"/>
              </w:rPr>
            </w:pPr>
          </w:p>
        </w:tc>
        <w:tc>
          <w:tcPr>
            <w:tcW w:w="980" w:type="dxa"/>
            <w:vAlign w:val="bottom"/>
          </w:tcPr>
          <w:p>
            <w:pPr>
              <w:jc w:val="right"/>
              <w:ind w:right="330"/>
              <w:spacing w:after="0"/>
              <w:rPr>
                <w:sz w:val="20"/>
                <w:szCs w:val="20"/>
                <w:color w:val="auto"/>
              </w:rPr>
            </w:pPr>
            <w:r>
              <w:rPr>
                <w:rFonts w:ascii="Arial" w:cs="Arial" w:eastAsia="Arial" w:hAnsi="Arial"/>
                <w:sz w:val="18"/>
                <w:szCs w:val="18"/>
                <w:b w:val="1"/>
                <w:bCs w:val="1"/>
                <w:color w:val="auto"/>
              </w:rPr>
              <w:t>Total</w:t>
            </w:r>
          </w:p>
        </w:tc>
      </w:tr>
      <w:tr>
        <w:trPr>
          <w:trHeight w:val="20"/>
        </w:trPr>
        <w:tc>
          <w:tcPr>
            <w:tcW w:w="52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r>
      <w:tr>
        <w:trPr>
          <w:trHeight w:val="411"/>
        </w:trPr>
        <w:tc>
          <w:tcPr>
            <w:tcW w:w="520" w:type="dxa"/>
            <w:vAlign w:val="bottom"/>
          </w:tcPr>
          <w:p>
            <w:pPr>
              <w:spacing w:after="0"/>
              <w:rPr>
                <w:sz w:val="20"/>
                <w:szCs w:val="20"/>
                <w:color w:val="auto"/>
              </w:rPr>
            </w:pPr>
            <w:r>
              <w:rPr>
                <w:rFonts w:ascii="Arial" w:cs="Arial" w:eastAsia="Arial" w:hAnsi="Arial"/>
                <w:sz w:val="18"/>
                <w:szCs w:val="18"/>
                <w:color w:val="auto"/>
              </w:rPr>
              <w:t>$</w:t>
            </w:r>
          </w:p>
        </w:tc>
        <w:tc>
          <w:tcPr>
            <w:tcW w:w="840" w:type="dxa"/>
            <w:vAlign w:val="bottom"/>
          </w:tcPr>
          <w:p>
            <w:pPr>
              <w:jc w:val="right"/>
              <w:spacing w:after="0"/>
              <w:rPr>
                <w:sz w:val="20"/>
                <w:szCs w:val="20"/>
                <w:color w:val="auto"/>
              </w:rPr>
            </w:pPr>
            <w:r>
              <w:rPr>
                <w:rFonts w:ascii="Arial" w:cs="Arial" w:eastAsia="Arial" w:hAnsi="Arial"/>
                <w:sz w:val="18"/>
                <w:szCs w:val="18"/>
                <w:color w:val="auto"/>
              </w:rPr>
              <w:t>497</w:t>
            </w:r>
          </w:p>
        </w:tc>
        <w:tc>
          <w:tcPr>
            <w:tcW w:w="100" w:type="dxa"/>
            <w:vAlign w:val="bottom"/>
          </w:tcPr>
          <w:p>
            <w:pPr>
              <w:spacing w:after="0"/>
              <w:rPr>
                <w:sz w:val="24"/>
                <w:szCs w:val="24"/>
                <w:color w:val="auto"/>
              </w:rPr>
            </w:pPr>
          </w:p>
        </w:tc>
        <w:tc>
          <w:tcPr>
            <w:tcW w:w="580" w:type="dxa"/>
            <w:vAlign w:val="bottom"/>
            <w:gridSpan w:val="2"/>
          </w:tcPr>
          <w:p>
            <w:pPr>
              <w:jc w:val="right"/>
              <w:ind w:right="297"/>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23</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3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520</w:t>
            </w:r>
          </w:p>
        </w:tc>
      </w:tr>
      <w:tr>
        <w:trPr>
          <w:trHeight w:val="216"/>
        </w:trPr>
        <w:tc>
          <w:tcPr>
            <w:tcW w:w="52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227</w:t>
            </w: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12</w:t>
            </w:r>
          </w:p>
        </w:tc>
        <w:tc>
          <w:tcPr>
            <w:tcW w:w="100" w:type="dxa"/>
            <w:vAlign w:val="bottom"/>
          </w:tcPr>
          <w:p>
            <w:pPr>
              <w:spacing w:after="0"/>
              <w:rPr>
                <w:sz w:val="18"/>
                <w:szCs w:val="18"/>
                <w:color w:val="auto"/>
              </w:rPr>
            </w:pPr>
          </w:p>
        </w:tc>
        <w:tc>
          <w:tcPr>
            <w:tcW w:w="13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239</w:t>
            </w:r>
          </w:p>
        </w:tc>
      </w:tr>
      <w:tr>
        <w:trPr>
          <w:trHeight w:val="216"/>
        </w:trPr>
        <w:tc>
          <w:tcPr>
            <w:tcW w:w="52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690</w:t>
            </w: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3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690</w:t>
            </w:r>
          </w:p>
        </w:tc>
      </w:tr>
      <w:tr>
        <w:trPr>
          <w:trHeight w:val="230"/>
        </w:trPr>
        <w:tc>
          <w:tcPr>
            <w:tcW w:w="520" w:type="dxa"/>
            <w:vAlign w:val="bottom"/>
          </w:tcPr>
          <w:p>
            <w:pPr>
              <w:spacing w:after="0"/>
              <w:rPr>
                <w:sz w:val="19"/>
                <w:szCs w:val="19"/>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183</w:t>
            </w:r>
          </w:p>
        </w:tc>
        <w:tc>
          <w:tcPr>
            <w:tcW w:w="1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19"/>
                <w:szCs w:val="19"/>
                <w:color w:val="auto"/>
              </w:rPr>
            </w:pPr>
          </w:p>
        </w:tc>
        <w:tc>
          <w:tcPr>
            <w:tcW w:w="13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185</w:t>
            </w:r>
          </w:p>
        </w:tc>
      </w:tr>
      <w:tr>
        <w:trPr>
          <w:trHeight w:val="230"/>
        </w:trPr>
        <w:tc>
          <w:tcPr>
            <w:tcW w:w="520" w:type="dxa"/>
            <w:vAlign w:val="bottom"/>
          </w:tcPr>
          <w:p>
            <w:pPr>
              <w:spacing w:after="0"/>
              <w:rPr>
                <w:sz w:val="20"/>
                <w:szCs w:val="20"/>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1,056</w:t>
            </w:r>
          </w:p>
        </w:tc>
        <w:tc>
          <w:tcPr>
            <w:tcW w:w="1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20</w:t>
            </w:r>
          </w:p>
        </w:tc>
        <w:tc>
          <w:tcPr>
            <w:tcW w:w="100" w:type="dxa"/>
            <w:vAlign w:val="bottom"/>
          </w:tcPr>
          <w:p>
            <w:pPr>
              <w:spacing w:after="0"/>
              <w:rPr>
                <w:sz w:val="20"/>
                <w:szCs w:val="20"/>
                <w:color w:val="auto"/>
              </w:rPr>
            </w:pPr>
          </w:p>
        </w:tc>
        <w:tc>
          <w:tcPr>
            <w:tcW w:w="13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1,076</w:t>
            </w:r>
          </w:p>
        </w:tc>
      </w:tr>
      <w:tr>
        <w:trPr>
          <w:trHeight w:val="223"/>
        </w:trPr>
        <w:tc>
          <w:tcPr>
            <w:tcW w:w="52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2,653</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ind w:right="297"/>
              <w:spacing w:after="0"/>
              <w:rPr>
                <w:sz w:val="20"/>
                <w:szCs w:val="20"/>
                <w:color w:val="auto"/>
              </w:rPr>
            </w:pPr>
            <w:r>
              <w:rPr>
                <w:rFonts w:ascii="Arial" w:cs="Arial" w:eastAsia="Arial" w:hAnsi="Arial"/>
                <w:sz w:val="15"/>
                <w:szCs w:val="15"/>
                <w:b w:val="1"/>
                <w:bCs w:val="1"/>
                <w:color w:val="auto"/>
                <w:w w:val="71"/>
              </w:rPr>
              <w:t>$</w:t>
            </w: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1140" w:type="dxa"/>
            <w:vAlign w:val="bottom"/>
            <w:tcBorders>
              <w:top w:val="single" w:sz="8" w:color="auto"/>
              <w:bottom w:val="single" w:sz="8" w:color="auto"/>
            </w:tcBorders>
          </w:tcPr>
          <w:p>
            <w:pPr>
              <w:ind w:left="1060"/>
              <w:spacing w:after="0"/>
              <w:rPr>
                <w:sz w:val="20"/>
                <w:szCs w:val="20"/>
                <w:color w:val="auto"/>
              </w:rPr>
            </w:pPr>
            <w:r>
              <w:rPr>
                <w:rFonts w:ascii="Arial" w:cs="Arial" w:eastAsia="Arial" w:hAnsi="Arial"/>
                <w:sz w:val="15"/>
                <w:szCs w:val="15"/>
                <w:b w:val="1"/>
                <w:bCs w:val="1"/>
                <w:color w:val="auto"/>
                <w:w w:val="71"/>
              </w:rPr>
              <w:t>0</w:t>
            </w:r>
          </w:p>
        </w:tc>
        <w:tc>
          <w:tcPr>
            <w:tcW w:w="220" w:type="dxa"/>
            <w:vAlign w:val="bottom"/>
          </w:tcPr>
          <w:p>
            <w:pPr>
              <w:spacing w:after="0"/>
              <w:rPr>
                <w:sz w:val="19"/>
                <w:szCs w:val="19"/>
                <w:color w:val="auto"/>
              </w:rPr>
            </w:pPr>
          </w:p>
        </w:tc>
        <w:tc>
          <w:tcPr>
            <w:tcW w:w="26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2,710</w:t>
            </w:r>
          </w:p>
        </w:tc>
      </w:tr>
      <w:tr>
        <w:trPr>
          <w:trHeight w:val="20"/>
        </w:trPr>
        <w:tc>
          <w:tcPr>
            <w:tcW w:w="5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r>
      <w:tr>
        <w:trPr>
          <w:trHeight w:val="398"/>
        </w:trPr>
        <w:tc>
          <w:tcPr>
            <w:tcW w:w="520" w:type="dxa"/>
            <w:vAlign w:val="bottom"/>
          </w:tcPr>
          <w:p>
            <w:pPr>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768</w:t>
            </w:r>
          </w:p>
        </w:tc>
        <w:tc>
          <w:tcPr>
            <w:tcW w:w="580" w:type="dxa"/>
            <w:vAlign w:val="bottom"/>
            <w:gridSpan w:val="2"/>
          </w:tcPr>
          <w:p>
            <w:pPr>
              <w:jc w:val="right"/>
              <w:ind w:right="297"/>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451</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3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1,219</w:t>
            </w:r>
          </w:p>
        </w:tc>
      </w:tr>
      <w:tr>
        <w:trPr>
          <w:trHeight w:val="216"/>
        </w:trPr>
        <w:tc>
          <w:tcPr>
            <w:tcW w:w="52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207</w:t>
            </w: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69</w:t>
            </w:r>
          </w:p>
        </w:tc>
        <w:tc>
          <w:tcPr>
            <w:tcW w:w="100" w:type="dxa"/>
            <w:vAlign w:val="bottom"/>
          </w:tcPr>
          <w:p>
            <w:pPr>
              <w:spacing w:after="0"/>
              <w:rPr>
                <w:sz w:val="18"/>
                <w:szCs w:val="18"/>
                <w:color w:val="auto"/>
              </w:rPr>
            </w:pPr>
          </w:p>
        </w:tc>
        <w:tc>
          <w:tcPr>
            <w:tcW w:w="13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276</w:t>
            </w:r>
          </w:p>
        </w:tc>
      </w:tr>
      <w:tr>
        <w:trPr>
          <w:trHeight w:val="216"/>
        </w:trPr>
        <w:tc>
          <w:tcPr>
            <w:tcW w:w="52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30</w:t>
            </w: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3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30</w:t>
            </w:r>
          </w:p>
        </w:tc>
      </w:tr>
      <w:tr>
        <w:trPr>
          <w:trHeight w:val="216"/>
        </w:trPr>
        <w:tc>
          <w:tcPr>
            <w:tcW w:w="52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82</w:t>
            </w:r>
          </w:p>
        </w:tc>
        <w:tc>
          <w:tcPr>
            <w:tcW w:w="1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15</w:t>
            </w:r>
          </w:p>
        </w:tc>
        <w:tc>
          <w:tcPr>
            <w:tcW w:w="100" w:type="dxa"/>
            <w:vAlign w:val="bottom"/>
          </w:tcPr>
          <w:p>
            <w:pPr>
              <w:spacing w:after="0"/>
              <w:rPr>
                <w:sz w:val="18"/>
                <w:szCs w:val="18"/>
                <w:color w:val="auto"/>
              </w:rPr>
            </w:pPr>
          </w:p>
        </w:tc>
        <w:tc>
          <w:tcPr>
            <w:tcW w:w="13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97</w:t>
            </w:r>
          </w:p>
        </w:tc>
      </w:tr>
      <w:tr>
        <w:trPr>
          <w:trHeight w:val="230"/>
        </w:trPr>
        <w:tc>
          <w:tcPr>
            <w:tcW w:w="520" w:type="dxa"/>
            <w:vAlign w:val="bottom"/>
          </w:tcPr>
          <w:p>
            <w:pPr>
              <w:spacing w:after="0"/>
              <w:rPr>
                <w:sz w:val="19"/>
                <w:szCs w:val="19"/>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50</w:t>
            </w:r>
          </w:p>
        </w:tc>
        <w:tc>
          <w:tcPr>
            <w:tcW w:w="1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54</w:t>
            </w:r>
          </w:p>
        </w:tc>
        <w:tc>
          <w:tcPr>
            <w:tcW w:w="100" w:type="dxa"/>
            <w:vAlign w:val="bottom"/>
          </w:tcPr>
          <w:p>
            <w:pPr>
              <w:spacing w:after="0"/>
              <w:rPr>
                <w:sz w:val="19"/>
                <w:szCs w:val="19"/>
                <w:color w:val="auto"/>
              </w:rPr>
            </w:pPr>
          </w:p>
        </w:tc>
        <w:tc>
          <w:tcPr>
            <w:tcW w:w="1360" w:type="dxa"/>
            <w:vAlign w:val="bottom"/>
            <w:gridSpan w:val="2"/>
          </w:tcPr>
          <w:p>
            <w:pPr>
              <w:ind w:left="1060"/>
              <w:spacing w:after="0"/>
              <w:rPr>
                <w:sz w:val="20"/>
                <w:szCs w:val="20"/>
                <w:color w:val="auto"/>
              </w:rPr>
            </w:pPr>
            <w:r>
              <w:rPr>
                <w:rFonts w:ascii="Arial" w:cs="Arial" w:eastAsia="Arial" w:hAnsi="Arial"/>
                <w:sz w:val="18"/>
                <w:szCs w:val="18"/>
                <w:color w:val="auto"/>
              </w:rPr>
              <w:t>5</w:t>
            </w:r>
          </w:p>
        </w:tc>
        <w:tc>
          <w:tcPr>
            <w:tcW w:w="2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109</w:t>
            </w:r>
          </w:p>
        </w:tc>
      </w:tr>
      <w:tr>
        <w:trPr>
          <w:trHeight w:val="228"/>
        </w:trPr>
        <w:tc>
          <w:tcPr>
            <w:tcW w:w="520" w:type="dxa"/>
            <w:vAlign w:val="bottom"/>
          </w:tcPr>
          <w:p>
            <w:pPr>
              <w:spacing w:after="0"/>
              <w:rPr>
                <w:sz w:val="19"/>
                <w:szCs w:val="19"/>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772</w:t>
            </w:r>
          </w:p>
        </w:tc>
        <w:tc>
          <w:tcPr>
            <w:tcW w:w="1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795</w:t>
            </w:r>
          </w:p>
        </w:tc>
        <w:tc>
          <w:tcPr>
            <w:tcW w:w="100" w:type="dxa"/>
            <w:vAlign w:val="bottom"/>
          </w:tcPr>
          <w:p>
            <w:pPr>
              <w:spacing w:after="0"/>
              <w:rPr>
                <w:sz w:val="19"/>
                <w:szCs w:val="19"/>
                <w:color w:val="auto"/>
              </w:rPr>
            </w:pPr>
          </w:p>
        </w:tc>
        <w:tc>
          <w:tcPr>
            <w:tcW w:w="1140" w:type="dxa"/>
            <w:vAlign w:val="bottom"/>
          </w:tcPr>
          <w:p>
            <w:pPr>
              <w:ind w:left="960"/>
              <w:spacing w:after="0"/>
              <w:rPr>
                <w:sz w:val="20"/>
                <w:szCs w:val="20"/>
                <w:color w:val="auto"/>
              </w:rPr>
            </w:pPr>
            <w:r>
              <w:rPr>
                <w:rFonts w:ascii="Arial" w:cs="Arial" w:eastAsia="Arial" w:hAnsi="Arial"/>
                <w:sz w:val="18"/>
                <w:szCs w:val="18"/>
                <w:color w:val="auto"/>
                <w:w w:val="79"/>
              </w:rPr>
              <w:t>13</w:t>
            </w:r>
          </w:p>
        </w:tc>
        <w:tc>
          <w:tcPr>
            <w:tcW w:w="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1,580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-3435985</wp:posOffset>
            </wp:positionH>
            <wp:positionV relativeFrom="paragraph">
              <wp:posOffset>-1987550</wp:posOffset>
            </wp:positionV>
            <wp:extent cx="7246620" cy="1460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146050"/>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-1704975</wp:posOffset>
            </wp:positionV>
            <wp:extent cx="7246620" cy="13716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-1430020</wp:posOffset>
            </wp:positionV>
            <wp:extent cx="7246620" cy="13716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-1147445</wp:posOffset>
            </wp:positionV>
            <wp:extent cx="7246620" cy="16319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163195"/>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-829945</wp:posOffset>
            </wp:positionV>
            <wp:extent cx="7246620" cy="13716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-555625</wp:posOffset>
            </wp:positionV>
            <wp:extent cx="7246620" cy="13716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-3435985</wp:posOffset>
            </wp:positionH>
            <wp:positionV relativeFrom="paragraph">
              <wp:posOffset>-281305</wp:posOffset>
            </wp:positionV>
            <wp:extent cx="7246620" cy="13716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4700" w:space="720"/>
            <w:col w:w="6000"/>
          </w:cols>
          <w:pgMar w:left="240" w:top="918" w:right="239" w:bottom="1440" w:gutter="0" w:footer="0" w:header="0"/>
        </w:sectPr>
      </w:pPr>
    </w:p>
    <w:tbl>
      <w:tblPr>
        <w:tblLayout w:type="fixed"/>
        <w:tblInd w:w="0" w:type="dxa"/>
        <w:tblCellMar>
          <w:top w:w="0" w:type="dxa"/>
          <w:left w:w="0" w:type="dxa"/>
          <w:bottom w:w="0" w:type="dxa"/>
          <w:right w:w="0" w:type="dxa"/>
        </w:tblCellMar>
      </w:tblPr>
      <w:tr>
        <w:trPr>
          <w:trHeight w:val="225"/>
        </w:trPr>
        <w:tc>
          <w:tcPr>
            <w:tcW w:w="5420" w:type="dxa"/>
            <w:vAlign w:val="bottom"/>
            <w:tcBorders>
              <w:top w:val="single" w:sz="8" w:color="CCEEFF"/>
              <w:bottom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Subtotal</w:t>
            </w:r>
          </w:p>
        </w:tc>
        <w:tc>
          <w:tcPr>
            <w:tcW w:w="520" w:type="dxa"/>
            <w:vAlign w:val="bottom"/>
            <w:tcBorders>
              <w:top w:val="single" w:sz="8" w:color="auto"/>
              <w:bottom w:val="single" w:sz="8" w:color="auto"/>
            </w:tcBorders>
            <w:shd w:val="clear" w:color="auto" w:fill="CCEEFF"/>
          </w:tcPr>
          <w:p>
            <w:pPr>
              <w:jc w:val="right"/>
              <w:ind w:right="36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1,909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540" w:type="dxa"/>
            <w:vAlign w:val="bottom"/>
            <w:tcBorders>
              <w:top w:val="single" w:sz="8" w:color="auto"/>
              <w:bottom w:val="single" w:sz="8" w:color="auto"/>
            </w:tcBorders>
            <w:shd w:val="clear" w:color="auto" w:fill="CCEEFF"/>
          </w:tcPr>
          <w:p>
            <w:pPr>
              <w:jc w:val="right"/>
              <w:ind w:right="385"/>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1,384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580" w:type="dxa"/>
            <w:vAlign w:val="bottom"/>
            <w:tcBorders>
              <w:top w:val="single" w:sz="8" w:color="auto"/>
              <w:bottom w:val="single" w:sz="8" w:color="auto"/>
            </w:tcBorders>
            <w:shd w:val="clear" w:color="auto" w:fill="CCEEFF"/>
          </w:tcPr>
          <w:p>
            <w:pPr>
              <w:jc w:val="right"/>
              <w:ind w:right="390"/>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460" w:type="dxa"/>
            <w:vAlign w:val="bottom"/>
            <w:tcBorders>
              <w:top w:val="single" w:sz="8" w:color="auto"/>
              <w:bottom w:val="single" w:sz="8" w:color="auto"/>
            </w:tcBorders>
            <w:shd w:val="clear" w:color="auto" w:fill="CCEEFF"/>
          </w:tcPr>
          <w:p>
            <w:pPr>
              <w:jc w:val="right"/>
              <w:ind w:right="270"/>
              <w:spacing w:after="0"/>
              <w:rPr>
                <w:sz w:val="20"/>
                <w:szCs w:val="20"/>
                <w:color w:val="auto"/>
              </w:rPr>
            </w:pPr>
            <w:r>
              <w:rPr>
                <w:rFonts w:ascii="Arial" w:cs="Arial" w:eastAsia="Arial" w:hAnsi="Arial"/>
                <w:sz w:val="18"/>
                <w:szCs w:val="18"/>
                <w:b w:val="1"/>
                <w:bCs w:val="1"/>
                <w:color w:val="auto"/>
                <w:w w:val="79"/>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3,311</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420" w:type="dxa"/>
            <w:vAlign w:val="bottom"/>
            <w:vMerge w:val="restart"/>
          </w:tcPr>
          <w:p>
            <w:pPr>
              <w:ind w:left="500"/>
              <w:spacing w:after="0"/>
              <w:rPr>
                <w:sz w:val="20"/>
                <w:szCs w:val="20"/>
                <w:color w:val="auto"/>
              </w:rPr>
            </w:pPr>
            <w:r>
              <w:rPr>
                <w:rFonts w:ascii="Arial" w:cs="Arial" w:eastAsia="Arial" w:hAnsi="Arial"/>
                <w:sz w:val="18"/>
                <w:szCs w:val="18"/>
                <w:b w:val="1"/>
                <w:bCs w:val="1"/>
                <w:color w:val="auto"/>
              </w:rPr>
              <w:t>Total</w:t>
            </w:r>
          </w:p>
        </w:tc>
        <w:tc>
          <w:tcPr>
            <w:tcW w:w="5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420" w:type="dxa"/>
            <w:vAlign w:val="bottom"/>
            <w:vMerge w:val="continue"/>
          </w:tcPr>
          <w:p>
            <w:pPr>
              <w:spacing w:after="0"/>
              <w:rPr>
                <w:sz w:val="17"/>
                <w:szCs w:val="17"/>
                <w:color w:val="auto"/>
              </w:rPr>
            </w:pPr>
          </w:p>
        </w:tc>
        <w:tc>
          <w:tcPr>
            <w:tcW w:w="520" w:type="dxa"/>
            <w:vAlign w:val="bottom"/>
            <w:tcBorders>
              <w:bottom w:val="single" w:sz="8" w:color="auto"/>
            </w:tcBorders>
          </w:tcPr>
          <w:p>
            <w:pPr>
              <w:jc w:val="right"/>
              <w:ind w:right="36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4,562</w:t>
            </w:r>
          </w:p>
        </w:tc>
        <w:tc>
          <w:tcPr>
            <w:tcW w:w="220" w:type="dxa"/>
            <w:vAlign w:val="bottom"/>
            <w:vMerge w:val="continue"/>
          </w:tcPr>
          <w:p>
            <w:pPr>
              <w:spacing w:after="0"/>
              <w:rPr>
                <w:sz w:val="17"/>
                <w:szCs w:val="17"/>
                <w:color w:val="auto"/>
              </w:rPr>
            </w:pPr>
          </w:p>
        </w:tc>
        <w:tc>
          <w:tcPr>
            <w:tcW w:w="540" w:type="dxa"/>
            <w:vAlign w:val="bottom"/>
            <w:tcBorders>
              <w:bottom w:val="single" w:sz="8" w:color="auto"/>
            </w:tcBorders>
          </w:tcPr>
          <w:p>
            <w:pPr>
              <w:jc w:val="right"/>
              <w:ind w:right="385"/>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1,441</w:t>
            </w:r>
          </w:p>
        </w:tc>
        <w:tc>
          <w:tcPr>
            <w:tcW w:w="220" w:type="dxa"/>
            <w:vAlign w:val="bottom"/>
            <w:vMerge w:val="continue"/>
          </w:tcPr>
          <w:p>
            <w:pPr>
              <w:spacing w:after="0"/>
              <w:rPr>
                <w:sz w:val="17"/>
                <w:szCs w:val="17"/>
                <w:color w:val="auto"/>
              </w:rPr>
            </w:pPr>
          </w:p>
        </w:tc>
        <w:tc>
          <w:tcPr>
            <w:tcW w:w="580" w:type="dxa"/>
            <w:vAlign w:val="bottom"/>
            <w:tcBorders>
              <w:bottom w:val="single" w:sz="8" w:color="auto"/>
            </w:tcBorders>
          </w:tcPr>
          <w:p>
            <w:pPr>
              <w:jc w:val="right"/>
              <w:ind w:right="390"/>
              <w:spacing w:after="0" w:line="196" w:lineRule="exact"/>
              <w:rPr>
                <w:sz w:val="20"/>
                <w:szCs w:val="20"/>
                <w:color w:val="auto"/>
              </w:rPr>
            </w:pPr>
            <w:r>
              <w:rPr>
                <w:rFonts w:ascii="Arial" w:cs="Arial" w:eastAsia="Arial" w:hAnsi="Arial"/>
                <w:sz w:val="18"/>
                <w:szCs w:val="18"/>
                <w:b w:val="1"/>
                <w:bCs w:val="1"/>
                <w:color w:val="auto"/>
                <w:w w:val="79"/>
              </w:rPr>
              <w:t>$</w:t>
            </w:r>
          </w:p>
        </w:tc>
        <w:tc>
          <w:tcPr>
            <w:tcW w:w="6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18</w:t>
            </w:r>
          </w:p>
        </w:tc>
        <w:tc>
          <w:tcPr>
            <w:tcW w:w="220" w:type="dxa"/>
            <w:vAlign w:val="bottom"/>
          </w:tcPr>
          <w:p>
            <w:pPr>
              <w:spacing w:after="0"/>
              <w:rPr>
                <w:sz w:val="17"/>
                <w:szCs w:val="17"/>
                <w:color w:val="auto"/>
              </w:rPr>
            </w:pPr>
          </w:p>
        </w:tc>
        <w:tc>
          <w:tcPr>
            <w:tcW w:w="460" w:type="dxa"/>
            <w:vAlign w:val="bottom"/>
            <w:tcBorders>
              <w:bottom w:val="single" w:sz="8" w:color="auto"/>
            </w:tcBorders>
          </w:tcPr>
          <w:p>
            <w:pPr>
              <w:jc w:val="right"/>
              <w:ind w:right="270"/>
              <w:spacing w:after="0" w:line="196" w:lineRule="exact"/>
              <w:rPr>
                <w:sz w:val="20"/>
                <w:szCs w:val="20"/>
                <w:color w:val="auto"/>
              </w:rPr>
            </w:pPr>
            <w:r>
              <w:rPr>
                <w:rFonts w:ascii="Arial" w:cs="Arial" w:eastAsia="Arial" w:hAnsi="Arial"/>
                <w:sz w:val="18"/>
                <w:szCs w:val="18"/>
                <w:b w:val="1"/>
                <w:bCs w:val="1"/>
                <w:color w:val="auto"/>
                <w:w w:val="79"/>
              </w:rPr>
              <w:t>$</w:t>
            </w:r>
          </w:p>
        </w:tc>
        <w:tc>
          <w:tcPr>
            <w:tcW w:w="7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6,021</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42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7"/>
          <w:szCs w:val="17"/>
          <w:color w:val="auto"/>
        </w:rPr>
        <w:t>Note: Scheduled amortization repayments fall into the maturity category in which the payment is due, rather than that of the final maturity of the loan.</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Commitments and Financial Guarantee Contracts</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 on behalf of its client base, advises and confirms letters of credit to facilitate foreign trade transactions. When confirming letters of credit, the Bank adds its own unqualified assurance that the issuing bank will pay, with the understanding that, if the issuing bank does not honor drafts drawn on the letter of credit, the Bank will. The Bank also provides stand-by letters of credit, guarantees, and commitments to extend credit, which are binding legal agreements to disburse or lend to clients, subject to the customers’ compliance with customary conditions precedent or other relevant documentation. Commitments generally have fixed expiration dates or other termination clauses and require payment of a fee to the Bank. As some commitments expire without being drawn down, the total commitment amounts do not necessarily represent future liquidity requirements.</w:t>
      </w:r>
    </w:p>
    <w:p>
      <w:pPr>
        <w:spacing w:after="0" w:line="17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applies the same credit policies used in its lending process to its evaluation of these instruments, and, once issued, the commitment is irrevocable and remains valid until its expiration. Credit risk arises from the Bank’s obligation to make payment in the event of a client’s contractual default to a third party.</w:t>
      </w:r>
    </w:p>
    <w:p>
      <w:pPr>
        <w:spacing w:after="0" w:line="181"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Loan commitments and financial guarantee contracts amounted to $488 million, or 8% of the total Commercial Portfolio, as of December 31, 2017, compared to $403 million, or 6% of the total Commercial Portfolio, as of December 31, 2016 and $447 million, or 6% of the total Commercial Portfolio, as of December 31, 2015. Confirmed and stand-by letters of credit, and guarantees covering commercial risk represented 91% of the total loan commitments and financial guarantee contracts as of December 31, 2017, compared to 97%, and 58%, as of December 31, 2016 and 2015, respectively.</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8" w:right="239" w:bottom="1440" w:gutter="0" w:footer="0" w:header="0"/>
          <w:type w:val="continuous"/>
        </w:sectPr>
      </w:pPr>
    </w:p>
    <w:bookmarkStart w:id="28" w:name="page29"/>
    <w:bookmarkEnd w:id="28"/>
    <w:p>
      <w:pPr>
        <w:spacing w:after="0" w:line="277" w:lineRule="auto"/>
        <w:rPr>
          <w:sz w:val="20"/>
          <w:szCs w:val="20"/>
          <w:color w:val="auto"/>
        </w:rPr>
      </w:pPr>
      <w:r>
        <w:rPr>
          <w:rFonts w:ascii="Arial" w:cs="Arial" w:eastAsia="Arial" w:hAnsi="Arial"/>
          <w:sz w:val="18"/>
          <w:szCs w:val="18"/>
          <w:color w:val="auto"/>
        </w:rPr>
        <w:t>The following table presents the distribution of the Bank’s loan commitments and financial guarantee contracts by country risk, as of December 31 of each year:</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1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180" w:type="dxa"/>
            <w:vAlign w:val="bottom"/>
            <w:gridSpan w:val="5"/>
          </w:tcPr>
          <w:p>
            <w:pPr>
              <w:jc w:val="center"/>
              <w:ind w:right="300"/>
              <w:spacing w:after="0"/>
              <w:rPr>
                <w:sz w:val="20"/>
                <w:szCs w:val="20"/>
                <w:color w:val="auto"/>
              </w:rPr>
            </w:pPr>
            <w:r>
              <w:rPr>
                <w:rFonts w:ascii="Arial" w:cs="Arial" w:eastAsia="Arial" w:hAnsi="Arial"/>
                <w:sz w:val="18"/>
                <w:szCs w:val="18"/>
                <w:b w:val="1"/>
                <w:bCs w:val="1"/>
                <w:color w:val="auto"/>
                <w:w w:val="88"/>
              </w:rPr>
              <w:t>As of December 31,</w:t>
            </w:r>
          </w:p>
        </w:tc>
        <w:tc>
          <w:tcPr>
            <w:tcW w:w="12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34"/>
        </w:trPr>
        <w:tc>
          <w:tcPr>
            <w:tcW w:w="31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00" w:type="dxa"/>
            <w:vAlign w:val="bottom"/>
            <w:tcBorders>
              <w:bottom w:val="single" w:sz="8" w:color="auto"/>
            </w:tcBorders>
            <w:gridSpan w:val="4"/>
          </w:tcPr>
          <w:p>
            <w:pPr>
              <w:jc w:val="right"/>
              <w:ind w:right="790"/>
              <w:spacing w:after="0"/>
              <w:rPr>
                <w:sz w:val="20"/>
                <w:szCs w:val="20"/>
                <w:color w:val="auto"/>
              </w:rPr>
            </w:pPr>
            <w:r>
              <w:rPr>
                <w:rFonts w:ascii="Arial" w:cs="Arial" w:eastAsia="Arial" w:hAnsi="Arial"/>
                <w:sz w:val="18"/>
                <w:szCs w:val="18"/>
                <w:b w:val="1"/>
                <w:bCs w:val="1"/>
                <w:color w:val="auto"/>
              </w:rPr>
              <w:t>2017</w:t>
            </w:r>
          </w:p>
        </w:tc>
        <w:tc>
          <w:tcPr>
            <w:tcW w:w="180" w:type="dxa"/>
            <w:vAlign w:val="bottom"/>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980" w:type="dxa"/>
            <w:vAlign w:val="bottom"/>
            <w:tcBorders>
              <w:bottom w:val="single" w:sz="8" w:color="auto"/>
            </w:tcBorders>
            <w:gridSpan w:val="4"/>
          </w:tcPr>
          <w:p>
            <w:pPr>
              <w:jc w:val="right"/>
              <w:ind w:right="79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020" w:type="dxa"/>
            <w:vAlign w:val="bottom"/>
            <w:tcBorders>
              <w:bottom w:val="single" w:sz="8" w:color="auto"/>
            </w:tcBorders>
            <w:gridSpan w:val="4"/>
          </w:tcPr>
          <w:p>
            <w:pPr>
              <w:jc w:val="right"/>
              <w:ind w:right="810"/>
              <w:spacing w:after="0"/>
              <w:rPr>
                <w:sz w:val="20"/>
                <w:szCs w:val="20"/>
                <w:color w:val="auto"/>
              </w:rPr>
            </w:pPr>
            <w:r>
              <w:rPr>
                <w:rFonts w:ascii="Arial" w:cs="Arial" w:eastAsia="Arial" w:hAnsi="Arial"/>
                <w:sz w:val="18"/>
                <w:szCs w:val="18"/>
                <w:b w:val="1"/>
                <w:bCs w:val="1"/>
                <w:color w:val="auto"/>
              </w:rPr>
              <w:t>2015</w:t>
            </w:r>
          </w:p>
        </w:tc>
        <w:tc>
          <w:tcPr>
            <w:tcW w:w="80" w:type="dxa"/>
            <w:vAlign w:val="bottom"/>
          </w:tcPr>
          <w:p>
            <w:pPr>
              <w:spacing w:after="0"/>
              <w:rPr>
                <w:sz w:val="20"/>
                <w:szCs w:val="20"/>
                <w:color w:val="auto"/>
              </w:rPr>
            </w:pPr>
          </w:p>
        </w:tc>
      </w:tr>
      <w:tr>
        <w:trPr>
          <w:trHeight w:val="191"/>
        </w:trPr>
        <w:tc>
          <w:tcPr>
            <w:tcW w:w="31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5"/>
              </w:rPr>
              <w:t>% of Total</w:t>
            </w:r>
          </w:p>
        </w:tc>
        <w:tc>
          <w:tcPr>
            <w:tcW w:w="1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5"/>
              </w:rPr>
              <w:t>% of Total</w:t>
            </w:r>
          </w:p>
        </w:tc>
        <w:tc>
          <w:tcPr>
            <w:tcW w:w="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2"/>
              </w:rPr>
              <w:t>% of Total</w:t>
            </w:r>
          </w:p>
        </w:tc>
        <w:tc>
          <w:tcPr>
            <w:tcW w:w="80" w:type="dxa"/>
            <w:vAlign w:val="bottom"/>
          </w:tcPr>
          <w:p>
            <w:pPr>
              <w:spacing w:after="0"/>
              <w:rPr>
                <w:sz w:val="16"/>
                <w:szCs w:val="16"/>
                <w:color w:val="auto"/>
              </w:rPr>
            </w:pPr>
          </w:p>
        </w:tc>
      </w:tr>
      <w:tr>
        <w:trPr>
          <w:trHeight w:val="216"/>
        </w:trPr>
        <w:tc>
          <w:tcPr>
            <w:tcW w:w="3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1"/>
              </w:rPr>
              <w:t>loan</w:t>
            </w:r>
          </w:p>
        </w:tc>
        <w:tc>
          <w:tcPr>
            <w:tcW w:w="1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loan</w:t>
            </w:r>
          </w:p>
        </w:tc>
        <w:tc>
          <w:tcPr>
            <w:tcW w:w="1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loan</w:t>
            </w:r>
          </w:p>
        </w:tc>
      </w:tr>
      <w:tr>
        <w:trPr>
          <w:trHeight w:val="216"/>
        </w:trPr>
        <w:tc>
          <w:tcPr>
            <w:tcW w:w="3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88"/>
              </w:rPr>
              <w:t>commitments</w:t>
            </w:r>
          </w:p>
        </w:tc>
        <w:tc>
          <w:tcPr>
            <w:tcW w:w="1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2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commitments</w:t>
            </w:r>
          </w:p>
        </w:tc>
        <w:tc>
          <w:tcPr>
            <w:tcW w:w="1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3"/>
          </w:tcPr>
          <w:p>
            <w:pPr>
              <w:jc w:val="center"/>
              <w:spacing w:after="0"/>
              <w:rPr>
                <w:sz w:val="20"/>
                <w:szCs w:val="20"/>
                <w:color w:val="auto"/>
              </w:rPr>
            </w:pPr>
            <w:r>
              <w:rPr>
                <w:rFonts w:ascii="Arial" w:cs="Arial" w:eastAsia="Arial" w:hAnsi="Arial"/>
                <w:sz w:val="18"/>
                <w:szCs w:val="18"/>
                <w:b w:val="1"/>
                <w:bCs w:val="1"/>
                <w:color w:val="auto"/>
                <w:w w:val="88"/>
              </w:rPr>
              <w:t>commitments</w:t>
            </w:r>
          </w:p>
        </w:tc>
      </w:tr>
      <w:tr>
        <w:trPr>
          <w:trHeight w:val="216"/>
        </w:trPr>
        <w:tc>
          <w:tcPr>
            <w:tcW w:w="3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and financial</w:t>
            </w:r>
          </w:p>
        </w:tc>
        <w:tc>
          <w:tcPr>
            <w:tcW w:w="1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and financial</w:t>
            </w:r>
          </w:p>
        </w:tc>
        <w:tc>
          <w:tcPr>
            <w:tcW w:w="1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and financial</w:t>
            </w:r>
          </w:p>
        </w:tc>
      </w:tr>
      <w:tr>
        <w:trPr>
          <w:trHeight w:val="216"/>
        </w:trPr>
        <w:tc>
          <w:tcPr>
            <w:tcW w:w="3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guarantee</w:t>
            </w:r>
          </w:p>
        </w:tc>
        <w:tc>
          <w:tcPr>
            <w:tcW w:w="1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guarantee</w:t>
            </w:r>
          </w:p>
        </w:tc>
        <w:tc>
          <w:tcPr>
            <w:tcW w:w="1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guarantee</w:t>
            </w:r>
          </w:p>
        </w:tc>
      </w:tr>
      <w:tr>
        <w:trPr>
          <w:trHeight w:val="234"/>
        </w:trPr>
        <w:tc>
          <w:tcPr>
            <w:tcW w:w="31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4"/>
              </w:rPr>
              <w:t>Amount</w:t>
            </w:r>
          </w:p>
        </w:tc>
        <w:tc>
          <w:tcPr>
            <w:tcW w:w="100" w:type="dxa"/>
            <w:vAlign w:val="bottom"/>
          </w:tcPr>
          <w:p>
            <w:pPr>
              <w:spacing w:after="0"/>
              <w:rPr>
                <w:sz w:val="20"/>
                <w:szCs w:val="20"/>
                <w:color w:val="auto"/>
              </w:rPr>
            </w:pPr>
          </w:p>
        </w:tc>
        <w:tc>
          <w:tcPr>
            <w:tcW w:w="12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6"/>
              </w:rPr>
              <w:t>contracts</w:t>
            </w:r>
          </w:p>
        </w:tc>
        <w:tc>
          <w:tcPr>
            <w:tcW w:w="140" w:type="dxa"/>
            <w:vAlign w:val="bottom"/>
          </w:tcPr>
          <w:p>
            <w:pPr>
              <w:spacing w:after="0"/>
              <w:rPr>
                <w:sz w:val="20"/>
                <w:szCs w:val="20"/>
                <w:color w:val="auto"/>
              </w:rPr>
            </w:pPr>
          </w:p>
        </w:tc>
        <w:tc>
          <w:tcPr>
            <w:tcW w:w="860" w:type="dxa"/>
            <w:vAlign w:val="bottom"/>
            <w:gridSpan w:val="2"/>
          </w:tcPr>
          <w:p>
            <w:pPr>
              <w:spacing w:after="0"/>
              <w:rPr>
                <w:sz w:val="20"/>
                <w:szCs w:val="20"/>
                <w:color w:val="auto"/>
              </w:rPr>
            </w:pPr>
            <w:r>
              <w:rPr>
                <w:rFonts w:ascii="Arial" w:cs="Arial" w:eastAsia="Arial" w:hAnsi="Arial"/>
                <w:sz w:val="18"/>
                <w:szCs w:val="18"/>
                <w:b w:val="1"/>
                <w:bCs w:val="1"/>
                <w:color w:val="auto"/>
              </w:rPr>
              <w:t>Amount</w:t>
            </w:r>
          </w:p>
        </w:tc>
        <w:tc>
          <w:tcPr>
            <w:tcW w:w="100" w:type="dxa"/>
            <w:vAlign w:val="bottom"/>
          </w:tcPr>
          <w:p>
            <w:pPr>
              <w:spacing w:after="0"/>
              <w:rPr>
                <w:sz w:val="20"/>
                <w:szCs w:val="20"/>
                <w:color w:val="auto"/>
              </w:rPr>
            </w:pP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contracts</w:t>
            </w:r>
          </w:p>
        </w:tc>
        <w:tc>
          <w:tcPr>
            <w:tcW w:w="120" w:type="dxa"/>
            <w:vAlign w:val="bottom"/>
          </w:tcPr>
          <w:p>
            <w:pPr>
              <w:spacing w:after="0"/>
              <w:rPr>
                <w:sz w:val="20"/>
                <w:szCs w:val="20"/>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1"/>
              </w:rPr>
              <w:t>Amount</w:t>
            </w:r>
          </w:p>
        </w:tc>
        <w:tc>
          <w:tcPr>
            <w:tcW w:w="100" w:type="dxa"/>
            <w:vAlign w:val="bottom"/>
          </w:tcPr>
          <w:p>
            <w:pPr>
              <w:spacing w:after="0"/>
              <w:rPr>
                <w:sz w:val="20"/>
                <w:szCs w:val="20"/>
                <w:color w:val="auto"/>
              </w:rPr>
            </w:pPr>
          </w:p>
        </w:tc>
        <w:tc>
          <w:tcPr>
            <w:tcW w:w="11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contracts</w:t>
            </w:r>
          </w:p>
        </w:tc>
      </w:tr>
      <w:tr>
        <w:trPr>
          <w:trHeight w:val="210"/>
        </w:trPr>
        <w:tc>
          <w:tcPr>
            <w:tcW w:w="3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340" w:type="dxa"/>
            <w:vAlign w:val="bottom"/>
            <w:tcBorders>
              <w:top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(in $</w:t>
            </w:r>
          </w:p>
        </w:tc>
        <w:tc>
          <w:tcPr>
            <w:tcW w:w="2300" w:type="dxa"/>
            <w:vAlign w:val="bottom"/>
            <w:tcBorders>
              <w:top w:val="single" w:sz="8" w:color="auto"/>
            </w:tcBorders>
            <w:gridSpan w:val="6"/>
          </w:tcPr>
          <w:p>
            <w:pPr>
              <w:jc w:val="right"/>
              <w:spacing w:after="0"/>
              <w:rPr>
                <w:sz w:val="20"/>
                <w:szCs w:val="20"/>
                <w:color w:val="auto"/>
              </w:rPr>
            </w:pPr>
            <w:r>
              <w:rPr>
                <w:rFonts w:ascii="Arial" w:cs="Arial" w:eastAsia="Arial" w:hAnsi="Arial"/>
                <w:sz w:val="18"/>
                <w:szCs w:val="18"/>
                <w:b w:val="1"/>
                <w:bCs w:val="1"/>
                <w:color w:val="auto"/>
                <w:w w:val="88"/>
              </w:rPr>
              <w:t>millions, except percentages)</w:t>
            </w:r>
          </w:p>
        </w:tc>
        <w:tc>
          <w:tcPr>
            <w:tcW w:w="78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198"/>
        </w:trPr>
        <w:tc>
          <w:tcPr>
            <w:tcW w:w="31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Loan commitments and financial</w:t>
            </w:r>
          </w:p>
        </w:tc>
        <w:tc>
          <w:tcPr>
            <w:tcW w:w="2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tcBorders>
              <w:right w:val="single" w:sz="8" w:color="CCEEFF"/>
            </w:tcBorders>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4"/>
        </w:trPr>
        <w:tc>
          <w:tcPr>
            <w:tcW w:w="31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guarantee contracts</w:t>
            </w:r>
          </w:p>
        </w:tc>
        <w:tc>
          <w:tcPr>
            <w:tcW w:w="2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40" w:type="dxa"/>
            <w:vAlign w:val="bottom"/>
            <w:tcBorders>
              <w:right w:val="single" w:sz="8" w:color="CCEEFF"/>
            </w:tcBorders>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Argentina</w:t>
            </w:r>
          </w:p>
        </w:tc>
        <w:tc>
          <w:tcPr>
            <w:tcW w:w="3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8</w:t>
            </w:r>
          </w:p>
        </w:tc>
        <w:tc>
          <w:tcPr>
            <w:tcW w:w="1300" w:type="dxa"/>
            <w:vAlign w:val="bottom"/>
            <w:gridSpan w:val="3"/>
          </w:tcPr>
          <w:p>
            <w:pPr>
              <w:jc w:val="right"/>
              <w:ind w:right="180"/>
              <w:spacing w:after="0"/>
              <w:rPr>
                <w:sz w:val="20"/>
                <w:szCs w:val="20"/>
                <w:color w:val="auto"/>
              </w:rPr>
            </w:pPr>
            <w:r>
              <w:rPr>
                <w:rFonts w:ascii="Arial" w:cs="Arial" w:eastAsia="Arial" w:hAnsi="Arial"/>
                <w:sz w:val="18"/>
                <w:szCs w:val="18"/>
                <w:color w:val="auto"/>
              </w:rPr>
              <w:t>1.5</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8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200"/>
              <w:spacing w:after="0"/>
              <w:rPr>
                <w:sz w:val="20"/>
                <w:szCs w:val="20"/>
                <w:color w:val="auto"/>
              </w:rPr>
            </w:pPr>
            <w:r>
              <w:rPr>
                <w:rFonts w:ascii="Arial" w:cs="Arial" w:eastAsia="Arial" w:hAnsi="Arial"/>
                <w:sz w:val="18"/>
                <w:szCs w:val="18"/>
                <w:color w:val="auto"/>
              </w:rPr>
              <w:t>0.0</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10</w:t>
            </w:r>
          </w:p>
        </w:tc>
        <w:tc>
          <w:tcPr>
            <w:tcW w:w="10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2.3</w:t>
            </w:r>
          </w:p>
        </w:tc>
        <w:tc>
          <w:tcPr>
            <w:tcW w:w="80" w:type="dxa"/>
            <w:vAlign w:val="bottom"/>
          </w:tcPr>
          <w:p>
            <w:pPr>
              <w:spacing w:after="0"/>
              <w:rPr>
                <w:sz w:val="18"/>
                <w:szCs w:val="18"/>
                <w:color w:val="auto"/>
              </w:rPr>
            </w:pPr>
          </w:p>
        </w:tc>
      </w:tr>
      <w:tr>
        <w:trPr>
          <w:trHeight w:val="216"/>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Bolivia</w:t>
            </w: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0.0</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0.1</w:t>
            </w: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114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0.3</w:t>
            </w:r>
          </w:p>
        </w:tc>
        <w:tc>
          <w:tcPr>
            <w:tcW w:w="80" w:type="dxa"/>
            <w:vAlign w:val="bottom"/>
            <w:shd w:val="clear" w:color="auto" w:fill="CCEEFF"/>
          </w:tcPr>
          <w:p>
            <w:pPr>
              <w:spacing w:after="0"/>
              <w:rPr>
                <w:sz w:val="18"/>
                <w:szCs w:val="18"/>
                <w:color w:val="auto"/>
              </w:rPr>
            </w:pP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Brazil</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300" w:type="dxa"/>
            <w:vAlign w:val="bottom"/>
            <w:gridSpan w:val="3"/>
          </w:tcPr>
          <w:p>
            <w:pPr>
              <w:jc w:val="right"/>
              <w:ind w:right="180"/>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18"/>
                <w:szCs w:val="18"/>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20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17</w:t>
            </w:r>
          </w:p>
        </w:tc>
        <w:tc>
          <w:tcPr>
            <w:tcW w:w="10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3.9</w:t>
            </w:r>
          </w:p>
        </w:tc>
        <w:tc>
          <w:tcPr>
            <w:tcW w:w="80" w:type="dxa"/>
            <w:vAlign w:val="bottom"/>
          </w:tcPr>
          <w:p>
            <w:pPr>
              <w:spacing w:after="0"/>
              <w:rPr>
                <w:sz w:val="18"/>
                <w:szCs w:val="18"/>
                <w:color w:val="auto"/>
              </w:rPr>
            </w:pPr>
          </w:p>
        </w:tc>
      </w:tr>
      <w:tr>
        <w:trPr>
          <w:trHeight w:val="216"/>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Canada</w:t>
            </w: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0.1</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14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80" w:type="dxa"/>
            <w:vAlign w:val="bottom"/>
            <w:shd w:val="clear" w:color="auto" w:fill="CCEEFF"/>
          </w:tcPr>
          <w:p>
            <w:pPr>
              <w:spacing w:after="0"/>
              <w:rPr>
                <w:sz w:val="18"/>
                <w:szCs w:val="18"/>
                <w:color w:val="auto"/>
              </w:rPr>
            </w:pP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Chile</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15</w:t>
            </w:r>
          </w:p>
        </w:tc>
        <w:tc>
          <w:tcPr>
            <w:tcW w:w="100" w:type="dxa"/>
            <w:vAlign w:val="bottom"/>
          </w:tcPr>
          <w:p>
            <w:pPr>
              <w:spacing w:after="0"/>
              <w:rPr>
                <w:sz w:val="18"/>
                <w:szCs w:val="18"/>
                <w:color w:val="auto"/>
              </w:rPr>
            </w:pPr>
          </w:p>
        </w:tc>
        <w:tc>
          <w:tcPr>
            <w:tcW w:w="1300" w:type="dxa"/>
            <w:vAlign w:val="bottom"/>
            <w:gridSpan w:val="3"/>
          </w:tcPr>
          <w:p>
            <w:pPr>
              <w:jc w:val="right"/>
              <w:ind w:right="180"/>
              <w:spacing w:after="0"/>
              <w:rPr>
                <w:sz w:val="20"/>
                <w:szCs w:val="20"/>
                <w:color w:val="auto"/>
              </w:rPr>
            </w:pPr>
            <w:r>
              <w:rPr>
                <w:rFonts w:ascii="Arial" w:cs="Arial" w:eastAsia="Arial" w:hAnsi="Arial"/>
                <w:sz w:val="18"/>
                <w:szCs w:val="18"/>
                <w:color w:val="auto"/>
              </w:rPr>
              <w:t>3.1</w:t>
            </w:r>
          </w:p>
        </w:tc>
        <w:tc>
          <w:tcPr>
            <w:tcW w:w="140" w:type="dxa"/>
            <w:vAlign w:val="bottom"/>
          </w:tcPr>
          <w:p>
            <w:pPr>
              <w:spacing w:after="0"/>
              <w:rPr>
                <w:sz w:val="18"/>
                <w:szCs w:val="18"/>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20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0.0</w:t>
            </w:r>
          </w:p>
        </w:tc>
        <w:tc>
          <w:tcPr>
            <w:tcW w:w="80" w:type="dxa"/>
            <w:vAlign w:val="bottom"/>
          </w:tcPr>
          <w:p>
            <w:pPr>
              <w:spacing w:after="0"/>
              <w:rPr>
                <w:sz w:val="18"/>
                <w:szCs w:val="18"/>
                <w:color w:val="auto"/>
              </w:rPr>
            </w:pPr>
          </w:p>
        </w:tc>
      </w:tr>
      <w:tr>
        <w:trPr>
          <w:trHeight w:val="216"/>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Colombia</w:t>
            </w: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w:t>
            </w:r>
          </w:p>
        </w:tc>
        <w:tc>
          <w:tcPr>
            <w:tcW w:w="10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18.7</w:t>
            </w: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80" w:type="dxa"/>
            <w:vAlign w:val="bottom"/>
            <w:shd w:val="clear" w:color="auto" w:fill="CCEEFF"/>
          </w:tcPr>
          <w:p>
            <w:pPr>
              <w:spacing w:after="0"/>
              <w:rPr>
                <w:sz w:val="18"/>
                <w:szCs w:val="18"/>
                <w:color w:val="auto"/>
              </w:rPr>
            </w:pP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19.6</w:t>
            </w: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w:t>
            </w:r>
          </w:p>
        </w:tc>
        <w:tc>
          <w:tcPr>
            <w:tcW w:w="100" w:type="dxa"/>
            <w:vAlign w:val="bottom"/>
            <w:shd w:val="clear" w:color="auto" w:fill="CCEEFF"/>
          </w:tcPr>
          <w:p>
            <w:pPr>
              <w:spacing w:after="0"/>
              <w:rPr>
                <w:sz w:val="18"/>
                <w:szCs w:val="18"/>
                <w:color w:val="auto"/>
              </w:rPr>
            </w:pPr>
          </w:p>
        </w:tc>
        <w:tc>
          <w:tcPr>
            <w:tcW w:w="114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21.5</w:t>
            </w:r>
          </w:p>
        </w:tc>
        <w:tc>
          <w:tcPr>
            <w:tcW w:w="80" w:type="dxa"/>
            <w:vAlign w:val="bottom"/>
            <w:shd w:val="clear" w:color="auto" w:fill="CCEEFF"/>
          </w:tcPr>
          <w:p>
            <w:pPr>
              <w:spacing w:after="0"/>
              <w:rPr>
                <w:sz w:val="18"/>
                <w:szCs w:val="18"/>
                <w:color w:val="auto"/>
              </w:rPr>
            </w:pP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Costa Rica</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20</w:t>
            </w:r>
          </w:p>
        </w:tc>
        <w:tc>
          <w:tcPr>
            <w:tcW w:w="100" w:type="dxa"/>
            <w:vAlign w:val="bottom"/>
          </w:tcPr>
          <w:p>
            <w:pPr>
              <w:spacing w:after="0"/>
              <w:rPr>
                <w:sz w:val="18"/>
                <w:szCs w:val="18"/>
                <w:color w:val="auto"/>
              </w:rPr>
            </w:pPr>
          </w:p>
        </w:tc>
        <w:tc>
          <w:tcPr>
            <w:tcW w:w="1300" w:type="dxa"/>
            <w:vAlign w:val="bottom"/>
            <w:gridSpan w:val="3"/>
          </w:tcPr>
          <w:p>
            <w:pPr>
              <w:jc w:val="right"/>
              <w:ind w:right="180"/>
              <w:spacing w:after="0"/>
              <w:rPr>
                <w:sz w:val="20"/>
                <w:szCs w:val="20"/>
                <w:color w:val="auto"/>
              </w:rPr>
            </w:pPr>
            <w:r>
              <w:rPr>
                <w:rFonts w:ascii="Arial" w:cs="Arial" w:eastAsia="Arial" w:hAnsi="Arial"/>
                <w:sz w:val="18"/>
                <w:szCs w:val="18"/>
                <w:color w:val="auto"/>
              </w:rPr>
              <w:t>4.1</w:t>
            </w:r>
          </w:p>
        </w:tc>
        <w:tc>
          <w:tcPr>
            <w:tcW w:w="140" w:type="dxa"/>
            <w:vAlign w:val="bottom"/>
          </w:tcPr>
          <w:p>
            <w:pPr>
              <w:spacing w:after="0"/>
              <w:rPr>
                <w:sz w:val="18"/>
                <w:szCs w:val="18"/>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8"/>
                <w:szCs w:val="18"/>
                <w:color w:val="auto"/>
              </w:rPr>
              <w:t>2</w:t>
            </w:r>
          </w:p>
        </w:tc>
        <w:tc>
          <w:tcPr>
            <w:tcW w:w="1320" w:type="dxa"/>
            <w:vAlign w:val="bottom"/>
            <w:gridSpan w:val="3"/>
          </w:tcPr>
          <w:p>
            <w:pPr>
              <w:jc w:val="right"/>
              <w:ind w:right="200"/>
              <w:spacing w:after="0"/>
              <w:rPr>
                <w:sz w:val="20"/>
                <w:szCs w:val="20"/>
                <w:color w:val="auto"/>
              </w:rPr>
            </w:pPr>
            <w:r>
              <w:rPr>
                <w:rFonts w:ascii="Arial" w:cs="Arial" w:eastAsia="Arial" w:hAnsi="Arial"/>
                <w:sz w:val="18"/>
                <w:szCs w:val="18"/>
                <w:color w:val="auto"/>
              </w:rPr>
              <w:t>0.6</w:t>
            </w:r>
          </w:p>
        </w:tc>
        <w:tc>
          <w:tcPr>
            <w:tcW w:w="12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0.0</w:t>
            </w:r>
          </w:p>
        </w:tc>
        <w:tc>
          <w:tcPr>
            <w:tcW w:w="80" w:type="dxa"/>
            <w:vAlign w:val="bottom"/>
          </w:tcPr>
          <w:p>
            <w:pPr>
              <w:spacing w:after="0"/>
              <w:rPr>
                <w:sz w:val="18"/>
                <w:szCs w:val="18"/>
                <w:color w:val="auto"/>
              </w:rPr>
            </w:pPr>
          </w:p>
        </w:tc>
      </w:tr>
      <w:tr>
        <w:trPr>
          <w:trHeight w:val="216"/>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Dominican Republic</w:t>
            </w: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0.0</w:t>
            </w: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w:t>
            </w:r>
          </w:p>
        </w:tc>
        <w:tc>
          <w:tcPr>
            <w:tcW w:w="80" w:type="dxa"/>
            <w:vAlign w:val="bottom"/>
            <w:shd w:val="clear" w:color="auto" w:fill="CCEEFF"/>
          </w:tcPr>
          <w:p>
            <w:pPr>
              <w:spacing w:after="0"/>
              <w:rPr>
                <w:sz w:val="18"/>
                <w:szCs w:val="18"/>
                <w:color w:val="auto"/>
              </w:rPr>
            </w:pP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6.6</w:t>
            </w: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w:t>
            </w:r>
          </w:p>
        </w:tc>
        <w:tc>
          <w:tcPr>
            <w:tcW w:w="114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80" w:type="dxa"/>
            <w:vAlign w:val="bottom"/>
            <w:shd w:val="clear" w:color="auto" w:fill="CCEEFF"/>
          </w:tcPr>
          <w:p>
            <w:pPr>
              <w:spacing w:after="0"/>
              <w:rPr>
                <w:sz w:val="18"/>
                <w:szCs w:val="18"/>
                <w:color w:val="auto"/>
              </w:rPr>
            </w:pP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Ecuador</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253</w:t>
            </w:r>
          </w:p>
        </w:tc>
        <w:tc>
          <w:tcPr>
            <w:tcW w:w="1300" w:type="dxa"/>
            <w:vAlign w:val="bottom"/>
            <w:gridSpan w:val="3"/>
          </w:tcPr>
          <w:p>
            <w:pPr>
              <w:jc w:val="right"/>
              <w:ind w:right="180"/>
              <w:spacing w:after="0"/>
              <w:rPr>
                <w:sz w:val="20"/>
                <w:szCs w:val="20"/>
                <w:color w:val="auto"/>
              </w:rPr>
            </w:pPr>
            <w:r>
              <w:rPr>
                <w:rFonts w:ascii="Arial" w:cs="Arial" w:eastAsia="Arial" w:hAnsi="Arial"/>
                <w:sz w:val="18"/>
                <w:szCs w:val="18"/>
                <w:color w:val="auto"/>
              </w:rPr>
              <w:t>51.9</w:t>
            </w:r>
          </w:p>
        </w:tc>
        <w:tc>
          <w:tcPr>
            <w:tcW w:w="140" w:type="dxa"/>
            <w:vAlign w:val="bottom"/>
          </w:tcPr>
          <w:p>
            <w:pPr>
              <w:spacing w:after="0"/>
              <w:rPr>
                <w:sz w:val="18"/>
                <w:szCs w:val="18"/>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8"/>
                <w:szCs w:val="18"/>
                <w:color w:val="auto"/>
              </w:rPr>
              <w:t>173</w:t>
            </w:r>
          </w:p>
        </w:tc>
        <w:tc>
          <w:tcPr>
            <w:tcW w:w="1320" w:type="dxa"/>
            <w:vAlign w:val="bottom"/>
            <w:gridSpan w:val="3"/>
          </w:tcPr>
          <w:p>
            <w:pPr>
              <w:jc w:val="right"/>
              <w:ind w:right="200"/>
              <w:spacing w:after="0"/>
              <w:rPr>
                <w:sz w:val="20"/>
                <w:szCs w:val="20"/>
                <w:color w:val="auto"/>
              </w:rPr>
            </w:pPr>
            <w:r>
              <w:rPr>
                <w:rFonts w:ascii="Arial" w:cs="Arial" w:eastAsia="Arial" w:hAnsi="Arial"/>
                <w:sz w:val="18"/>
                <w:szCs w:val="18"/>
                <w:color w:val="auto"/>
              </w:rPr>
              <w:t>42.8</w:t>
            </w:r>
          </w:p>
        </w:tc>
        <w:tc>
          <w:tcPr>
            <w:tcW w:w="1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89</w:t>
            </w:r>
          </w:p>
        </w:tc>
        <w:tc>
          <w:tcPr>
            <w:tcW w:w="10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19.8</w:t>
            </w:r>
          </w:p>
        </w:tc>
        <w:tc>
          <w:tcPr>
            <w:tcW w:w="80" w:type="dxa"/>
            <w:vAlign w:val="bottom"/>
          </w:tcPr>
          <w:p>
            <w:pPr>
              <w:spacing w:after="0"/>
              <w:rPr>
                <w:sz w:val="18"/>
                <w:szCs w:val="18"/>
                <w:color w:val="auto"/>
              </w:rPr>
            </w:pPr>
          </w:p>
        </w:tc>
      </w:tr>
      <w:tr>
        <w:trPr>
          <w:trHeight w:val="216"/>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El Salvador</w:t>
            </w: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0.2</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w:t>
            </w: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0.3</w:t>
            </w: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14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80" w:type="dxa"/>
            <w:vAlign w:val="bottom"/>
            <w:shd w:val="clear" w:color="auto" w:fill="CCEEFF"/>
          </w:tcPr>
          <w:p>
            <w:pPr>
              <w:spacing w:after="0"/>
              <w:rPr>
                <w:sz w:val="18"/>
                <w:szCs w:val="18"/>
                <w:color w:val="auto"/>
              </w:rPr>
            </w:pP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Guatemala</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12</w:t>
            </w:r>
          </w:p>
        </w:tc>
        <w:tc>
          <w:tcPr>
            <w:tcW w:w="100" w:type="dxa"/>
            <w:vAlign w:val="bottom"/>
          </w:tcPr>
          <w:p>
            <w:pPr>
              <w:spacing w:after="0"/>
              <w:rPr>
                <w:sz w:val="18"/>
                <w:szCs w:val="18"/>
                <w:color w:val="auto"/>
              </w:rPr>
            </w:pPr>
          </w:p>
        </w:tc>
        <w:tc>
          <w:tcPr>
            <w:tcW w:w="1300" w:type="dxa"/>
            <w:vAlign w:val="bottom"/>
            <w:gridSpan w:val="3"/>
          </w:tcPr>
          <w:p>
            <w:pPr>
              <w:jc w:val="right"/>
              <w:ind w:right="180"/>
              <w:spacing w:after="0"/>
              <w:rPr>
                <w:sz w:val="20"/>
                <w:szCs w:val="20"/>
                <w:color w:val="auto"/>
              </w:rPr>
            </w:pPr>
            <w:r>
              <w:rPr>
                <w:rFonts w:ascii="Arial" w:cs="Arial" w:eastAsia="Arial" w:hAnsi="Arial"/>
                <w:sz w:val="18"/>
                <w:szCs w:val="18"/>
                <w:color w:val="auto"/>
              </w:rPr>
              <w:t>2.4</w:t>
            </w:r>
          </w:p>
        </w:tc>
        <w:tc>
          <w:tcPr>
            <w:tcW w:w="140" w:type="dxa"/>
            <w:vAlign w:val="bottom"/>
          </w:tcPr>
          <w:p>
            <w:pPr>
              <w:spacing w:after="0"/>
              <w:rPr>
                <w:sz w:val="18"/>
                <w:szCs w:val="18"/>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8"/>
                <w:szCs w:val="18"/>
                <w:color w:val="auto"/>
              </w:rPr>
              <w:t>7</w:t>
            </w:r>
          </w:p>
        </w:tc>
        <w:tc>
          <w:tcPr>
            <w:tcW w:w="1320" w:type="dxa"/>
            <w:vAlign w:val="bottom"/>
            <w:gridSpan w:val="3"/>
          </w:tcPr>
          <w:p>
            <w:pPr>
              <w:jc w:val="right"/>
              <w:ind w:right="200"/>
              <w:spacing w:after="0"/>
              <w:rPr>
                <w:sz w:val="20"/>
                <w:szCs w:val="20"/>
                <w:color w:val="auto"/>
              </w:rPr>
            </w:pPr>
            <w:r>
              <w:rPr>
                <w:rFonts w:ascii="Arial" w:cs="Arial" w:eastAsia="Arial" w:hAnsi="Arial"/>
                <w:sz w:val="18"/>
                <w:szCs w:val="18"/>
                <w:color w:val="auto"/>
              </w:rPr>
              <w:t>1.7</w:t>
            </w:r>
          </w:p>
        </w:tc>
        <w:tc>
          <w:tcPr>
            <w:tcW w:w="12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0.0</w:t>
            </w:r>
          </w:p>
        </w:tc>
        <w:tc>
          <w:tcPr>
            <w:tcW w:w="80" w:type="dxa"/>
            <w:vAlign w:val="bottom"/>
          </w:tcPr>
          <w:p>
            <w:pPr>
              <w:spacing w:after="0"/>
              <w:rPr>
                <w:sz w:val="18"/>
                <w:szCs w:val="18"/>
                <w:color w:val="auto"/>
              </w:rPr>
            </w:pPr>
          </w:p>
        </w:tc>
      </w:tr>
      <w:tr>
        <w:trPr>
          <w:trHeight w:val="216"/>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0.2</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w:t>
            </w: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0.3</w:t>
            </w: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114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80" w:type="dxa"/>
            <w:vAlign w:val="bottom"/>
            <w:shd w:val="clear" w:color="auto" w:fill="CCEEFF"/>
          </w:tcPr>
          <w:p>
            <w:pPr>
              <w:spacing w:after="0"/>
              <w:rPr>
                <w:sz w:val="18"/>
                <w:szCs w:val="18"/>
                <w:color w:val="auto"/>
              </w:rPr>
            </w:pP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Jamaica</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300" w:type="dxa"/>
            <w:vAlign w:val="bottom"/>
            <w:gridSpan w:val="3"/>
          </w:tcPr>
          <w:p>
            <w:pPr>
              <w:jc w:val="right"/>
              <w:ind w:right="180"/>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18"/>
                <w:szCs w:val="18"/>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20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0.0</w:t>
            </w:r>
          </w:p>
        </w:tc>
        <w:tc>
          <w:tcPr>
            <w:tcW w:w="80" w:type="dxa"/>
            <w:vAlign w:val="bottom"/>
          </w:tcPr>
          <w:p>
            <w:pPr>
              <w:spacing w:after="0"/>
              <w:rPr>
                <w:sz w:val="18"/>
                <w:szCs w:val="18"/>
                <w:color w:val="auto"/>
              </w:rPr>
            </w:pPr>
          </w:p>
        </w:tc>
      </w:tr>
      <w:tr>
        <w:trPr>
          <w:trHeight w:val="216"/>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10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7.2</w:t>
            </w: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80" w:type="dxa"/>
            <w:vAlign w:val="bottom"/>
            <w:shd w:val="clear" w:color="auto" w:fill="CCEEFF"/>
          </w:tcPr>
          <w:p>
            <w:pPr>
              <w:spacing w:after="0"/>
              <w:rPr>
                <w:sz w:val="18"/>
                <w:szCs w:val="18"/>
                <w:color w:val="auto"/>
              </w:rPr>
            </w:pP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2.8</w:t>
            </w: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w:t>
            </w:r>
          </w:p>
        </w:tc>
        <w:tc>
          <w:tcPr>
            <w:tcW w:w="100" w:type="dxa"/>
            <w:vAlign w:val="bottom"/>
            <w:shd w:val="clear" w:color="auto" w:fill="CCEEFF"/>
          </w:tcPr>
          <w:p>
            <w:pPr>
              <w:spacing w:after="0"/>
              <w:rPr>
                <w:sz w:val="18"/>
                <w:szCs w:val="18"/>
                <w:color w:val="auto"/>
              </w:rPr>
            </w:pPr>
          </w:p>
        </w:tc>
        <w:tc>
          <w:tcPr>
            <w:tcW w:w="114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10.5</w:t>
            </w:r>
          </w:p>
        </w:tc>
        <w:tc>
          <w:tcPr>
            <w:tcW w:w="80" w:type="dxa"/>
            <w:vAlign w:val="bottom"/>
            <w:shd w:val="clear" w:color="auto" w:fill="CCEEFF"/>
          </w:tcPr>
          <w:p>
            <w:pPr>
              <w:spacing w:after="0"/>
              <w:rPr>
                <w:sz w:val="18"/>
                <w:szCs w:val="18"/>
                <w:color w:val="auto"/>
              </w:rPr>
            </w:pP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Panama</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31</w:t>
            </w:r>
          </w:p>
        </w:tc>
        <w:tc>
          <w:tcPr>
            <w:tcW w:w="100" w:type="dxa"/>
            <w:vAlign w:val="bottom"/>
          </w:tcPr>
          <w:p>
            <w:pPr>
              <w:spacing w:after="0"/>
              <w:rPr>
                <w:sz w:val="18"/>
                <w:szCs w:val="18"/>
                <w:color w:val="auto"/>
              </w:rPr>
            </w:pPr>
          </w:p>
        </w:tc>
        <w:tc>
          <w:tcPr>
            <w:tcW w:w="1300" w:type="dxa"/>
            <w:vAlign w:val="bottom"/>
            <w:gridSpan w:val="3"/>
          </w:tcPr>
          <w:p>
            <w:pPr>
              <w:jc w:val="right"/>
              <w:ind w:right="180"/>
              <w:spacing w:after="0"/>
              <w:rPr>
                <w:sz w:val="20"/>
                <w:szCs w:val="20"/>
                <w:color w:val="auto"/>
              </w:rPr>
            </w:pPr>
            <w:r>
              <w:rPr>
                <w:rFonts w:ascii="Arial" w:cs="Arial" w:eastAsia="Arial" w:hAnsi="Arial"/>
                <w:sz w:val="18"/>
                <w:szCs w:val="18"/>
                <w:color w:val="auto"/>
              </w:rPr>
              <w:t>6.4</w:t>
            </w:r>
          </w:p>
        </w:tc>
        <w:tc>
          <w:tcPr>
            <w:tcW w:w="1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40</w:t>
            </w:r>
          </w:p>
        </w:tc>
        <w:tc>
          <w:tcPr>
            <w:tcW w:w="80" w:type="dxa"/>
            <w:vAlign w:val="bottom"/>
          </w:tcPr>
          <w:p>
            <w:pPr>
              <w:spacing w:after="0"/>
              <w:rPr>
                <w:sz w:val="18"/>
                <w:szCs w:val="18"/>
                <w:color w:val="auto"/>
              </w:rPr>
            </w:pPr>
          </w:p>
        </w:tc>
        <w:tc>
          <w:tcPr>
            <w:tcW w:w="1320" w:type="dxa"/>
            <w:vAlign w:val="bottom"/>
            <w:gridSpan w:val="3"/>
          </w:tcPr>
          <w:p>
            <w:pPr>
              <w:jc w:val="right"/>
              <w:ind w:right="200"/>
              <w:spacing w:after="0"/>
              <w:rPr>
                <w:sz w:val="20"/>
                <w:szCs w:val="20"/>
                <w:color w:val="auto"/>
              </w:rPr>
            </w:pPr>
            <w:r>
              <w:rPr>
                <w:rFonts w:ascii="Arial" w:cs="Arial" w:eastAsia="Arial" w:hAnsi="Arial"/>
                <w:sz w:val="18"/>
                <w:szCs w:val="18"/>
                <w:color w:val="auto"/>
              </w:rPr>
              <w:t>9.9</w:t>
            </w:r>
          </w:p>
        </w:tc>
        <w:tc>
          <w:tcPr>
            <w:tcW w:w="12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136</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30.4</w:t>
            </w:r>
          </w:p>
        </w:tc>
        <w:tc>
          <w:tcPr>
            <w:tcW w:w="80" w:type="dxa"/>
            <w:vAlign w:val="bottom"/>
          </w:tcPr>
          <w:p>
            <w:pPr>
              <w:spacing w:after="0"/>
              <w:rPr>
                <w:sz w:val="18"/>
                <w:szCs w:val="18"/>
                <w:color w:val="auto"/>
              </w:rPr>
            </w:pPr>
          </w:p>
        </w:tc>
      </w:tr>
      <w:tr>
        <w:trPr>
          <w:trHeight w:val="216"/>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Paraguay</w:t>
            </w: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0.0</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14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80" w:type="dxa"/>
            <w:vAlign w:val="bottom"/>
            <w:shd w:val="clear" w:color="auto" w:fill="CCEEFF"/>
          </w:tcPr>
          <w:p>
            <w:pPr>
              <w:spacing w:after="0"/>
              <w:rPr>
                <w:sz w:val="18"/>
                <w:szCs w:val="18"/>
                <w:color w:val="auto"/>
              </w:rPr>
            </w:pP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Peru</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18</w:t>
            </w:r>
          </w:p>
        </w:tc>
        <w:tc>
          <w:tcPr>
            <w:tcW w:w="100" w:type="dxa"/>
            <w:vAlign w:val="bottom"/>
          </w:tcPr>
          <w:p>
            <w:pPr>
              <w:spacing w:after="0"/>
              <w:rPr>
                <w:sz w:val="18"/>
                <w:szCs w:val="18"/>
                <w:color w:val="auto"/>
              </w:rPr>
            </w:pPr>
          </w:p>
        </w:tc>
        <w:tc>
          <w:tcPr>
            <w:tcW w:w="1300" w:type="dxa"/>
            <w:vAlign w:val="bottom"/>
            <w:gridSpan w:val="3"/>
          </w:tcPr>
          <w:p>
            <w:pPr>
              <w:jc w:val="right"/>
              <w:ind w:right="180"/>
              <w:spacing w:after="0"/>
              <w:rPr>
                <w:sz w:val="20"/>
                <w:szCs w:val="20"/>
                <w:color w:val="auto"/>
              </w:rPr>
            </w:pPr>
            <w:r>
              <w:rPr>
                <w:rFonts w:ascii="Arial" w:cs="Arial" w:eastAsia="Arial" w:hAnsi="Arial"/>
                <w:sz w:val="18"/>
                <w:szCs w:val="18"/>
                <w:color w:val="auto"/>
              </w:rPr>
              <w:t>3.6</w:t>
            </w:r>
          </w:p>
        </w:tc>
        <w:tc>
          <w:tcPr>
            <w:tcW w:w="1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43</w:t>
            </w:r>
          </w:p>
        </w:tc>
        <w:tc>
          <w:tcPr>
            <w:tcW w:w="80" w:type="dxa"/>
            <w:vAlign w:val="bottom"/>
          </w:tcPr>
          <w:p>
            <w:pPr>
              <w:spacing w:after="0"/>
              <w:rPr>
                <w:sz w:val="18"/>
                <w:szCs w:val="18"/>
                <w:color w:val="auto"/>
              </w:rPr>
            </w:pPr>
          </w:p>
        </w:tc>
        <w:tc>
          <w:tcPr>
            <w:tcW w:w="1320" w:type="dxa"/>
            <w:vAlign w:val="bottom"/>
            <w:gridSpan w:val="3"/>
          </w:tcPr>
          <w:p>
            <w:pPr>
              <w:jc w:val="right"/>
              <w:ind w:right="200"/>
              <w:spacing w:after="0"/>
              <w:rPr>
                <w:sz w:val="20"/>
                <w:szCs w:val="20"/>
                <w:color w:val="auto"/>
              </w:rPr>
            </w:pPr>
            <w:r>
              <w:rPr>
                <w:rFonts w:ascii="Arial" w:cs="Arial" w:eastAsia="Arial" w:hAnsi="Arial"/>
                <w:sz w:val="18"/>
                <w:szCs w:val="18"/>
                <w:color w:val="auto"/>
              </w:rPr>
              <w:t>10.6</w:t>
            </w:r>
          </w:p>
        </w:tc>
        <w:tc>
          <w:tcPr>
            <w:tcW w:w="1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19</w:t>
            </w:r>
          </w:p>
        </w:tc>
        <w:tc>
          <w:tcPr>
            <w:tcW w:w="10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4.2</w:t>
            </w:r>
          </w:p>
        </w:tc>
        <w:tc>
          <w:tcPr>
            <w:tcW w:w="80" w:type="dxa"/>
            <w:vAlign w:val="bottom"/>
          </w:tcPr>
          <w:p>
            <w:pPr>
              <w:spacing w:after="0"/>
              <w:rPr>
                <w:sz w:val="18"/>
                <w:szCs w:val="18"/>
                <w:color w:val="auto"/>
              </w:rPr>
            </w:pPr>
          </w:p>
        </w:tc>
      </w:tr>
      <w:tr>
        <w:trPr>
          <w:trHeight w:val="216"/>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Singapore</w:t>
            </w: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0.0</w:t>
            </w: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w:t>
            </w:r>
          </w:p>
        </w:tc>
        <w:tc>
          <w:tcPr>
            <w:tcW w:w="100" w:type="dxa"/>
            <w:vAlign w:val="bottom"/>
            <w:shd w:val="clear" w:color="auto" w:fill="CCEEFF"/>
          </w:tcPr>
          <w:p>
            <w:pPr>
              <w:spacing w:after="0"/>
              <w:rPr>
                <w:sz w:val="18"/>
                <w:szCs w:val="18"/>
                <w:color w:val="auto"/>
              </w:rPr>
            </w:pPr>
          </w:p>
        </w:tc>
        <w:tc>
          <w:tcPr>
            <w:tcW w:w="114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80" w:type="dxa"/>
            <w:vAlign w:val="bottom"/>
            <w:shd w:val="clear" w:color="auto" w:fill="CCEEFF"/>
          </w:tcPr>
          <w:p>
            <w:pPr>
              <w:spacing w:after="0"/>
              <w:rPr>
                <w:sz w:val="18"/>
                <w:szCs w:val="18"/>
                <w:color w:val="auto"/>
              </w:rPr>
            </w:pPr>
          </w:p>
        </w:tc>
      </w:tr>
      <w:tr>
        <w:trPr>
          <w:trHeight w:val="216"/>
        </w:trPr>
        <w:tc>
          <w:tcPr>
            <w:tcW w:w="3180" w:type="dxa"/>
            <w:vAlign w:val="bottom"/>
          </w:tcPr>
          <w:p>
            <w:pPr>
              <w:spacing w:after="0"/>
              <w:rPr>
                <w:sz w:val="20"/>
                <w:szCs w:val="20"/>
                <w:color w:val="auto"/>
              </w:rPr>
            </w:pPr>
            <w:r>
              <w:rPr>
                <w:rFonts w:ascii="Arial" w:cs="Arial" w:eastAsia="Arial" w:hAnsi="Arial"/>
                <w:sz w:val="18"/>
                <w:szCs w:val="18"/>
                <w:color w:val="auto"/>
              </w:rPr>
              <w:t>Switzerland</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300" w:type="dxa"/>
            <w:vAlign w:val="bottom"/>
            <w:gridSpan w:val="3"/>
          </w:tcPr>
          <w:p>
            <w:pPr>
              <w:jc w:val="right"/>
              <w:ind w:right="180"/>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18"/>
                <w:szCs w:val="18"/>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8"/>
                <w:szCs w:val="18"/>
                <w:color w:val="auto"/>
              </w:rPr>
              <w:t>1</w:t>
            </w:r>
          </w:p>
        </w:tc>
        <w:tc>
          <w:tcPr>
            <w:tcW w:w="1320" w:type="dxa"/>
            <w:vAlign w:val="bottom"/>
            <w:gridSpan w:val="3"/>
          </w:tcPr>
          <w:p>
            <w:pPr>
              <w:jc w:val="right"/>
              <w:ind w:right="200"/>
              <w:spacing w:after="0"/>
              <w:rPr>
                <w:sz w:val="20"/>
                <w:szCs w:val="20"/>
                <w:color w:val="auto"/>
              </w:rPr>
            </w:pPr>
            <w:r>
              <w:rPr>
                <w:rFonts w:ascii="Arial" w:cs="Arial" w:eastAsia="Arial" w:hAnsi="Arial"/>
                <w:sz w:val="18"/>
                <w:szCs w:val="18"/>
                <w:color w:val="auto"/>
              </w:rPr>
              <w:t>0.2</w:t>
            </w:r>
          </w:p>
        </w:tc>
        <w:tc>
          <w:tcPr>
            <w:tcW w:w="12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0.2</w:t>
            </w:r>
          </w:p>
        </w:tc>
        <w:tc>
          <w:tcPr>
            <w:tcW w:w="80" w:type="dxa"/>
            <w:vAlign w:val="bottom"/>
          </w:tcPr>
          <w:p>
            <w:pPr>
              <w:spacing w:after="0"/>
              <w:rPr>
                <w:sz w:val="18"/>
                <w:szCs w:val="18"/>
                <w:color w:val="auto"/>
              </w:rPr>
            </w:pPr>
          </w:p>
        </w:tc>
      </w:tr>
      <w:tr>
        <w:trPr>
          <w:trHeight w:val="230"/>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Uruguay</w:t>
            </w:r>
          </w:p>
        </w:tc>
        <w:tc>
          <w:tcPr>
            <w:tcW w:w="2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0.6</w:t>
            </w:r>
          </w:p>
        </w:tc>
        <w:tc>
          <w:tcPr>
            <w:tcW w:w="140" w:type="dxa"/>
            <w:vAlign w:val="bottom"/>
            <w:shd w:val="clear" w:color="auto" w:fill="CCEEFF"/>
          </w:tcPr>
          <w:p>
            <w:pPr>
              <w:spacing w:after="0"/>
              <w:rPr>
                <w:sz w:val="19"/>
                <w:szCs w:val="19"/>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80" w:type="dxa"/>
            <w:vAlign w:val="bottom"/>
            <w:shd w:val="clear" w:color="auto" w:fill="CCEEFF"/>
          </w:tcPr>
          <w:p>
            <w:pPr>
              <w:spacing w:after="0"/>
              <w:rPr>
                <w:sz w:val="19"/>
                <w:szCs w:val="19"/>
                <w:color w:val="auto"/>
              </w:rPr>
            </w:pP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4.5</w:t>
            </w:r>
          </w:p>
        </w:tc>
        <w:tc>
          <w:tcPr>
            <w:tcW w:w="12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14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0.1</w:t>
            </w:r>
          </w:p>
        </w:tc>
        <w:tc>
          <w:tcPr>
            <w:tcW w:w="80" w:type="dxa"/>
            <w:vAlign w:val="bottom"/>
            <w:shd w:val="clear" w:color="auto" w:fill="CCEEFF"/>
          </w:tcPr>
          <w:p>
            <w:pPr>
              <w:spacing w:after="0"/>
              <w:rPr>
                <w:sz w:val="19"/>
                <w:szCs w:val="19"/>
                <w:color w:val="auto"/>
              </w:rPr>
            </w:pPr>
          </w:p>
        </w:tc>
      </w:tr>
      <w:tr>
        <w:trPr>
          <w:trHeight w:val="178"/>
        </w:trPr>
        <w:tc>
          <w:tcPr>
            <w:tcW w:w="3180" w:type="dxa"/>
            <w:vAlign w:val="bottom"/>
          </w:tcPr>
          <w:p>
            <w:pPr>
              <w:spacing w:after="0" w:line="178" w:lineRule="exact"/>
              <w:rPr>
                <w:sz w:val="20"/>
                <w:szCs w:val="20"/>
                <w:color w:val="auto"/>
              </w:rPr>
            </w:pPr>
            <w:r>
              <w:rPr>
                <w:rFonts w:ascii="Arial" w:cs="Arial" w:eastAsia="Arial" w:hAnsi="Arial"/>
                <w:sz w:val="18"/>
                <w:szCs w:val="18"/>
                <w:b w:val="1"/>
                <w:bCs w:val="1"/>
                <w:color w:val="auto"/>
                <w:w w:val="98"/>
              </w:rPr>
              <w:t>Total loan commitments and financial</w:t>
            </w:r>
          </w:p>
        </w:tc>
        <w:tc>
          <w:tcPr>
            <w:tcW w:w="2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2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2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r>
      <w:tr>
        <w:trPr>
          <w:trHeight w:val="248"/>
        </w:trPr>
        <w:tc>
          <w:tcPr>
            <w:tcW w:w="3180" w:type="dxa"/>
            <w:vAlign w:val="bottom"/>
          </w:tcPr>
          <w:p>
            <w:pPr>
              <w:spacing w:after="0"/>
              <w:rPr>
                <w:sz w:val="20"/>
                <w:szCs w:val="20"/>
                <w:color w:val="auto"/>
              </w:rPr>
            </w:pPr>
            <w:r>
              <w:rPr>
                <w:rFonts w:ascii="Arial" w:cs="Arial" w:eastAsia="Arial" w:hAnsi="Arial"/>
                <w:sz w:val="18"/>
                <w:szCs w:val="18"/>
                <w:b w:val="1"/>
                <w:bCs w:val="1"/>
                <w:color w:val="auto"/>
              </w:rPr>
              <w:t>guarantee contracts</w:t>
            </w:r>
          </w:p>
        </w:tc>
        <w:tc>
          <w:tcPr>
            <w:tcW w:w="3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w:t>
            </w:r>
          </w:p>
        </w:tc>
        <w:tc>
          <w:tcPr>
            <w:tcW w:w="8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488</w:t>
            </w:r>
          </w:p>
        </w:tc>
        <w:tc>
          <w:tcPr>
            <w:tcW w:w="130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rPr>
              <w:t>100.0</w:t>
            </w:r>
          </w:p>
        </w:tc>
        <w:tc>
          <w:tcPr>
            <w:tcW w:w="14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86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403</w:t>
            </w:r>
          </w:p>
        </w:tc>
        <w:tc>
          <w:tcPr>
            <w:tcW w:w="1320" w:type="dxa"/>
            <w:vAlign w:val="bottom"/>
            <w:gridSpan w:val="3"/>
          </w:tcPr>
          <w:p>
            <w:pPr>
              <w:jc w:val="right"/>
              <w:ind w:right="200"/>
              <w:spacing w:after="0"/>
              <w:rPr>
                <w:sz w:val="20"/>
                <w:szCs w:val="20"/>
                <w:color w:val="auto"/>
              </w:rPr>
            </w:pPr>
            <w:r>
              <w:rPr>
                <w:rFonts w:ascii="Arial" w:cs="Arial" w:eastAsia="Arial" w:hAnsi="Arial"/>
                <w:sz w:val="18"/>
                <w:szCs w:val="18"/>
                <w:b w:val="1"/>
                <w:bCs w:val="1"/>
                <w:color w:val="auto"/>
              </w:rPr>
              <w:t>100.0</w:t>
            </w:r>
          </w:p>
        </w:tc>
        <w:tc>
          <w:tcPr>
            <w:tcW w:w="12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447</w:t>
            </w:r>
          </w:p>
        </w:tc>
        <w:tc>
          <w:tcPr>
            <w:tcW w:w="1140" w:type="dxa"/>
            <w:vAlign w:val="bottom"/>
            <w:gridSpan w:val="2"/>
          </w:tcPr>
          <w:p>
            <w:pPr>
              <w:jc w:val="right"/>
              <w:spacing w:after="0"/>
              <w:rPr>
                <w:sz w:val="20"/>
                <w:szCs w:val="20"/>
                <w:color w:val="auto"/>
              </w:rPr>
            </w:pPr>
            <w:r>
              <w:rPr>
                <w:rFonts w:ascii="Arial" w:cs="Arial" w:eastAsia="Arial" w:hAnsi="Arial"/>
                <w:sz w:val="18"/>
                <w:szCs w:val="18"/>
                <w:b w:val="1"/>
                <w:bCs w:val="1"/>
                <w:color w:val="auto"/>
              </w:rPr>
              <w:t>100.0</w:t>
            </w:r>
          </w:p>
        </w:tc>
        <w:tc>
          <w:tcPr>
            <w:tcW w:w="80" w:type="dxa"/>
            <w:vAlign w:val="bottom"/>
          </w:tcPr>
          <w:p>
            <w:pPr>
              <w:spacing w:after="0"/>
              <w:rPr>
                <w:sz w:val="21"/>
                <w:szCs w:val="21"/>
                <w:color w:val="auto"/>
              </w:rPr>
            </w:pPr>
          </w:p>
        </w:tc>
      </w:tr>
      <w:tr>
        <w:trPr>
          <w:trHeight w:val="20"/>
        </w:trPr>
        <w:tc>
          <w:tcPr>
            <w:tcW w:w="31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right w:val="single" w:sz="8" w:color="auto"/>
            </w:tcBorders>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For total loan commitments and financial guarantee contracts, see Item 18, “Financial Statements,” note 6.</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Investment Securities Portfolio</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As part of its Credit Portfolio, the Bank holds an Investment Securities Portfolio, in the form of both securities at FVOCI and investment securities at amortized cost, consisting of investments in securities by Latin American issuers.</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In the normal course of business, the Bank utilizes interest rate swaps for hedging purposes associated with assets (mainly its Investment Securities Portfolio) and liabilities (mainly issuances) denominated in fixed rates.</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sets forth information regarding the carrying value of the Bank’s Investment Securities Portfolio, presented in gross amounts, at the dates indicated.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960" w:type="dxa"/>
            <w:vAlign w:val="bottom"/>
          </w:tcPr>
          <w:p>
            <w:pPr>
              <w:spacing w:after="0"/>
              <w:rPr>
                <w:sz w:val="19"/>
                <w:szCs w:val="19"/>
                <w:color w:val="auto"/>
              </w:rPr>
            </w:pPr>
          </w:p>
        </w:tc>
        <w:tc>
          <w:tcPr>
            <w:tcW w:w="214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580" w:type="dxa"/>
            <w:vAlign w:val="bottom"/>
            <w:gridSpan w:val="4"/>
          </w:tcPr>
          <w:p>
            <w:pPr>
              <w:jc w:val="center"/>
              <w:ind w:right="20"/>
              <w:spacing w:after="0"/>
              <w:rPr>
                <w:sz w:val="20"/>
                <w:szCs w:val="20"/>
                <w:color w:val="auto"/>
              </w:rPr>
            </w:pPr>
            <w:r>
              <w:rPr>
                <w:rFonts w:ascii="Arial" w:cs="Arial" w:eastAsia="Arial" w:hAnsi="Arial"/>
                <w:sz w:val="18"/>
                <w:szCs w:val="18"/>
                <w:b w:val="1"/>
                <w:bCs w:val="1"/>
                <w:color w:val="auto"/>
                <w:w w:val="88"/>
              </w:rPr>
              <w:t>As of December 31,</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34"/>
        </w:trPr>
        <w:tc>
          <w:tcPr>
            <w:tcW w:w="4960" w:type="dxa"/>
            <w:vAlign w:val="bottom"/>
          </w:tcPr>
          <w:p>
            <w:pPr>
              <w:spacing w:after="0"/>
              <w:rPr>
                <w:sz w:val="20"/>
                <w:szCs w:val="20"/>
                <w:color w:val="auto"/>
              </w:rPr>
            </w:pPr>
          </w:p>
        </w:tc>
        <w:tc>
          <w:tcPr>
            <w:tcW w:w="3100" w:type="dxa"/>
            <w:vAlign w:val="bottom"/>
            <w:gridSpan w:val="2"/>
          </w:tcPr>
          <w:p>
            <w:pPr>
              <w:jc w:val="right"/>
              <w:ind w:right="65"/>
              <w:spacing w:after="0"/>
              <w:rPr>
                <w:sz w:val="20"/>
                <w:szCs w:val="20"/>
                <w:color w:val="auto"/>
              </w:rPr>
            </w:pPr>
            <w:r>
              <w:rPr>
                <w:rFonts w:ascii="Arial" w:cs="Arial" w:eastAsia="Arial" w:hAnsi="Arial"/>
                <w:sz w:val="18"/>
                <w:szCs w:val="18"/>
                <w:b w:val="1"/>
                <w:bCs w:val="1"/>
                <w:color w:val="auto"/>
              </w:rPr>
              <w:t>2017</w:t>
            </w:r>
          </w:p>
        </w:tc>
        <w:tc>
          <w:tcPr>
            <w:tcW w:w="3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80" w:type="dxa"/>
            <w:vAlign w:val="bottom"/>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r>
      <w:tr>
        <w:trPr>
          <w:trHeight w:val="210"/>
        </w:trPr>
        <w:tc>
          <w:tcPr>
            <w:tcW w:w="4960" w:type="dxa"/>
            <w:vAlign w:val="bottom"/>
          </w:tcPr>
          <w:p>
            <w:pPr>
              <w:spacing w:after="0"/>
              <w:rPr>
                <w:sz w:val="18"/>
                <w:szCs w:val="18"/>
                <w:color w:val="auto"/>
              </w:rPr>
            </w:pPr>
          </w:p>
        </w:tc>
        <w:tc>
          <w:tcPr>
            <w:tcW w:w="214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300" w:type="dxa"/>
            <w:vAlign w:val="bottom"/>
            <w:tcBorders>
              <w:top w:val="single" w:sz="8" w:color="auto"/>
            </w:tcBorders>
          </w:tcPr>
          <w:p>
            <w:pPr>
              <w:spacing w:after="0"/>
              <w:rPr>
                <w:sz w:val="18"/>
                <w:szCs w:val="18"/>
                <w:color w:val="auto"/>
              </w:rPr>
            </w:pPr>
          </w:p>
        </w:tc>
        <w:tc>
          <w:tcPr>
            <w:tcW w:w="6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380" w:type="dxa"/>
            <w:vAlign w:val="bottom"/>
            <w:tcBorders>
              <w:top w:val="single" w:sz="8" w:color="auto"/>
            </w:tcBorders>
            <w:gridSpan w:val="3"/>
          </w:tcPr>
          <w:p>
            <w:pPr>
              <w:jc w:val="center"/>
              <w:ind w:right="200"/>
              <w:spacing w:after="0"/>
              <w:rPr>
                <w:sz w:val="20"/>
                <w:szCs w:val="20"/>
                <w:color w:val="auto"/>
              </w:rPr>
            </w:pPr>
            <w:r>
              <w:rPr>
                <w:rFonts w:ascii="Arial" w:cs="Arial" w:eastAsia="Arial" w:hAnsi="Arial"/>
                <w:sz w:val="18"/>
                <w:szCs w:val="18"/>
                <w:b w:val="1"/>
                <w:bCs w:val="1"/>
                <w:color w:val="auto"/>
                <w:w w:val="91"/>
              </w:rPr>
              <w:t>(in $ millions)</w:t>
            </w:r>
          </w:p>
        </w:tc>
        <w:tc>
          <w:tcPr>
            <w:tcW w:w="60" w:type="dxa"/>
            <w:vAlign w:val="bottom"/>
            <w:tcBorders>
              <w:top w:val="single" w:sz="8" w:color="auto"/>
            </w:tcBorders>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57"/>
        </w:trPr>
        <w:tc>
          <w:tcPr>
            <w:tcW w:w="49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FVOCI </w:t>
            </w:r>
            <w:r>
              <w:rPr>
                <w:rFonts w:ascii="Arial" w:cs="Arial" w:eastAsia="Arial" w:hAnsi="Arial"/>
                <w:sz w:val="29"/>
                <w:szCs w:val="29"/>
                <w:color w:val="auto"/>
                <w:vertAlign w:val="superscript"/>
              </w:rPr>
              <w:t>(1)</w:t>
            </w:r>
          </w:p>
        </w:tc>
        <w:tc>
          <w:tcPr>
            <w:tcW w:w="3100" w:type="dxa"/>
            <w:vAlign w:val="bottom"/>
            <w:gridSpan w:val="2"/>
            <w:shd w:val="clear" w:color="auto" w:fill="CCEEFF"/>
          </w:tcPr>
          <w:p>
            <w:pPr>
              <w:jc w:val="right"/>
              <w:ind w:right="805"/>
              <w:spacing w:after="0"/>
              <w:rPr>
                <w:sz w:val="20"/>
                <w:szCs w:val="20"/>
                <w:color w:val="auto"/>
              </w:rPr>
            </w:pPr>
            <w:r>
              <w:rPr>
                <w:rFonts w:ascii="Arial" w:cs="Arial" w:eastAsia="Arial" w:hAnsi="Arial"/>
                <w:sz w:val="18"/>
                <w:szCs w:val="18"/>
                <w:color w:val="auto"/>
              </w:rPr>
              <w:t>$</w:t>
            </w:r>
          </w:p>
        </w:tc>
        <w:tc>
          <w:tcPr>
            <w:tcW w:w="36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17</w:t>
            </w:r>
          </w:p>
        </w:tc>
        <w:tc>
          <w:tcPr>
            <w:tcW w:w="460" w:type="dxa"/>
            <w:vAlign w:val="bottom"/>
            <w:gridSpan w:val="2"/>
            <w:shd w:val="clear" w:color="auto" w:fill="CCEEFF"/>
          </w:tcPr>
          <w:p>
            <w:pPr>
              <w:jc w:val="right"/>
              <w:ind w:right="97"/>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w:t>
            </w:r>
          </w:p>
        </w:tc>
        <w:tc>
          <w:tcPr>
            <w:tcW w:w="3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142</w:t>
            </w:r>
          </w:p>
        </w:tc>
      </w:tr>
      <w:tr>
        <w:trPr>
          <w:trHeight w:val="270"/>
        </w:trPr>
        <w:tc>
          <w:tcPr>
            <w:tcW w:w="4960" w:type="dxa"/>
            <w:vAlign w:val="bottom"/>
          </w:tcPr>
          <w:p>
            <w:pPr>
              <w:spacing w:after="0" w:line="269"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30"/>
                <w:szCs w:val="30"/>
                <w:color w:val="auto"/>
                <w:vertAlign w:val="superscript"/>
              </w:rPr>
              <w:t>(2)</w:t>
            </w:r>
          </w:p>
        </w:tc>
        <w:tc>
          <w:tcPr>
            <w:tcW w:w="2140" w:type="dxa"/>
            <w:vAlign w:val="bottom"/>
          </w:tcPr>
          <w:p>
            <w:pPr>
              <w:spacing w:after="0"/>
              <w:rPr>
                <w:sz w:val="23"/>
                <w:szCs w:val="23"/>
                <w:color w:val="auto"/>
              </w:rPr>
            </w:pPr>
          </w:p>
        </w:tc>
        <w:tc>
          <w:tcPr>
            <w:tcW w:w="960" w:type="dxa"/>
            <w:vAlign w:val="bottom"/>
          </w:tcPr>
          <w:p>
            <w:pPr>
              <w:spacing w:after="0"/>
              <w:rPr>
                <w:sz w:val="23"/>
                <w:szCs w:val="23"/>
                <w:color w:val="auto"/>
              </w:rPr>
            </w:pPr>
          </w:p>
        </w:tc>
        <w:tc>
          <w:tcPr>
            <w:tcW w:w="360" w:type="dxa"/>
            <w:vAlign w:val="bottom"/>
            <w:gridSpan w:val="2"/>
          </w:tcPr>
          <w:p>
            <w:pPr>
              <w:ind w:left="120"/>
              <w:spacing w:after="0"/>
              <w:rPr>
                <w:sz w:val="20"/>
                <w:szCs w:val="20"/>
                <w:color w:val="auto"/>
              </w:rPr>
            </w:pPr>
            <w:r>
              <w:rPr>
                <w:rFonts w:ascii="Arial" w:cs="Arial" w:eastAsia="Arial" w:hAnsi="Arial"/>
                <w:sz w:val="18"/>
                <w:szCs w:val="18"/>
                <w:color w:val="auto"/>
              </w:rPr>
              <w:t>69</w:t>
            </w:r>
          </w:p>
        </w:tc>
        <w:tc>
          <w:tcPr>
            <w:tcW w:w="200" w:type="dxa"/>
            <w:vAlign w:val="bottom"/>
          </w:tcPr>
          <w:p>
            <w:pPr>
              <w:spacing w:after="0"/>
              <w:rPr>
                <w:sz w:val="23"/>
                <w:szCs w:val="23"/>
                <w:color w:val="auto"/>
              </w:rPr>
            </w:pPr>
          </w:p>
        </w:tc>
        <w:tc>
          <w:tcPr>
            <w:tcW w:w="260" w:type="dxa"/>
            <w:vAlign w:val="bottom"/>
          </w:tcPr>
          <w:p>
            <w:pPr>
              <w:spacing w:after="0"/>
              <w:rPr>
                <w:sz w:val="23"/>
                <w:szCs w:val="23"/>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78</w:t>
            </w:r>
          </w:p>
        </w:tc>
        <w:tc>
          <w:tcPr>
            <w:tcW w:w="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109</w:t>
            </w:r>
          </w:p>
        </w:tc>
      </w:tr>
      <w:tr>
        <w:trPr>
          <w:trHeight w:val="223"/>
        </w:trPr>
        <w:tc>
          <w:tcPr>
            <w:tcW w:w="49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Investment Securities Portfolio</w:t>
            </w:r>
          </w:p>
        </w:tc>
        <w:tc>
          <w:tcPr>
            <w:tcW w:w="214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ind w:right="805"/>
              <w:spacing w:after="0"/>
              <w:rPr>
                <w:sz w:val="20"/>
                <w:szCs w:val="20"/>
                <w:color w:val="auto"/>
              </w:rPr>
            </w:pPr>
            <w:r>
              <w:rPr>
                <w:rFonts w:ascii="Arial" w:cs="Arial" w:eastAsia="Arial" w:hAnsi="Arial"/>
                <w:sz w:val="15"/>
                <w:szCs w:val="15"/>
                <w:b w:val="1"/>
                <w:bCs w:val="1"/>
                <w:color w:val="auto"/>
                <w:w w:val="71"/>
              </w:rPr>
              <w:t>$</w:t>
            </w:r>
          </w:p>
        </w:tc>
        <w:tc>
          <w:tcPr>
            <w:tcW w:w="300" w:type="dxa"/>
            <w:vAlign w:val="bottom"/>
            <w:tcBorders>
              <w:top w:val="single" w:sz="8" w:color="auto"/>
              <w:bottom w:val="single" w:sz="8" w:color="auto"/>
            </w:tcBorders>
            <w:shd w:val="clear" w:color="auto" w:fill="CCEEFF"/>
          </w:tcPr>
          <w:p>
            <w:pPr>
              <w:ind w:left="120"/>
              <w:spacing w:after="0"/>
              <w:rPr>
                <w:sz w:val="20"/>
                <w:szCs w:val="20"/>
                <w:color w:val="auto"/>
              </w:rPr>
            </w:pPr>
            <w:r>
              <w:rPr>
                <w:rFonts w:ascii="Arial" w:cs="Arial" w:eastAsia="Arial" w:hAnsi="Arial"/>
                <w:sz w:val="18"/>
                <w:szCs w:val="18"/>
                <w:b w:val="1"/>
                <w:bCs w:val="1"/>
                <w:color w:val="auto"/>
                <w:w w:val="79"/>
              </w:rPr>
              <w:t>86</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9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108</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960" w:type="dxa"/>
            <w:vAlign w:val="bottom"/>
          </w:tcPr>
          <w:p>
            <w:pPr>
              <w:spacing w:after="0" w:line="20" w:lineRule="exact"/>
              <w:rPr>
                <w:sz w:val="1"/>
                <w:szCs w:val="1"/>
                <w:color w:val="auto"/>
              </w:rPr>
            </w:pPr>
          </w:p>
        </w:tc>
        <w:tc>
          <w:tcPr>
            <w:tcW w:w="21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21"/>
        </w:numPr>
        <w:rPr>
          <w:rFonts w:ascii="Arial" w:cs="Arial" w:eastAsia="Arial" w:hAnsi="Arial"/>
          <w:sz w:val="30"/>
          <w:szCs w:val="30"/>
          <w:color w:val="auto"/>
          <w:vertAlign w:val="superscript"/>
        </w:rPr>
      </w:pPr>
      <w:r>
        <w:rPr>
          <w:rFonts w:ascii="Arial" w:cs="Arial" w:eastAsia="Arial" w:hAnsi="Arial"/>
          <w:sz w:val="18"/>
          <w:szCs w:val="18"/>
          <w:color w:val="auto"/>
        </w:rPr>
        <w:t>As of December 31, 2017, the outstanding balance does not include an equity investment at FVOCI of $8.4 million.</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21"/>
        </w:numPr>
        <w:rPr>
          <w:rFonts w:ascii="Arial" w:cs="Arial" w:eastAsia="Arial" w:hAnsi="Arial"/>
          <w:sz w:val="24"/>
          <w:szCs w:val="24"/>
          <w:color w:val="auto"/>
          <w:vertAlign w:val="superscript"/>
        </w:rPr>
      </w:pPr>
      <w:r>
        <w:rPr>
          <w:rFonts w:ascii="Arial" w:cs="Arial" w:eastAsia="Arial" w:hAnsi="Arial"/>
          <w:sz w:val="15"/>
          <w:szCs w:val="15"/>
          <w:color w:val="auto"/>
        </w:rPr>
        <w:t>Amounts do not include an allowance for ECL of $0.2 million, $0.6 million and $0.5 million, as of December 31, 2017, 2016 and 2015, respectively.</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9" w:name="page30"/>
    <w:bookmarkEnd w:id="29"/>
    <w:p>
      <w:pPr>
        <w:jc w:val="both"/>
        <w:spacing w:after="0" w:line="277" w:lineRule="auto"/>
        <w:rPr>
          <w:sz w:val="20"/>
          <w:szCs w:val="20"/>
          <w:color w:val="auto"/>
        </w:rPr>
      </w:pPr>
      <w:r>
        <w:rPr>
          <w:rFonts w:ascii="Arial" w:cs="Arial" w:eastAsia="Arial" w:hAnsi="Arial"/>
          <w:sz w:val="18"/>
          <w:szCs w:val="18"/>
          <w:color w:val="auto"/>
        </w:rPr>
        <w:t>During the periods under review herein, the Bank did not hold instruments in obligations of the U.S. Treasury or other U.S. Government agencies or corporations, or in states of the U.S. or their municipalities.</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tables set forth the distribution of the Bank’s Investment Securities Portfolio, presented in gross amounts, by country risk, type of borrower and contractual maturity, at the dates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64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620" w:type="dxa"/>
            <w:vAlign w:val="bottom"/>
            <w:tcBorders>
              <w:bottom w:val="single" w:sz="8" w:color="auto"/>
            </w:tcBorders>
            <w:gridSpan w:val="5"/>
          </w:tcPr>
          <w:p>
            <w:pPr>
              <w:ind w:left="360"/>
              <w:spacing w:after="0"/>
              <w:rPr>
                <w:sz w:val="20"/>
                <w:szCs w:val="20"/>
                <w:color w:val="auto"/>
              </w:rPr>
            </w:pPr>
            <w:r>
              <w:rPr>
                <w:rFonts w:ascii="Arial" w:cs="Arial" w:eastAsia="Arial" w:hAnsi="Arial"/>
                <w:sz w:val="18"/>
                <w:szCs w:val="18"/>
                <w:b w:val="1"/>
                <w:bCs w:val="1"/>
                <w:color w:val="auto"/>
              </w:rPr>
              <w:t>As of December 31,</w:t>
            </w:r>
          </w:p>
        </w:tc>
        <w:tc>
          <w:tcPr>
            <w:tcW w:w="1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264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620" w:type="dxa"/>
            <w:vAlign w:val="bottom"/>
            <w:tcBorders>
              <w:bottom w:val="single" w:sz="8" w:color="auto"/>
            </w:tcBorders>
            <w:gridSpan w:val="3"/>
          </w:tcPr>
          <w:p>
            <w:pPr>
              <w:jc w:val="right"/>
              <w:ind w:right="240"/>
              <w:spacing w:after="0"/>
              <w:rPr>
                <w:sz w:val="20"/>
                <w:szCs w:val="20"/>
                <w:color w:val="auto"/>
              </w:rPr>
            </w:pPr>
            <w:r>
              <w:rPr>
                <w:rFonts w:ascii="Arial" w:cs="Arial" w:eastAsia="Arial" w:hAnsi="Arial"/>
                <w:sz w:val="18"/>
                <w:szCs w:val="18"/>
                <w:b w:val="1"/>
                <w:bCs w:val="1"/>
                <w:color w:val="auto"/>
              </w:rPr>
              <w:t>2017</w:t>
            </w:r>
          </w:p>
        </w:tc>
        <w:tc>
          <w:tcPr>
            <w:tcW w:w="960" w:type="dxa"/>
            <w:vAlign w:val="bottom"/>
            <w:tcBorders>
              <w:bottom w:val="single" w:sz="8" w:color="auto"/>
            </w:tcBorders>
          </w:tcPr>
          <w:p>
            <w:pPr>
              <w:spacing w:after="0"/>
              <w:rPr>
                <w:sz w:val="19"/>
                <w:szCs w:val="19"/>
                <w:color w:val="auto"/>
              </w:rPr>
            </w:pPr>
          </w:p>
        </w:tc>
        <w:tc>
          <w:tcPr>
            <w:tcW w:w="24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8"/>
                <w:szCs w:val="18"/>
                <w:b w:val="1"/>
                <w:bCs w:val="1"/>
                <w:color w:val="auto"/>
              </w:rPr>
              <w:t>2016</w:t>
            </w:r>
          </w:p>
        </w:tc>
        <w:tc>
          <w:tcPr>
            <w:tcW w:w="9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580" w:type="dxa"/>
            <w:vAlign w:val="bottom"/>
            <w:tcBorders>
              <w:bottom w:val="single" w:sz="8" w:color="auto"/>
            </w:tcBorders>
            <w:gridSpan w:val="3"/>
          </w:tcPr>
          <w:p>
            <w:pPr>
              <w:jc w:val="right"/>
              <w:ind w:right="240"/>
              <w:spacing w:after="0"/>
              <w:rPr>
                <w:sz w:val="20"/>
                <w:szCs w:val="20"/>
                <w:color w:val="auto"/>
              </w:rPr>
            </w:pPr>
            <w:r>
              <w:rPr>
                <w:rFonts w:ascii="Arial" w:cs="Arial" w:eastAsia="Arial" w:hAnsi="Arial"/>
                <w:sz w:val="18"/>
                <w:szCs w:val="18"/>
                <w:b w:val="1"/>
                <w:bCs w:val="1"/>
                <w:color w:val="auto"/>
              </w:rPr>
              <w:t>2015</w:t>
            </w:r>
          </w:p>
        </w:tc>
        <w:tc>
          <w:tcPr>
            <w:tcW w:w="94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264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620" w:type="dxa"/>
            <w:vAlign w:val="bottom"/>
            <w:tcBorders>
              <w:bottom w:val="single" w:sz="8" w:color="auto"/>
            </w:tcBorders>
            <w:gridSpan w:val="3"/>
          </w:tcPr>
          <w:p>
            <w:pPr>
              <w:jc w:val="right"/>
              <w:ind w:right="860"/>
              <w:spacing w:after="0"/>
              <w:rPr>
                <w:sz w:val="20"/>
                <w:szCs w:val="20"/>
                <w:color w:val="auto"/>
              </w:rPr>
            </w:pPr>
            <w:r>
              <w:rPr>
                <w:rFonts w:ascii="Arial" w:cs="Arial" w:eastAsia="Arial" w:hAnsi="Arial"/>
                <w:sz w:val="18"/>
                <w:szCs w:val="18"/>
                <w:b w:val="1"/>
                <w:bCs w:val="1"/>
                <w:color w:val="auto"/>
              </w:rPr>
              <w:t>Amount</w:t>
            </w:r>
          </w:p>
        </w:tc>
        <w:tc>
          <w:tcPr>
            <w:tcW w:w="9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w:t>
            </w:r>
          </w:p>
        </w:tc>
        <w:tc>
          <w:tcPr>
            <w:tcW w:w="24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gridSpan w:val="3"/>
          </w:tcPr>
          <w:p>
            <w:pPr>
              <w:jc w:val="right"/>
              <w:ind w:right="820"/>
              <w:spacing w:after="0"/>
              <w:rPr>
                <w:sz w:val="20"/>
                <w:szCs w:val="20"/>
                <w:color w:val="auto"/>
              </w:rPr>
            </w:pPr>
            <w:r>
              <w:rPr>
                <w:rFonts w:ascii="Arial" w:cs="Arial" w:eastAsia="Arial" w:hAnsi="Arial"/>
                <w:sz w:val="18"/>
                <w:szCs w:val="18"/>
                <w:b w:val="1"/>
                <w:bCs w:val="1"/>
                <w:color w:val="auto"/>
              </w:rPr>
              <w:t>Amount</w:t>
            </w:r>
          </w:p>
        </w:tc>
        <w:tc>
          <w:tcPr>
            <w:tcW w:w="9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580" w:type="dxa"/>
            <w:vAlign w:val="bottom"/>
            <w:tcBorders>
              <w:bottom w:val="single" w:sz="8" w:color="auto"/>
            </w:tcBorders>
            <w:gridSpan w:val="3"/>
          </w:tcPr>
          <w:p>
            <w:pPr>
              <w:jc w:val="right"/>
              <w:ind w:right="840"/>
              <w:spacing w:after="0"/>
              <w:rPr>
                <w:sz w:val="20"/>
                <w:szCs w:val="20"/>
                <w:color w:val="auto"/>
              </w:rPr>
            </w:pPr>
            <w:r>
              <w:rPr>
                <w:rFonts w:ascii="Arial" w:cs="Arial" w:eastAsia="Arial" w:hAnsi="Arial"/>
                <w:sz w:val="18"/>
                <w:szCs w:val="18"/>
                <w:b w:val="1"/>
                <w:bCs w:val="1"/>
                <w:color w:val="auto"/>
              </w:rPr>
              <w:t>Amount</w:t>
            </w:r>
          </w:p>
        </w:tc>
        <w:tc>
          <w:tcPr>
            <w:tcW w:w="9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0"/>
        </w:trPr>
        <w:tc>
          <w:tcPr>
            <w:tcW w:w="26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40" w:type="dxa"/>
            <w:vAlign w:val="bottom"/>
            <w:gridSpan w:val="6"/>
          </w:tcPr>
          <w:p>
            <w:pPr>
              <w:ind w:left="20"/>
              <w:spacing w:after="0"/>
              <w:rPr>
                <w:sz w:val="20"/>
                <w:szCs w:val="20"/>
                <w:color w:val="auto"/>
              </w:rPr>
            </w:pPr>
            <w:r>
              <w:rPr>
                <w:rFonts w:ascii="Arial" w:cs="Arial" w:eastAsia="Arial" w:hAnsi="Arial"/>
                <w:sz w:val="18"/>
                <w:szCs w:val="18"/>
                <w:b w:val="1"/>
                <w:bCs w:val="1"/>
                <w:color w:val="auto"/>
                <w:w w:val="95"/>
              </w:rPr>
              <w:t>(in $ millions, except percentages)</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Brazil</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w:t>
            </w:r>
          </w:p>
        </w:tc>
        <w:tc>
          <w:tcPr>
            <w:tcW w:w="3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5.2</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2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20.0</w:t>
            </w:r>
          </w:p>
        </w:tc>
        <w:tc>
          <w:tcPr>
            <w:tcW w:w="300" w:type="dxa"/>
            <w:vAlign w:val="bottom"/>
            <w:gridSpan w:val="2"/>
            <w:shd w:val="clear" w:color="auto" w:fill="CCEEFF"/>
          </w:tcPr>
          <w:p>
            <w:pPr>
              <w:jc w:val="right"/>
              <w:ind w:right="25"/>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63</w:t>
            </w:r>
          </w:p>
        </w:tc>
        <w:tc>
          <w:tcPr>
            <w:tcW w:w="3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25.0</w:t>
            </w:r>
          </w:p>
        </w:tc>
        <w:tc>
          <w:tcPr>
            <w:tcW w:w="80" w:type="dxa"/>
            <w:vAlign w:val="bottom"/>
            <w:shd w:val="clear" w:color="auto" w:fill="CCEEFF"/>
          </w:tcPr>
          <w:p>
            <w:pPr>
              <w:spacing w:after="0"/>
              <w:rPr>
                <w:sz w:val="18"/>
                <w:szCs w:val="18"/>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Chile</w:t>
            </w:r>
          </w:p>
        </w:tc>
        <w:tc>
          <w:tcPr>
            <w:tcW w:w="200" w:type="dxa"/>
            <w:vAlign w:val="bottom"/>
          </w:tcPr>
          <w:p>
            <w:pPr>
              <w:spacing w:after="0"/>
              <w:rPr>
                <w:sz w:val="18"/>
                <w:szCs w:val="18"/>
                <w:color w:val="auto"/>
              </w:rPr>
            </w:pPr>
          </w:p>
        </w:tc>
        <w:tc>
          <w:tcPr>
            <w:tcW w:w="1320" w:type="dxa"/>
            <w:vAlign w:val="bottom"/>
            <w:gridSpan w:val="2"/>
          </w:tcPr>
          <w:p>
            <w:pPr>
              <w:jc w:val="right"/>
              <w:ind w:right="240"/>
              <w:spacing w:after="0"/>
              <w:rPr>
                <w:sz w:val="20"/>
                <w:szCs w:val="20"/>
                <w:color w:val="auto"/>
              </w:rPr>
            </w:pPr>
            <w:r>
              <w:rPr>
                <w:rFonts w:ascii="Arial" w:cs="Arial" w:eastAsia="Arial" w:hAnsi="Arial"/>
                <w:sz w:val="18"/>
                <w:szCs w:val="18"/>
                <w:color w:val="auto"/>
              </w:rPr>
              <w:t>5</w:t>
            </w:r>
          </w:p>
        </w:tc>
        <w:tc>
          <w:tcPr>
            <w:tcW w:w="300" w:type="dxa"/>
            <w:vAlign w:val="bottom"/>
          </w:tcPr>
          <w:p>
            <w:pPr>
              <w:spacing w:after="0"/>
              <w:rPr>
                <w:sz w:val="18"/>
                <w:szCs w:val="18"/>
                <w:color w:val="auto"/>
              </w:rPr>
            </w:pP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6.0</w:t>
            </w:r>
          </w:p>
        </w:tc>
        <w:tc>
          <w:tcPr>
            <w:tcW w:w="220" w:type="dxa"/>
            <w:vAlign w:val="bottom"/>
          </w:tcPr>
          <w:p>
            <w:pPr>
              <w:spacing w:after="0"/>
              <w:rPr>
                <w:sz w:val="18"/>
                <w:szCs w:val="18"/>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280" w:type="dxa"/>
            <w:vAlign w:val="bottom"/>
          </w:tcPr>
          <w:p>
            <w:pPr>
              <w:spacing w:after="0"/>
              <w:rPr>
                <w:sz w:val="18"/>
                <w:szCs w:val="18"/>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4.8</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18</w:t>
            </w:r>
          </w:p>
        </w:tc>
        <w:tc>
          <w:tcPr>
            <w:tcW w:w="3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7.3</w:t>
            </w:r>
          </w:p>
        </w:tc>
        <w:tc>
          <w:tcPr>
            <w:tcW w:w="80" w:type="dxa"/>
            <w:vAlign w:val="bottom"/>
          </w:tcPr>
          <w:p>
            <w:pPr>
              <w:spacing w:after="0"/>
              <w:rPr>
                <w:sz w:val="18"/>
                <w:szCs w:val="18"/>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Colombia</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w:t>
            </w:r>
          </w:p>
        </w:tc>
        <w:tc>
          <w:tcPr>
            <w:tcW w:w="2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33.8</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2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27.5</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53</w:t>
            </w:r>
          </w:p>
        </w:tc>
        <w:tc>
          <w:tcPr>
            <w:tcW w:w="3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21.0</w:t>
            </w:r>
          </w:p>
        </w:tc>
        <w:tc>
          <w:tcPr>
            <w:tcW w:w="80" w:type="dxa"/>
            <w:vAlign w:val="bottom"/>
            <w:shd w:val="clear" w:color="auto" w:fill="CCEEFF"/>
          </w:tcPr>
          <w:p>
            <w:pPr>
              <w:spacing w:after="0"/>
              <w:rPr>
                <w:sz w:val="18"/>
                <w:szCs w:val="18"/>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Costa Rica</w:t>
            </w:r>
          </w:p>
        </w:tc>
        <w:tc>
          <w:tcPr>
            <w:tcW w:w="200" w:type="dxa"/>
            <w:vAlign w:val="bottom"/>
          </w:tcPr>
          <w:p>
            <w:pPr>
              <w:spacing w:after="0"/>
              <w:rPr>
                <w:sz w:val="18"/>
                <w:szCs w:val="18"/>
                <w:color w:val="auto"/>
              </w:rPr>
            </w:pPr>
          </w:p>
        </w:tc>
        <w:tc>
          <w:tcPr>
            <w:tcW w:w="1320" w:type="dxa"/>
            <w:vAlign w:val="bottom"/>
            <w:gridSpan w:val="2"/>
          </w:tcPr>
          <w:p>
            <w:pPr>
              <w:jc w:val="right"/>
              <w:ind w:right="240"/>
              <w:spacing w:after="0"/>
              <w:rPr>
                <w:sz w:val="20"/>
                <w:szCs w:val="20"/>
                <w:color w:val="auto"/>
              </w:rPr>
            </w:pPr>
            <w:r>
              <w:rPr>
                <w:rFonts w:ascii="Arial" w:cs="Arial" w:eastAsia="Arial" w:hAnsi="Arial"/>
                <w:sz w:val="18"/>
                <w:szCs w:val="18"/>
                <w:color w:val="auto"/>
              </w:rPr>
              <w:t>0</w:t>
            </w:r>
          </w:p>
        </w:tc>
        <w:tc>
          <w:tcPr>
            <w:tcW w:w="300" w:type="dxa"/>
            <w:vAlign w:val="bottom"/>
          </w:tcPr>
          <w:p>
            <w:pPr>
              <w:spacing w:after="0"/>
              <w:rPr>
                <w:sz w:val="18"/>
                <w:szCs w:val="18"/>
                <w:color w:val="auto"/>
              </w:rPr>
            </w:pP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220" w:type="dxa"/>
            <w:vAlign w:val="bottom"/>
          </w:tcPr>
          <w:p>
            <w:pPr>
              <w:spacing w:after="0"/>
              <w:rPr>
                <w:sz w:val="18"/>
                <w:szCs w:val="18"/>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80" w:type="dxa"/>
            <w:vAlign w:val="bottom"/>
          </w:tcPr>
          <w:p>
            <w:pPr>
              <w:spacing w:after="0"/>
              <w:rPr>
                <w:sz w:val="18"/>
                <w:szCs w:val="18"/>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5</w:t>
            </w:r>
          </w:p>
        </w:tc>
        <w:tc>
          <w:tcPr>
            <w:tcW w:w="3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2.0</w:t>
            </w:r>
          </w:p>
        </w:tc>
        <w:tc>
          <w:tcPr>
            <w:tcW w:w="80" w:type="dxa"/>
            <w:vAlign w:val="bottom"/>
          </w:tcPr>
          <w:p>
            <w:pPr>
              <w:spacing w:after="0"/>
              <w:rPr>
                <w:sz w:val="18"/>
                <w:szCs w:val="18"/>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2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23.5</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2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18.8</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w:t>
            </w:r>
          </w:p>
        </w:tc>
        <w:tc>
          <w:tcPr>
            <w:tcW w:w="3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15.0</w:t>
            </w:r>
          </w:p>
        </w:tc>
        <w:tc>
          <w:tcPr>
            <w:tcW w:w="80" w:type="dxa"/>
            <w:vAlign w:val="bottom"/>
            <w:shd w:val="clear" w:color="auto" w:fill="CCEEFF"/>
          </w:tcPr>
          <w:p>
            <w:pPr>
              <w:spacing w:after="0"/>
              <w:rPr>
                <w:sz w:val="18"/>
                <w:szCs w:val="18"/>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Panama</w:t>
            </w:r>
          </w:p>
        </w:tc>
        <w:tc>
          <w:tcPr>
            <w:tcW w:w="20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18</w:t>
            </w:r>
          </w:p>
        </w:tc>
        <w:tc>
          <w:tcPr>
            <w:tcW w:w="2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21.5</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10.8</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34</w:t>
            </w:r>
          </w:p>
        </w:tc>
        <w:tc>
          <w:tcPr>
            <w:tcW w:w="3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13.4</w:t>
            </w:r>
          </w:p>
        </w:tc>
        <w:tc>
          <w:tcPr>
            <w:tcW w:w="80" w:type="dxa"/>
            <w:vAlign w:val="bottom"/>
          </w:tcPr>
          <w:p>
            <w:pPr>
              <w:spacing w:after="0"/>
              <w:rPr>
                <w:sz w:val="18"/>
                <w:szCs w:val="18"/>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Peru</w:t>
            </w:r>
          </w:p>
        </w:tc>
        <w:tc>
          <w:tcPr>
            <w:tcW w:w="20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3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0.0</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w:t>
            </w:r>
          </w:p>
        </w:tc>
        <w:tc>
          <w:tcPr>
            <w:tcW w:w="3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w:t>
            </w:r>
          </w:p>
        </w:tc>
        <w:tc>
          <w:tcPr>
            <w:tcW w:w="80" w:type="dxa"/>
            <w:vAlign w:val="bottom"/>
            <w:shd w:val="clear" w:color="auto" w:fill="CCEEFF"/>
          </w:tcPr>
          <w:p>
            <w:pPr>
              <w:spacing w:after="0"/>
              <w:rPr>
                <w:sz w:val="18"/>
                <w:szCs w:val="18"/>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Trinidad and Tobago</w:t>
            </w:r>
          </w:p>
        </w:tc>
        <w:tc>
          <w:tcPr>
            <w:tcW w:w="200" w:type="dxa"/>
            <w:vAlign w:val="bottom"/>
          </w:tcPr>
          <w:p>
            <w:pPr>
              <w:spacing w:after="0"/>
              <w:rPr>
                <w:sz w:val="18"/>
                <w:szCs w:val="18"/>
                <w:color w:val="auto"/>
              </w:rPr>
            </w:pPr>
          </w:p>
        </w:tc>
        <w:tc>
          <w:tcPr>
            <w:tcW w:w="1320" w:type="dxa"/>
            <w:vAlign w:val="bottom"/>
            <w:gridSpan w:val="2"/>
          </w:tcPr>
          <w:p>
            <w:pPr>
              <w:jc w:val="right"/>
              <w:ind w:right="240"/>
              <w:spacing w:after="0"/>
              <w:rPr>
                <w:sz w:val="20"/>
                <w:szCs w:val="20"/>
                <w:color w:val="auto"/>
              </w:rPr>
            </w:pPr>
            <w:r>
              <w:rPr>
                <w:rFonts w:ascii="Arial" w:cs="Arial" w:eastAsia="Arial" w:hAnsi="Arial"/>
                <w:sz w:val="18"/>
                <w:szCs w:val="18"/>
                <w:color w:val="auto"/>
              </w:rPr>
              <w:t>9</w:t>
            </w:r>
          </w:p>
        </w:tc>
        <w:tc>
          <w:tcPr>
            <w:tcW w:w="300" w:type="dxa"/>
            <w:vAlign w:val="bottom"/>
          </w:tcPr>
          <w:p>
            <w:pPr>
              <w:spacing w:after="0"/>
              <w:rPr>
                <w:sz w:val="18"/>
                <w:szCs w:val="18"/>
                <w:color w:val="auto"/>
              </w:rPr>
            </w:pP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10.0</w:t>
            </w:r>
          </w:p>
        </w:tc>
        <w:tc>
          <w:tcPr>
            <w:tcW w:w="220" w:type="dxa"/>
            <w:vAlign w:val="bottom"/>
          </w:tcPr>
          <w:p>
            <w:pPr>
              <w:spacing w:after="0"/>
              <w:rPr>
                <w:sz w:val="18"/>
                <w:szCs w:val="18"/>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9</w:t>
            </w:r>
          </w:p>
        </w:tc>
        <w:tc>
          <w:tcPr>
            <w:tcW w:w="280" w:type="dxa"/>
            <w:vAlign w:val="bottom"/>
          </w:tcPr>
          <w:p>
            <w:pPr>
              <w:spacing w:after="0"/>
              <w:rPr>
                <w:sz w:val="18"/>
                <w:szCs w:val="18"/>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8.1</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8</w:t>
            </w:r>
          </w:p>
        </w:tc>
        <w:tc>
          <w:tcPr>
            <w:tcW w:w="3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3.4</w:t>
            </w:r>
          </w:p>
        </w:tc>
        <w:tc>
          <w:tcPr>
            <w:tcW w:w="80" w:type="dxa"/>
            <w:vAlign w:val="bottom"/>
          </w:tcPr>
          <w:p>
            <w:pPr>
              <w:spacing w:after="0"/>
              <w:rPr>
                <w:sz w:val="18"/>
                <w:szCs w:val="18"/>
                <w:color w:val="auto"/>
              </w:rPr>
            </w:pPr>
          </w:p>
        </w:tc>
      </w:tr>
      <w:tr>
        <w:trPr>
          <w:trHeight w:val="230"/>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Multilateral Organizations</w:t>
            </w:r>
          </w:p>
        </w:tc>
        <w:tc>
          <w:tcPr>
            <w:tcW w:w="20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30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0.0</w:t>
            </w:r>
          </w:p>
        </w:tc>
        <w:tc>
          <w:tcPr>
            <w:tcW w:w="22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w:t>
            </w:r>
          </w:p>
        </w:tc>
        <w:tc>
          <w:tcPr>
            <w:tcW w:w="2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w:t>
            </w:r>
          </w:p>
        </w:tc>
        <w:tc>
          <w:tcPr>
            <w:tcW w:w="3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10.2</w:t>
            </w:r>
          </w:p>
        </w:tc>
        <w:tc>
          <w:tcPr>
            <w:tcW w:w="80" w:type="dxa"/>
            <w:vAlign w:val="bottom"/>
            <w:shd w:val="clear" w:color="auto" w:fill="CCEEFF"/>
          </w:tcPr>
          <w:p>
            <w:pPr>
              <w:spacing w:after="0"/>
              <w:rPr>
                <w:sz w:val="19"/>
                <w:szCs w:val="19"/>
                <w:color w:val="auto"/>
              </w:rPr>
            </w:pPr>
          </w:p>
        </w:tc>
      </w:tr>
      <w:tr>
        <w:trPr>
          <w:trHeight w:val="223"/>
        </w:trPr>
        <w:tc>
          <w:tcPr>
            <w:tcW w:w="2640" w:type="dxa"/>
            <w:vAlign w:val="bottom"/>
          </w:tcPr>
          <w:p>
            <w:pPr>
              <w:ind w:left="340"/>
              <w:spacing w:after="0"/>
              <w:rPr>
                <w:sz w:val="20"/>
                <w:szCs w:val="20"/>
                <w:color w:val="auto"/>
              </w:rPr>
            </w:pPr>
            <w:r>
              <w:rPr>
                <w:rFonts w:ascii="Arial" w:cs="Arial" w:eastAsia="Arial" w:hAnsi="Arial"/>
                <w:sz w:val="18"/>
                <w:szCs w:val="18"/>
                <w:b w:val="1"/>
                <w:bCs w:val="1"/>
                <w:color w:val="auto"/>
              </w:rPr>
              <w:t>Total</w:t>
            </w: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86</w:t>
            </w:r>
          </w:p>
        </w:tc>
        <w:tc>
          <w:tcPr>
            <w:tcW w:w="240" w:type="dxa"/>
            <w:vAlign w:val="bottom"/>
          </w:tcPr>
          <w:p>
            <w:pPr>
              <w:spacing w:after="0"/>
              <w:rPr>
                <w:sz w:val="19"/>
                <w:szCs w:val="19"/>
                <w:color w:val="auto"/>
              </w:rPr>
            </w:pPr>
          </w:p>
        </w:tc>
        <w:tc>
          <w:tcPr>
            <w:tcW w:w="30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4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w:t>
            </w:r>
          </w:p>
        </w:tc>
        <w:tc>
          <w:tcPr>
            <w:tcW w:w="220" w:type="dxa"/>
            <w:vAlign w:val="bottom"/>
          </w:tcPr>
          <w:p>
            <w:pPr>
              <w:spacing w:after="0"/>
              <w:rPr>
                <w:sz w:val="19"/>
                <w:szCs w:val="19"/>
                <w:color w:val="auto"/>
              </w:rPr>
            </w:pPr>
          </w:p>
        </w:tc>
        <w:tc>
          <w:tcPr>
            <w:tcW w:w="28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w:t>
            </w:r>
          </w:p>
        </w:tc>
        <w:tc>
          <w:tcPr>
            <w:tcW w:w="200" w:type="dxa"/>
            <w:vAlign w:val="bottom"/>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26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2640" w:type="dxa"/>
            <w:vAlign w:val="bottom"/>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20" w:type="dxa"/>
            <w:vAlign w:val="bottom"/>
            <w:tcBorders>
              <w:bottom w:val="single" w:sz="8" w:color="auto"/>
            </w:tcBorders>
            <w:gridSpan w:val="5"/>
          </w:tcPr>
          <w:p>
            <w:pPr>
              <w:ind w:left="360"/>
              <w:spacing w:after="0"/>
              <w:rPr>
                <w:sz w:val="20"/>
                <w:szCs w:val="20"/>
                <w:color w:val="auto"/>
              </w:rPr>
            </w:pPr>
            <w:r>
              <w:rPr>
                <w:rFonts w:ascii="Arial" w:cs="Arial" w:eastAsia="Arial" w:hAnsi="Arial"/>
                <w:sz w:val="18"/>
                <w:szCs w:val="18"/>
                <w:b w:val="1"/>
                <w:bCs w:val="1"/>
                <w:color w:val="auto"/>
              </w:rPr>
              <w:t>As of December 31,</w:t>
            </w: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264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620" w:type="dxa"/>
            <w:vAlign w:val="bottom"/>
            <w:tcBorders>
              <w:bottom w:val="single" w:sz="8" w:color="auto"/>
            </w:tcBorders>
            <w:gridSpan w:val="3"/>
          </w:tcPr>
          <w:p>
            <w:pPr>
              <w:jc w:val="right"/>
              <w:ind w:right="240"/>
              <w:spacing w:after="0"/>
              <w:rPr>
                <w:sz w:val="20"/>
                <w:szCs w:val="20"/>
                <w:color w:val="auto"/>
              </w:rPr>
            </w:pPr>
            <w:r>
              <w:rPr>
                <w:rFonts w:ascii="Arial" w:cs="Arial" w:eastAsia="Arial" w:hAnsi="Arial"/>
                <w:sz w:val="18"/>
                <w:szCs w:val="18"/>
                <w:b w:val="1"/>
                <w:bCs w:val="1"/>
                <w:color w:val="auto"/>
              </w:rPr>
              <w:t>2017</w:t>
            </w:r>
          </w:p>
        </w:tc>
        <w:tc>
          <w:tcPr>
            <w:tcW w:w="960" w:type="dxa"/>
            <w:vAlign w:val="bottom"/>
            <w:tcBorders>
              <w:bottom w:val="single" w:sz="8" w:color="auto"/>
            </w:tcBorders>
          </w:tcPr>
          <w:p>
            <w:pPr>
              <w:spacing w:after="0"/>
              <w:rPr>
                <w:sz w:val="19"/>
                <w:szCs w:val="19"/>
                <w:color w:val="auto"/>
              </w:rPr>
            </w:pPr>
          </w:p>
        </w:tc>
        <w:tc>
          <w:tcPr>
            <w:tcW w:w="24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8"/>
                <w:szCs w:val="18"/>
                <w:b w:val="1"/>
                <w:bCs w:val="1"/>
                <w:color w:val="auto"/>
              </w:rPr>
              <w:t>2016</w:t>
            </w:r>
          </w:p>
        </w:tc>
        <w:tc>
          <w:tcPr>
            <w:tcW w:w="9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580" w:type="dxa"/>
            <w:vAlign w:val="bottom"/>
            <w:tcBorders>
              <w:bottom w:val="single" w:sz="8" w:color="auto"/>
            </w:tcBorders>
            <w:gridSpan w:val="3"/>
          </w:tcPr>
          <w:p>
            <w:pPr>
              <w:jc w:val="right"/>
              <w:ind w:right="240"/>
              <w:spacing w:after="0"/>
              <w:rPr>
                <w:sz w:val="20"/>
                <w:szCs w:val="20"/>
                <w:color w:val="auto"/>
              </w:rPr>
            </w:pPr>
            <w:r>
              <w:rPr>
                <w:rFonts w:ascii="Arial" w:cs="Arial" w:eastAsia="Arial" w:hAnsi="Arial"/>
                <w:sz w:val="18"/>
                <w:szCs w:val="18"/>
                <w:b w:val="1"/>
                <w:bCs w:val="1"/>
                <w:color w:val="auto"/>
              </w:rPr>
              <w:t>2015</w:t>
            </w:r>
          </w:p>
        </w:tc>
        <w:tc>
          <w:tcPr>
            <w:tcW w:w="94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264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620" w:type="dxa"/>
            <w:vAlign w:val="bottom"/>
            <w:tcBorders>
              <w:bottom w:val="single" w:sz="8" w:color="auto"/>
            </w:tcBorders>
            <w:gridSpan w:val="3"/>
          </w:tcPr>
          <w:p>
            <w:pPr>
              <w:jc w:val="right"/>
              <w:ind w:right="860"/>
              <w:spacing w:after="0"/>
              <w:rPr>
                <w:sz w:val="20"/>
                <w:szCs w:val="20"/>
                <w:color w:val="auto"/>
              </w:rPr>
            </w:pPr>
            <w:r>
              <w:rPr>
                <w:rFonts w:ascii="Arial" w:cs="Arial" w:eastAsia="Arial" w:hAnsi="Arial"/>
                <w:sz w:val="18"/>
                <w:szCs w:val="18"/>
                <w:b w:val="1"/>
                <w:bCs w:val="1"/>
                <w:color w:val="auto"/>
              </w:rPr>
              <w:t>Amount</w:t>
            </w:r>
          </w:p>
        </w:tc>
        <w:tc>
          <w:tcPr>
            <w:tcW w:w="9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w:t>
            </w:r>
          </w:p>
        </w:tc>
        <w:tc>
          <w:tcPr>
            <w:tcW w:w="24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gridSpan w:val="3"/>
          </w:tcPr>
          <w:p>
            <w:pPr>
              <w:jc w:val="right"/>
              <w:ind w:right="820"/>
              <w:spacing w:after="0"/>
              <w:rPr>
                <w:sz w:val="20"/>
                <w:szCs w:val="20"/>
                <w:color w:val="auto"/>
              </w:rPr>
            </w:pPr>
            <w:r>
              <w:rPr>
                <w:rFonts w:ascii="Arial" w:cs="Arial" w:eastAsia="Arial" w:hAnsi="Arial"/>
                <w:sz w:val="18"/>
                <w:szCs w:val="18"/>
                <w:b w:val="1"/>
                <w:bCs w:val="1"/>
                <w:color w:val="auto"/>
              </w:rPr>
              <w:t>Amount</w:t>
            </w:r>
          </w:p>
        </w:tc>
        <w:tc>
          <w:tcPr>
            <w:tcW w:w="9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580" w:type="dxa"/>
            <w:vAlign w:val="bottom"/>
            <w:tcBorders>
              <w:bottom w:val="single" w:sz="8" w:color="auto"/>
            </w:tcBorders>
            <w:gridSpan w:val="3"/>
          </w:tcPr>
          <w:p>
            <w:pPr>
              <w:jc w:val="right"/>
              <w:ind w:right="840"/>
              <w:spacing w:after="0"/>
              <w:rPr>
                <w:sz w:val="20"/>
                <w:szCs w:val="20"/>
                <w:color w:val="auto"/>
              </w:rPr>
            </w:pPr>
            <w:r>
              <w:rPr>
                <w:rFonts w:ascii="Arial" w:cs="Arial" w:eastAsia="Arial" w:hAnsi="Arial"/>
                <w:sz w:val="18"/>
                <w:szCs w:val="18"/>
                <w:b w:val="1"/>
                <w:bCs w:val="1"/>
                <w:color w:val="auto"/>
              </w:rPr>
              <w:t>Amount</w:t>
            </w:r>
          </w:p>
        </w:tc>
        <w:tc>
          <w:tcPr>
            <w:tcW w:w="9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0"/>
        </w:trPr>
        <w:tc>
          <w:tcPr>
            <w:tcW w:w="26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40" w:type="dxa"/>
            <w:vAlign w:val="bottom"/>
            <w:gridSpan w:val="6"/>
          </w:tcPr>
          <w:p>
            <w:pPr>
              <w:ind w:left="20"/>
              <w:spacing w:after="0"/>
              <w:rPr>
                <w:sz w:val="20"/>
                <w:szCs w:val="20"/>
                <w:color w:val="auto"/>
              </w:rPr>
            </w:pPr>
            <w:r>
              <w:rPr>
                <w:rFonts w:ascii="Arial" w:cs="Arial" w:eastAsia="Arial" w:hAnsi="Arial"/>
                <w:sz w:val="18"/>
                <w:szCs w:val="18"/>
                <w:b w:val="1"/>
                <w:bCs w:val="1"/>
                <w:color w:val="auto"/>
                <w:w w:val="95"/>
              </w:rPr>
              <w:t>(in $ millions, except percentages)</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2"/>
        </w:trPr>
        <w:tc>
          <w:tcPr>
            <w:tcW w:w="26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Private sector commercial banks</w:t>
            </w: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0"/>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and financial institutions</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w:t>
            </w:r>
          </w:p>
        </w:tc>
        <w:tc>
          <w:tcPr>
            <w:tcW w:w="300" w:type="dxa"/>
            <w:vAlign w:val="bottom"/>
            <w:shd w:val="clear" w:color="auto" w:fill="CCEEFF"/>
          </w:tcPr>
          <w:p>
            <w:pPr>
              <w:spacing w:after="0"/>
              <w:rPr>
                <w:sz w:val="20"/>
                <w:szCs w:val="20"/>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13.4</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28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w:t>
            </w:r>
          </w:p>
        </w:tc>
        <w:tc>
          <w:tcPr>
            <w:tcW w:w="300" w:type="dxa"/>
            <w:vAlign w:val="bottom"/>
            <w:gridSpan w:val="2"/>
            <w:shd w:val="clear" w:color="auto" w:fill="CCEEFF"/>
          </w:tcPr>
          <w:p>
            <w:pPr>
              <w:jc w:val="right"/>
              <w:ind w:right="25"/>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76</w:t>
            </w:r>
          </w:p>
        </w:tc>
        <w:tc>
          <w:tcPr>
            <w:tcW w:w="320" w:type="dxa"/>
            <w:vAlign w:val="bottom"/>
            <w:shd w:val="clear" w:color="auto" w:fill="CCEEFF"/>
          </w:tcPr>
          <w:p>
            <w:pPr>
              <w:spacing w:after="0"/>
              <w:rPr>
                <w:sz w:val="20"/>
                <w:szCs w:val="20"/>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30.3</w:t>
            </w:r>
          </w:p>
        </w:tc>
        <w:tc>
          <w:tcPr>
            <w:tcW w:w="80" w:type="dxa"/>
            <w:vAlign w:val="bottom"/>
            <w:shd w:val="clear" w:color="auto" w:fill="CCEEFF"/>
          </w:tcPr>
          <w:p>
            <w:pPr>
              <w:spacing w:after="0"/>
              <w:rPr>
                <w:sz w:val="20"/>
                <w:szCs w:val="20"/>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State-owned commercial banks</w:t>
            </w:r>
          </w:p>
        </w:tc>
        <w:tc>
          <w:tcPr>
            <w:tcW w:w="200" w:type="dxa"/>
            <w:vAlign w:val="bottom"/>
          </w:tcPr>
          <w:p>
            <w:pPr>
              <w:spacing w:after="0"/>
              <w:rPr>
                <w:sz w:val="18"/>
                <w:szCs w:val="18"/>
                <w:color w:val="auto"/>
              </w:rPr>
            </w:pPr>
          </w:p>
        </w:tc>
        <w:tc>
          <w:tcPr>
            <w:tcW w:w="1320" w:type="dxa"/>
            <w:vAlign w:val="bottom"/>
            <w:gridSpan w:val="2"/>
          </w:tcPr>
          <w:p>
            <w:pPr>
              <w:jc w:val="right"/>
              <w:ind w:right="240"/>
              <w:spacing w:after="0"/>
              <w:rPr>
                <w:sz w:val="20"/>
                <w:szCs w:val="20"/>
                <w:color w:val="auto"/>
              </w:rPr>
            </w:pPr>
            <w:r>
              <w:rPr>
                <w:rFonts w:ascii="Arial" w:cs="Arial" w:eastAsia="Arial" w:hAnsi="Arial"/>
                <w:sz w:val="18"/>
                <w:szCs w:val="18"/>
                <w:color w:val="auto"/>
              </w:rPr>
              <w:t>3</w:t>
            </w:r>
          </w:p>
        </w:tc>
        <w:tc>
          <w:tcPr>
            <w:tcW w:w="300" w:type="dxa"/>
            <w:vAlign w:val="bottom"/>
          </w:tcPr>
          <w:p>
            <w:pPr>
              <w:spacing w:after="0"/>
              <w:rPr>
                <w:sz w:val="18"/>
                <w:szCs w:val="18"/>
                <w:color w:val="auto"/>
              </w:rPr>
            </w:pP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3.4</w:t>
            </w:r>
          </w:p>
        </w:tc>
        <w:tc>
          <w:tcPr>
            <w:tcW w:w="220" w:type="dxa"/>
            <w:vAlign w:val="bottom"/>
          </w:tcPr>
          <w:p>
            <w:pPr>
              <w:spacing w:after="0"/>
              <w:rPr>
                <w:sz w:val="18"/>
                <w:szCs w:val="18"/>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3</w:t>
            </w:r>
          </w:p>
        </w:tc>
        <w:tc>
          <w:tcPr>
            <w:tcW w:w="280" w:type="dxa"/>
            <w:vAlign w:val="bottom"/>
          </w:tcPr>
          <w:p>
            <w:pPr>
              <w:spacing w:after="0"/>
              <w:rPr>
                <w:sz w:val="18"/>
                <w:szCs w:val="18"/>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2.6</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7</w:t>
            </w:r>
          </w:p>
        </w:tc>
        <w:tc>
          <w:tcPr>
            <w:tcW w:w="3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2.9</w:t>
            </w:r>
          </w:p>
        </w:tc>
        <w:tc>
          <w:tcPr>
            <w:tcW w:w="80" w:type="dxa"/>
            <w:vAlign w:val="bottom"/>
          </w:tcPr>
          <w:p>
            <w:pPr>
              <w:spacing w:after="0"/>
              <w:rPr>
                <w:sz w:val="18"/>
                <w:szCs w:val="18"/>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Sovereign debt</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w:t>
            </w:r>
          </w:p>
        </w:tc>
        <w:tc>
          <w:tcPr>
            <w:tcW w:w="2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55.7</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w:t>
            </w:r>
          </w:p>
        </w:tc>
        <w:tc>
          <w:tcPr>
            <w:tcW w:w="2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45.2</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w:t>
            </w:r>
          </w:p>
        </w:tc>
        <w:tc>
          <w:tcPr>
            <w:tcW w:w="3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23.4</w:t>
            </w:r>
          </w:p>
        </w:tc>
        <w:tc>
          <w:tcPr>
            <w:tcW w:w="80" w:type="dxa"/>
            <w:vAlign w:val="bottom"/>
            <w:shd w:val="clear" w:color="auto" w:fill="CCEEFF"/>
          </w:tcPr>
          <w:p>
            <w:pPr>
              <w:spacing w:after="0"/>
              <w:rPr>
                <w:sz w:val="18"/>
                <w:szCs w:val="18"/>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State-owned organizations</w:t>
            </w:r>
          </w:p>
        </w:tc>
        <w:tc>
          <w:tcPr>
            <w:tcW w:w="20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24</w:t>
            </w:r>
          </w:p>
        </w:tc>
        <w:tc>
          <w:tcPr>
            <w:tcW w:w="2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27.5</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35</w:t>
            </w:r>
          </w:p>
        </w:tc>
        <w:tc>
          <w:tcPr>
            <w:tcW w:w="2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32.4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99</w:t>
            </w:r>
          </w:p>
        </w:tc>
        <w:tc>
          <w:tcPr>
            <w:tcW w:w="3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39.4</w:t>
            </w:r>
          </w:p>
        </w:tc>
        <w:tc>
          <w:tcPr>
            <w:tcW w:w="80" w:type="dxa"/>
            <w:vAlign w:val="bottom"/>
          </w:tcPr>
          <w:p>
            <w:pPr>
              <w:spacing w:after="0"/>
              <w:rPr>
                <w:sz w:val="18"/>
                <w:szCs w:val="18"/>
                <w:color w:val="auto"/>
              </w:rPr>
            </w:pPr>
          </w:p>
        </w:tc>
      </w:tr>
      <w:tr>
        <w:trPr>
          <w:trHeight w:val="230"/>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Private corporations</w:t>
            </w:r>
          </w:p>
        </w:tc>
        <w:tc>
          <w:tcPr>
            <w:tcW w:w="20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30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0.0</w:t>
            </w:r>
          </w:p>
        </w:tc>
        <w:tc>
          <w:tcPr>
            <w:tcW w:w="22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2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15.7</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w:t>
            </w:r>
          </w:p>
        </w:tc>
        <w:tc>
          <w:tcPr>
            <w:tcW w:w="3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w:t>
            </w:r>
          </w:p>
        </w:tc>
        <w:tc>
          <w:tcPr>
            <w:tcW w:w="80" w:type="dxa"/>
            <w:vAlign w:val="bottom"/>
            <w:shd w:val="clear" w:color="auto" w:fill="CCEEFF"/>
          </w:tcPr>
          <w:p>
            <w:pPr>
              <w:spacing w:after="0"/>
              <w:rPr>
                <w:sz w:val="19"/>
                <w:szCs w:val="19"/>
                <w:color w:val="auto"/>
              </w:rPr>
            </w:pPr>
          </w:p>
        </w:tc>
      </w:tr>
      <w:tr>
        <w:trPr>
          <w:trHeight w:val="223"/>
        </w:trPr>
        <w:tc>
          <w:tcPr>
            <w:tcW w:w="2640" w:type="dxa"/>
            <w:vAlign w:val="bottom"/>
          </w:tcPr>
          <w:p>
            <w:pPr>
              <w:ind w:left="340"/>
              <w:spacing w:after="0"/>
              <w:rPr>
                <w:sz w:val="20"/>
                <w:szCs w:val="20"/>
                <w:color w:val="auto"/>
              </w:rPr>
            </w:pPr>
            <w:r>
              <w:rPr>
                <w:rFonts w:ascii="Arial" w:cs="Arial" w:eastAsia="Arial" w:hAnsi="Arial"/>
                <w:sz w:val="18"/>
                <w:szCs w:val="18"/>
                <w:b w:val="1"/>
                <w:bCs w:val="1"/>
                <w:color w:val="auto"/>
              </w:rPr>
              <w:t>Total</w:t>
            </w: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86</w:t>
            </w:r>
          </w:p>
        </w:tc>
        <w:tc>
          <w:tcPr>
            <w:tcW w:w="240" w:type="dxa"/>
            <w:vAlign w:val="bottom"/>
          </w:tcPr>
          <w:p>
            <w:pPr>
              <w:spacing w:after="0"/>
              <w:rPr>
                <w:sz w:val="19"/>
                <w:szCs w:val="19"/>
                <w:color w:val="auto"/>
              </w:rPr>
            </w:pPr>
          </w:p>
        </w:tc>
        <w:tc>
          <w:tcPr>
            <w:tcW w:w="30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4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w:t>
            </w:r>
          </w:p>
        </w:tc>
        <w:tc>
          <w:tcPr>
            <w:tcW w:w="220" w:type="dxa"/>
            <w:vAlign w:val="bottom"/>
          </w:tcPr>
          <w:p>
            <w:pPr>
              <w:spacing w:after="0"/>
              <w:rPr>
                <w:sz w:val="19"/>
                <w:szCs w:val="19"/>
                <w:color w:val="auto"/>
              </w:rPr>
            </w:pPr>
          </w:p>
        </w:tc>
        <w:tc>
          <w:tcPr>
            <w:tcW w:w="28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w:t>
            </w:r>
          </w:p>
        </w:tc>
        <w:tc>
          <w:tcPr>
            <w:tcW w:w="200" w:type="dxa"/>
            <w:vAlign w:val="bottom"/>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26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2640" w:type="dxa"/>
            <w:vAlign w:val="bottom"/>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20" w:type="dxa"/>
            <w:vAlign w:val="bottom"/>
            <w:tcBorders>
              <w:bottom w:val="single" w:sz="8" w:color="auto"/>
            </w:tcBorders>
            <w:gridSpan w:val="5"/>
          </w:tcPr>
          <w:p>
            <w:pPr>
              <w:ind w:left="360"/>
              <w:spacing w:after="0"/>
              <w:rPr>
                <w:sz w:val="20"/>
                <w:szCs w:val="20"/>
                <w:color w:val="auto"/>
              </w:rPr>
            </w:pPr>
            <w:r>
              <w:rPr>
                <w:rFonts w:ascii="Arial" w:cs="Arial" w:eastAsia="Arial" w:hAnsi="Arial"/>
                <w:sz w:val="18"/>
                <w:szCs w:val="18"/>
                <w:b w:val="1"/>
                <w:bCs w:val="1"/>
                <w:color w:val="auto"/>
              </w:rPr>
              <w:t>As of December 31,</w:t>
            </w: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264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620" w:type="dxa"/>
            <w:vAlign w:val="bottom"/>
            <w:tcBorders>
              <w:bottom w:val="single" w:sz="8" w:color="auto"/>
            </w:tcBorders>
            <w:gridSpan w:val="3"/>
          </w:tcPr>
          <w:p>
            <w:pPr>
              <w:jc w:val="right"/>
              <w:ind w:right="240"/>
              <w:spacing w:after="0"/>
              <w:rPr>
                <w:sz w:val="20"/>
                <w:szCs w:val="20"/>
                <w:color w:val="auto"/>
              </w:rPr>
            </w:pPr>
            <w:r>
              <w:rPr>
                <w:rFonts w:ascii="Arial" w:cs="Arial" w:eastAsia="Arial" w:hAnsi="Arial"/>
                <w:sz w:val="18"/>
                <w:szCs w:val="18"/>
                <w:b w:val="1"/>
                <w:bCs w:val="1"/>
                <w:color w:val="auto"/>
              </w:rPr>
              <w:t>2017</w:t>
            </w:r>
          </w:p>
        </w:tc>
        <w:tc>
          <w:tcPr>
            <w:tcW w:w="960" w:type="dxa"/>
            <w:vAlign w:val="bottom"/>
            <w:tcBorders>
              <w:bottom w:val="single" w:sz="8" w:color="auto"/>
            </w:tcBorders>
          </w:tcPr>
          <w:p>
            <w:pPr>
              <w:spacing w:after="0"/>
              <w:rPr>
                <w:sz w:val="19"/>
                <w:szCs w:val="19"/>
                <w:color w:val="auto"/>
              </w:rPr>
            </w:pPr>
          </w:p>
        </w:tc>
        <w:tc>
          <w:tcPr>
            <w:tcW w:w="24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8"/>
                <w:szCs w:val="18"/>
                <w:b w:val="1"/>
                <w:bCs w:val="1"/>
                <w:color w:val="auto"/>
              </w:rPr>
              <w:t>2016</w:t>
            </w:r>
          </w:p>
        </w:tc>
        <w:tc>
          <w:tcPr>
            <w:tcW w:w="9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580" w:type="dxa"/>
            <w:vAlign w:val="bottom"/>
            <w:tcBorders>
              <w:bottom w:val="single" w:sz="8" w:color="auto"/>
            </w:tcBorders>
            <w:gridSpan w:val="3"/>
          </w:tcPr>
          <w:p>
            <w:pPr>
              <w:jc w:val="right"/>
              <w:ind w:right="240"/>
              <w:spacing w:after="0"/>
              <w:rPr>
                <w:sz w:val="20"/>
                <w:szCs w:val="20"/>
                <w:color w:val="auto"/>
              </w:rPr>
            </w:pPr>
            <w:r>
              <w:rPr>
                <w:rFonts w:ascii="Arial" w:cs="Arial" w:eastAsia="Arial" w:hAnsi="Arial"/>
                <w:sz w:val="18"/>
                <w:szCs w:val="18"/>
                <w:b w:val="1"/>
                <w:bCs w:val="1"/>
                <w:color w:val="auto"/>
              </w:rPr>
              <w:t>2015</w:t>
            </w:r>
          </w:p>
        </w:tc>
        <w:tc>
          <w:tcPr>
            <w:tcW w:w="94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264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620" w:type="dxa"/>
            <w:vAlign w:val="bottom"/>
            <w:tcBorders>
              <w:bottom w:val="single" w:sz="8" w:color="auto"/>
            </w:tcBorders>
            <w:gridSpan w:val="3"/>
          </w:tcPr>
          <w:p>
            <w:pPr>
              <w:jc w:val="right"/>
              <w:ind w:right="860"/>
              <w:spacing w:after="0"/>
              <w:rPr>
                <w:sz w:val="20"/>
                <w:szCs w:val="20"/>
                <w:color w:val="auto"/>
              </w:rPr>
            </w:pPr>
            <w:r>
              <w:rPr>
                <w:rFonts w:ascii="Arial" w:cs="Arial" w:eastAsia="Arial" w:hAnsi="Arial"/>
                <w:sz w:val="18"/>
                <w:szCs w:val="18"/>
                <w:b w:val="1"/>
                <w:bCs w:val="1"/>
                <w:color w:val="auto"/>
              </w:rPr>
              <w:t>Amount</w:t>
            </w:r>
          </w:p>
        </w:tc>
        <w:tc>
          <w:tcPr>
            <w:tcW w:w="9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w:t>
            </w:r>
          </w:p>
        </w:tc>
        <w:tc>
          <w:tcPr>
            <w:tcW w:w="24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gridSpan w:val="3"/>
          </w:tcPr>
          <w:p>
            <w:pPr>
              <w:jc w:val="right"/>
              <w:ind w:right="820"/>
              <w:spacing w:after="0"/>
              <w:rPr>
                <w:sz w:val="20"/>
                <w:szCs w:val="20"/>
                <w:color w:val="auto"/>
              </w:rPr>
            </w:pPr>
            <w:r>
              <w:rPr>
                <w:rFonts w:ascii="Arial" w:cs="Arial" w:eastAsia="Arial" w:hAnsi="Arial"/>
                <w:sz w:val="18"/>
                <w:szCs w:val="18"/>
                <w:b w:val="1"/>
                <w:bCs w:val="1"/>
                <w:color w:val="auto"/>
              </w:rPr>
              <w:t>Amount</w:t>
            </w:r>
          </w:p>
        </w:tc>
        <w:tc>
          <w:tcPr>
            <w:tcW w:w="9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580" w:type="dxa"/>
            <w:vAlign w:val="bottom"/>
            <w:tcBorders>
              <w:bottom w:val="single" w:sz="8" w:color="auto"/>
            </w:tcBorders>
            <w:gridSpan w:val="3"/>
          </w:tcPr>
          <w:p>
            <w:pPr>
              <w:jc w:val="right"/>
              <w:ind w:right="840"/>
              <w:spacing w:after="0"/>
              <w:rPr>
                <w:sz w:val="20"/>
                <w:szCs w:val="20"/>
                <w:color w:val="auto"/>
              </w:rPr>
            </w:pPr>
            <w:r>
              <w:rPr>
                <w:rFonts w:ascii="Arial" w:cs="Arial" w:eastAsia="Arial" w:hAnsi="Arial"/>
                <w:sz w:val="18"/>
                <w:szCs w:val="18"/>
                <w:b w:val="1"/>
                <w:bCs w:val="1"/>
                <w:color w:val="auto"/>
              </w:rPr>
              <w:t>Amount</w:t>
            </w:r>
          </w:p>
        </w:tc>
        <w:tc>
          <w:tcPr>
            <w:tcW w:w="9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0"/>
        </w:trPr>
        <w:tc>
          <w:tcPr>
            <w:tcW w:w="26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40" w:type="dxa"/>
            <w:vAlign w:val="bottom"/>
            <w:gridSpan w:val="6"/>
          </w:tcPr>
          <w:p>
            <w:pPr>
              <w:ind w:left="20"/>
              <w:spacing w:after="0"/>
              <w:rPr>
                <w:sz w:val="20"/>
                <w:szCs w:val="20"/>
                <w:color w:val="auto"/>
              </w:rPr>
            </w:pPr>
            <w:r>
              <w:rPr>
                <w:rFonts w:ascii="Arial" w:cs="Arial" w:eastAsia="Arial" w:hAnsi="Arial"/>
                <w:sz w:val="18"/>
                <w:szCs w:val="18"/>
                <w:b w:val="1"/>
                <w:bCs w:val="1"/>
                <w:color w:val="auto"/>
                <w:w w:val="95"/>
              </w:rPr>
              <w:t>(in $ millions, except percentages)</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In one year</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w:t>
            </w:r>
          </w:p>
        </w:tc>
        <w:tc>
          <w:tcPr>
            <w:tcW w:w="3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9.3</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w:t>
            </w:r>
          </w:p>
        </w:tc>
        <w:tc>
          <w:tcPr>
            <w:tcW w:w="300" w:type="dxa"/>
            <w:vAlign w:val="bottom"/>
            <w:gridSpan w:val="2"/>
            <w:shd w:val="clear" w:color="auto" w:fill="CCEEFF"/>
          </w:tcPr>
          <w:p>
            <w:pPr>
              <w:jc w:val="right"/>
              <w:ind w:right="25"/>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w:t>
            </w:r>
          </w:p>
        </w:tc>
        <w:tc>
          <w:tcPr>
            <w:tcW w:w="3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19.4</w:t>
            </w:r>
          </w:p>
        </w:tc>
        <w:tc>
          <w:tcPr>
            <w:tcW w:w="80" w:type="dxa"/>
            <w:vAlign w:val="bottom"/>
            <w:shd w:val="clear" w:color="auto" w:fill="CCEEFF"/>
          </w:tcPr>
          <w:p>
            <w:pPr>
              <w:spacing w:after="0"/>
              <w:rPr>
                <w:sz w:val="18"/>
                <w:szCs w:val="18"/>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After one year through five years</w:t>
            </w:r>
          </w:p>
        </w:tc>
        <w:tc>
          <w:tcPr>
            <w:tcW w:w="20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78</w:t>
            </w:r>
          </w:p>
        </w:tc>
        <w:tc>
          <w:tcPr>
            <w:tcW w:w="2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90.7</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85</w:t>
            </w:r>
          </w:p>
        </w:tc>
        <w:tc>
          <w:tcPr>
            <w:tcW w:w="2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78.9</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113</w:t>
            </w:r>
          </w:p>
        </w:tc>
        <w:tc>
          <w:tcPr>
            <w:tcW w:w="3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45.0</w:t>
            </w:r>
          </w:p>
        </w:tc>
        <w:tc>
          <w:tcPr>
            <w:tcW w:w="80" w:type="dxa"/>
            <w:vAlign w:val="bottom"/>
          </w:tcPr>
          <w:p>
            <w:pPr>
              <w:spacing w:after="0"/>
              <w:rPr>
                <w:sz w:val="18"/>
                <w:szCs w:val="18"/>
                <w:color w:val="auto"/>
              </w:rPr>
            </w:pPr>
          </w:p>
        </w:tc>
      </w:tr>
      <w:tr>
        <w:trPr>
          <w:trHeight w:val="230"/>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w w:val="98"/>
              </w:rPr>
              <w:t>After five years through ten years</w:t>
            </w:r>
          </w:p>
        </w:tc>
        <w:tc>
          <w:tcPr>
            <w:tcW w:w="20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30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0.0</w:t>
            </w:r>
          </w:p>
        </w:tc>
        <w:tc>
          <w:tcPr>
            <w:tcW w:w="22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w:t>
            </w:r>
          </w:p>
        </w:tc>
        <w:tc>
          <w:tcPr>
            <w:tcW w:w="2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17.4</w:t>
            </w:r>
          </w:p>
        </w:tc>
        <w:tc>
          <w:tcPr>
            <w:tcW w:w="1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89</w:t>
            </w:r>
          </w:p>
        </w:tc>
        <w:tc>
          <w:tcPr>
            <w:tcW w:w="3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35.5</w:t>
            </w:r>
          </w:p>
        </w:tc>
        <w:tc>
          <w:tcPr>
            <w:tcW w:w="80" w:type="dxa"/>
            <w:vAlign w:val="bottom"/>
            <w:shd w:val="clear" w:color="auto" w:fill="CCEEFF"/>
          </w:tcPr>
          <w:p>
            <w:pPr>
              <w:spacing w:after="0"/>
              <w:rPr>
                <w:sz w:val="19"/>
                <w:szCs w:val="19"/>
                <w:color w:val="auto"/>
              </w:rPr>
            </w:pPr>
          </w:p>
        </w:tc>
      </w:tr>
      <w:tr>
        <w:trPr>
          <w:trHeight w:val="223"/>
        </w:trPr>
        <w:tc>
          <w:tcPr>
            <w:tcW w:w="2640" w:type="dxa"/>
            <w:vAlign w:val="bottom"/>
          </w:tcPr>
          <w:p>
            <w:pPr>
              <w:ind w:left="340"/>
              <w:spacing w:after="0"/>
              <w:rPr>
                <w:sz w:val="20"/>
                <w:szCs w:val="20"/>
                <w:color w:val="auto"/>
              </w:rPr>
            </w:pPr>
            <w:r>
              <w:rPr>
                <w:rFonts w:ascii="Arial" w:cs="Arial" w:eastAsia="Arial" w:hAnsi="Arial"/>
                <w:sz w:val="18"/>
                <w:szCs w:val="18"/>
                <w:b w:val="1"/>
                <w:bCs w:val="1"/>
                <w:color w:val="auto"/>
              </w:rPr>
              <w:t>Total</w:t>
            </w: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86</w:t>
            </w:r>
          </w:p>
        </w:tc>
        <w:tc>
          <w:tcPr>
            <w:tcW w:w="240" w:type="dxa"/>
            <w:vAlign w:val="bottom"/>
          </w:tcPr>
          <w:p>
            <w:pPr>
              <w:spacing w:after="0"/>
              <w:rPr>
                <w:sz w:val="19"/>
                <w:szCs w:val="19"/>
                <w:color w:val="auto"/>
              </w:rPr>
            </w:pPr>
          </w:p>
        </w:tc>
        <w:tc>
          <w:tcPr>
            <w:tcW w:w="30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4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w:t>
            </w:r>
          </w:p>
        </w:tc>
        <w:tc>
          <w:tcPr>
            <w:tcW w:w="220" w:type="dxa"/>
            <w:vAlign w:val="bottom"/>
          </w:tcPr>
          <w:p>
            <w:pPr>
              <w:spacing w:after="0"/>
              <w:rPr>
                <w:sz w:val="19"/>
                <w:szCs w:val="19"/>
                <w:color w:val="auto"/>
              </w:rPr>
            </w:pPr>
          </w:p>
        </w:tc>
        <w:tc>
          <w:tcPr>
            <w:tcW w:w="28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w:t>
            </w:r>
          </w:p>
        </w:tc>
        <w:tc>
          <w:tcPr>
            <w:tcW w:w="200" w:type="dxa"/>
            <w:vAlign w:val="bottom"/>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26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7"/>
          <w:szCs w:val="17"/>
          <w:color w:val="auto"/>
        </w:rPr>
        <w:t>As of December 31, 2017, 2016 and 2015, securities held by the Bank of any single issuer did not exceed 10% of the Bank’s stockholders equity.</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Financial instruments at FVOCI</w:t>
      </w:r>
    </w:p>
    <w:p>
      <w:pPr>
        <w:spacing w:after="0" w:line="225"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As of December 31, 2017, financial instruments at FVOCI totaled $25 million, which consisted of (i) equity investments at FVOCI of $8 million, corresponding to equity securities classified with the irrevocable option of changes in OCI, and (ii) securities at FVOCI of $17 million, related to investments in securities in the Region, issued by sovereign and state-owned issuers. The $6 million decrease on the Bank’s financial instruments at FVOCI from the prior period was mainly attributable to the sale of investment securities as the Bank continued to decrease its holdings in this category to reduce market risk.</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0" w:name="page31"/>
    <w:bookmarkEnd w:id="30"/>
    <w:p>
      <w:pPr>
        <w:jc w:val="both"/>
        <w:spacing w:after="0" w:line="302" w:lineRule="auto"/>
        <w:rPr>
          <w:sz w:val="20"/>
          <w:szCs w:val="20"/>
          <w:color w:val="auto"/>
        </w:rPr>
      </w:pPr>
      <w:r>
        <w:rPr>
          <w:rFonts w:ascii="Arial" w:cs="Arial" w:eastAsia="Arial" w:hAnsi="Arial"/>
          <w:sz w:val="16"/>
          <w:szCs w:val="16"/>
          <w:color w:val="auto"/>
        </w:rPr>
        <w:t>As of December 31, 2016, the Bank’s financial instruments at FVOCI decreased to $30 million, from $142 million as of December 31, 2015, as the Bank sold $103 million and redeemed $107 million of financial instruments at FVOCI, while $84 million were purchased, resulting in a net loss of $0.4 million. As of December 31, 2016, the Bank did not have equity investments at FVOCI and the securities at FVOCI consisted of investments in securities of issuers in the Region, of which 90% corresponded to multilateral, sovereign and state-owned issuers, and 10% corresponded to private banks and corporations.</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2017 and 2016, there were no securities at FVOCI guaranteeing repurchase transactions.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notes 3.3.6 and 5.2.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Securities at amortized cost</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investment securities at amortized cost totaled $69 million as of December 31, 2017, compared to $78 million as of December 31, 2016. The $9 million decrease during the year in the investment securities at amortized cost portfolio was mostly attributable to the proceeds of $18 million of matured investment securities, net of the $10 million investment securities acquired during 2017.</w:t>
      </w:r>
    </w:p>
    <w:p>
      <w:pPr>
        <w:spacing w:after="0" w:line="181"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As of December 31, 2016, the Bank’s securities at amortized cost decreased to $78 million, from $109 million as of December 31, 2015. The $31 million, or 28%, decrease during the year in the securities at amortized cost portfolio was mostly attributable to the redemption of $55 million of matured investment securities, net of the $25 million in investment securities acquired during 2016.</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2017 and 2016, there were no investment securities at amortized cost guaranteeing repurchase transactions.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notes 3.3.7 and 5.3.</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Total Gross Outstandings by Country</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following table sets forth the aggregate gross amount of the Bank’s cross-border outstandings, consisting of cash and due from banks, interest-bearing deposits in banks, financial instruments at FVTPL, financial instruments at FVOCI, securities and loans at amortized cost, and accrued interest receivable, as of December 31 of each year:</w:t>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64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600" w:type="dxa"/>
            <w:vAlign w:val="bottom"/>
            <w:tcBorders>
              <w:bottom w:val="single" w:sz="8" w:color="auto"/>
            </w:tcBorders>
            <w:gridSpan w:val="3"/>
          </w:tcPr>
          <w:p>
            <w:pPr>
              <w:ind w:left="340"/>
              <w:spacing w:after="0"/>
              <w:rPr>
                <w:sz w:val="20"/>
                <w:szCs w:val="20"/>
                <w:color w:val="auto"/>
              </w:rPr>
            </w:pPr>
            <w:r>
              <w:rPr>
                <w:rFonts w:ascii="Arial" w:cs="Arial" w:eastAsia="Arial" w:hAnsi="Arial"/>
                <w:sz w:val="18"/>
                <w:szCs w:val="18"/>
                <w:b w:val="1"/>
                <w:bCs w:val="1"/>
                <w:color w:val="auto"/>
              </w:rPr>
              <w:t>As of December 31,</w:t>
            </w:r>
          </w:p>
        </w:tc>
        <w:tc>
          <w:tcPr>
            <w:tcW w:w="1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36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264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118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2016</w:t>
            </w:r>
          </w:p>
        </w:tc>
        <w:tc>
          <w:tcPr>
            <w:tcW w:w="11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2015</w:t>
            </w:r>
          </w:p>
        </w:tc>
        <w:tc>
          <w:tcPr>
            <w:tcW w:w="11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191"/>
        </w:trPr>
        <w:tc>
          <w:tcPr>
            <w:tcW w:w="26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1180" w:type="dxa"/>
            <w:vAlign w:val="bottom"/>
          </w:tcPr>
          <w:p>
            <w:pPr>
              <w:jc w:val="right"/>
              <w:ind w:right="130"/>
              <w:spacing w:after="0" w:line="191" w:lineRule="exact"/>
              <w:rPr>
                <w:sz w:val="20"/>
                <w:szCs w:val="20"/>
                <w:color w:val="auto"/>
              </w:rPr>
            </w:pPr>
            <w:r>
              <w:rPr>
                <w:rFonts w:ascii="Arial" w:cs="Arial" w:eastAsia="Arial" w:hAnsi="Arial"/>
                <w:sz w:val="18"/>
                <w:szCs w:val="18"/>
                <w:b w:val="1"/>
                <w:bCs w:val="1"/>
                <w:color w:val="auto"/>
              </w:rPr>
              <w:t>% of Total</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160" w:type="dxa"/>
            <w:vAlign w:val="bottom"/>
          </w:tcPr>
          <w:p>
            <w:pPr>
              <w:jc w:val="center"/>
              <w:ind w:right="10"/>
              <w:spacing w:after="0" w:line="191" w:lineRule="exact"/>
              <w:rPr>
                <w:sz w:val="20"/>
                <w:szCs w:val="20"/>
                <w:color w:val="auto"/>
              </w:rPr>
            </w:pPr>
            <w:r>
              <w:rPr>
                <w:rFonts w:ascii="Arial" w:cs="Arial" w:eastAsia="Arial" w:hAnsi="Arial"/>
                <w:sz w:val="18"/>
                <w:szCs w:val="18"/>
                <w:b w:val="1"/>
                <w:bCs w:val="1"/>
                <w:color w:val="auto"/>
                <w:w w:val="95"/>
              </w:rPr>
              <w:t>% of Total</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160" w:type="dxa"/>
            <w:vAlign w:val="bottom"/>
          </w:tcPr>
          <w:p>
            <w:pPr>
              <w:jc w:val="center"/>
              <w:ind w:right="10"/>
              <w:spacing w:after="0" w:line="191" w:lineRule="exact"/>
              <w:rPr>
                <w:sz w:val="20"/>
                <w:szCs w:val="20"/>
                <w:color w:val="auto"/>
              </w:rPr>
            </w:pPr>
            <w:r>
              <w:rPr>
                <w:rFonts w:ascii="Arial" w:cs="Arial" w:eastAsia="Arial" w:hAnsi="Arial"/>
                <w:sz w:val="18"/>
                <w:szCs w:val="18"/>
                <w:b w:val="1"/>
                <w:bCs w:val="1"/>
                <w:color w:val="auto"/>
                <w:w w:val="95"/>
              </w:rPr>
              <w:t>% of Total</w:t>
            </w:r>
          </w:p>
        </w:tc>
        <w:tc>
          <w:tcPr>
            <w:tcW w:w="100" w:type="dxa"/>
            <w:vAlign w:val="bottom"/>
          </w:tcPr>
          <w:p>
            <w:pPr>
              <w:spacing w:after="0"/>
              <w:rPr>
                <w:sz w:val="16"/>
                <w:szCs w:val="16"/>
                <w:color w:val="auto"/>
              </w:rPr>
            </w:pPr>
          </w:p>
        </w:tc>
      </w:tr>
      <w:tr>
        <w:trPr>
          <w:trHeight w:val="234"/>
        </w:trPr>
        <w:tc>
          <w:tcPr>
            <w:tcW w:w="26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00" w:type="dxa"/>
            <w:vAlign w:val="bottom"/>
          </w:tcPr>
          <w:p>
            <w:pPr>
              <w:jc w:val="right"/>
              <w:ind w:right="550"/>
              <w:spacing w:after="0"/>
              <w:rPr>
                <w:sz w:val="20"/>
                <w:szCs w:val="20"/>
                <w:color w:val="auto"/>
              </w:rPr>
            </w:pPr>
            <w:r>
              <w:rPr>
                <w:rFonts w:ascii="Arial" w:cs="Arial" w:eastAsia="Arial" w:hAnsi="Arial"/>
                <w:sz w:val="18"/>
                <w:szCs w:val="18"/>
                <w:b w:val="1"/>
                <w:bCs w:val="1"/>
                <w:color w:val="auto"/>
              </w:rPr>
              <w:t>Amount</w:t>
            </w:r>
          </w:p>
        </w:tc>
        <w:tc>
          <w:tcPr>
            <w:tcW w:w="12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9"/>
              </w:rPr>
              <w:t>Outstandings</w:t>
            </w:r>
          </w:p>
        </w:tc>
        <w:tc>
          <w:tcPr>
            <w:tcW w:w="1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340" w:type="dxa"/>
            <w:vAlign w:val="bottom"/>
          </w:tcPr>
          <w:p>
            <w:pPr>
              <w:jc w:val="right"/>
              <w:ind w:right="530"/>
              <w:spacing w:after="0"/>
              <w:rPr>
                <w:sz w:val="20"/>
                <w:szCs w:val="20"/>
                <w:color w:val="auto"/>
              </w:rPr>
            </w:pPr>
            <w:r>
              <w:rPr>
                <w:rFonts w:ascii="Arial" w:cs="Arial" w:eastAsia="Arial" w:hAnsi="Arial"/>
                <w:sz w:val="18"/>
                <w:szCs w:val="18"/>
                <w:b w:val="1"/>
                <w:bCs w:val="1"/>
                <w:color w:val="auto"/>
              </w:rPr>
              <w:t>Amount</w:t>
            </w:r>
          </w:p>
        </w:tc>
        <w:tc>
          <w:tcPr>
            <w:tcW w:w="12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Outstandings</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60" w:type="dxa"/>
            <w:vAlign w:val="bottom"/>
          </w:tcPr>
          <w:p>
            <w:pPr>
              <w:jc w:val="right"/>
              <w:ind w:right="530"/>
              <w:spacing w:after="0"/>
              <w:rPr>
                <w:sz w:val="20"/>
                <w:szCs w:val="20"/>
                <w:color w:val="auto"/>
              </w:rPr>
            </w:pPr>
            <w:r>
              <w:rPr>
                <w:rFonts w:ascii="Arial" w:cs="Arial" w:eastAsia="Arial" w:hAnsi="Arial"/>
                <w:sz w:val="18"/>
                <w:szCs w:val="18"/>
                <w:b w:val="1"/>
                <w:bCs w:val="1"/>
                <w:color w:val="auto"/>
              </w:rPr>
              <w:t>Amount</w:t>
            </w:r>
          </w:p>
        </w:tc>
        <w:tc>
          <w:tcPr>
            <w:tcW w:w="12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Outstandings</w:t>
            </w:r>
          </w:p>
        </w:tc>
      </w:tr>
      <w:tr>
        <w:trPr>
          <w:trHeight w:val="210"/>
        </w:trPr>
        <w:tc>
          <w:tcPr>
            <w:tcW w:w="264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2840" w:type="dxa"/>
            <w:vAlign w:val="bottom"/>
            <w:tcBorders>
              <w:top w:val="single" w:sz="8" w:color="auto"/>
            </w:tcBorders>
            <w:gridSpan w:val="4"/>
          </w:tcPr>
          <w:p>
            <w:pPr>
              <w:ind w:left="20"/>
              <w:spacing w:after="0"/>
              <w:rPr>
                <w:sz w:val="20"/>
                <w:szCs w:val="20"/>
                <w:color w:val="auto"/>
              </w:rPr>
            </w:pPr>
            <w:r>
              <w:rPr>
                <w:rFonts w:ascii="Arial" w:cs="Arial" w:eastAsia="Arial" w:hAnsi="Arial"/>
                <w:sz w:val="18"/>
                <w:szCs w:val="18"/>
                <w:b w:val="1"/>
                <w:bCs w:val="1"/>
                <w:color w:val="auto"/>
                <w:w w:val="95"/>
              </w:rPr>
              <w:t>(in $ millions, except percentages)</w:t>
            </w:r>
          </w:p>
        </w:tc>
        <w:tc>
          <w:tcPr>
            <w:tcW w:w="12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1360" w:type="dxa"/>
            <w:vAlign w:val="bottom"/>
            <w:tcBorders>
              <w:top w:val="single" w:sz="8" w:color="auto"/>
            </w:tcBorders>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40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rPr>
              <w:t>296</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w:t>
            </w:r>
          </w:p>
        </w:tc>
        <w:tc>
          <w:tcPr>
            <w:tcW w:w="38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329</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144</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w:t>
            </w: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Brazil</w:t>
            </w:r>
          </w:p>
        </w:tc>
        <w:tc>
          <w:tcPr>
            <w:tcW w:w="200" w:type="dxa"/>
            <w:vAlign w:val="bottom"/>
          </w:tcPr>
          <w:p>
            <w:pPr>
              <w:spacing w:after="0"/>
              <w:rPr>
                <w:sz w:val="18"/>
                <w:szCs w:val="18"/>
                <w:color w:val="auto"/>
              </w:rPr>
            </w:pPr>
          </w:p>
        </w:tc>
        <w:tc>
          <w:tcPr>
            <w:tcW w:w="1400" w:type="dxa"/>
            <w:vAlign w:val="bottom"/>
          </w:tcPr>
          <w:p>
            <w:pPr>
              <w:jc w:val="right"/>
              <w:ind w:right="230"/>
              <w:spacing w:after="0"/>
              <w:rPr>
                <w:sz w:val="20"/>
                <w:szCs w:val="20"/>
                <w:color w:val="auto"/>
              </w:rPr>
            </w:pPr>
            <w:r>
              <w:rPr>
                <w:rFonts w:ascii="Arial" w:cs="Arial" w:eastAsia="Arial" w:hAnsi="Arial"/>
                <w:sz w:val="18"/>
                <w:szCs w:val="18"/>
                <w:color w:val="auto"/>
              </w:rPr>
              <w:t>1,042</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16.5</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jc w:val="right"/>
              <w:ind w:right="210"/>
              <w:spacing w:after="0"/>
              <w:rPr>
                <w:sz w:val="20"/>
                <w:szCs w:val="20"/>
                <w:color w:val="auto"/>
              </w:rPr>
            </w:pPr>
            <w:r>
              <w:rPr>
                <w:rFonts w:ascii="Arial" w:cs="Arial" w:eastAsia="Arial" w:hAnsi="Arial"/>
                <w:sz w:val="18"/>
                <w:szCs w:val="18"/>
                <w:color w:val="auto"/>
              </w:rPr>
              <w:t>1,201</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16.6</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tcPr>
          <w:p>
            <w:pPr>
              <w:jc w:val="right"/>
              <w:ind w:right="210"/>
              <w:spacing w:after="0"/>
              <w:rPr>
                <w:sz w:val="20"/>
                <w:szCs w:val="20"/>
                <w:color w:val="auto"/>
              </w:rPr>
            </w:pPr>
            <w:r>
              <w:rPr>
                <w:rFonts w:ascii="Arial" w:cs="Arial" w:eastAsia="Arial" w:hAnsi="Arial"/>
                <w:sz w:val="18"/>
                <w:szCs w:val="18"/>
                <w:color w:val="auto"/>
              </w:rPr>
              <w:t>1,683</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20.2</w:t>
            </w: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Chile</w:t>
            </w: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rPr>
              <w:t>176</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4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75</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6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214</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w:t>
            </w: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Colombia</w:t>
            </w:r>
          </w:p>
        </w:tc>
        <w:tc>
          <w:tcPr>
            <w:tcW w:w="200" w:type="dxa"/>
            <w:vAlign w:val="bottom"/>
          </w:tcPr>
          <w:p>
            <w:pPr>
              <w:spacing w:after="0"/>
              <w:rPr>
                <w:sz w:val="18"/>
                <w:szCs w:val="18"/>
                <w:color w:val="auto"/>
              </w:rPr>
            </w:pPr>
          </w:p>
        </w:tc>
        <w:tc>
          <w:tcPr>
            <w:tcW w:w="1400" w:type="dxa"/>
            <w:vAlign w:val="bottom"/>
          </w:tcPr>
          <w:p>
            <w:pPr>
              <w:jc w:val="right"/>
              <w:ind w:right="230"/>
              <w:spacing w:after="0"/>
              <w:rPr>
                <w:sz w:val="20"/>
                <w:szCs w:val="20"/>
                <w:color w:val="auto"/>
              </w:rPr>
            </w:pPr>
            <w:r>
              <w:rPr>
                <w:rFonts w:ascii="Arial" w:cs="Arial" w:eastAsia="Arial" w:hAnsi="Arial"/>
                <w:sz w:val="18"/>
                <w:szCs w:val="18"/>
                <w:color w:val="auto"/>
              </w:rPr>
              <w:t>863</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13.7</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jc w:val="right"/>
              <w:ind w:right="210"/>
              <w:spacing w:after="0"/>
              <w:rPr>
                <w:sz w:val="20"/>
                <w:szCs w:val="20"/>
                <w:color w:val="auto"/>
              </w:rPr>
            </w:pPr>
            <w:r>
              <w:rPr>
                <w:rFonts w:ascii="Arial" w:cs="Arial" w:eastAsia="Arial" w:hAnsi="Arial"/>
                <w:sz w:val="18"/>
                <w:szCs w:val="18"/>
                <w:color w:val="auto"/>
              </w:rPr>
              <w:t>688</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9.5</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tcPr>
          <w:p>
            <w:pPr>
              <w:jc w:val="right"/>
              <w:ind w:right="210"/>
              <w:spacing w:after="0"/>
              <w:rPr>
                <w:sz w:val="20"/>
                <w:szCs w:val="20"/>
                <w:color w:val="auto"/>
              </w:rPr>
            </w:pPr>
            <w:r>
              <w:rPr>
                <w:rFonts w:ascii="Arial" w:cs="Arial" w:eastAsia="Arial" w:hAnsi="Arial"/>
                <w:sz w:val="18"/>
                <w:szCs w:val="18"/>
                <w:color w:val="auto"/>
              </w:rPr>
              <w:t>676</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8.1</w:t>
            </w: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Costa Rica</w:t>
            </w: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rPr>
              <w:t>358</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4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402</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6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348</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w:t>
            </w: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Dominican Republic</w:t>
            </w:r>
          </w:p>
        </w:tc>
        <w:tc>
          <w:tcPr>
            <w:tcW w:w="200" w:type="dxa"/>
            <w:vAlign w:val="bottom"/>
          </w:tcPr>
          <w:p>
            <w:pPr>
              <w:spacing w:after="0"/>
              <w:rPr>
                <w:sz w:val="18"/>
                <w:szCs w:val="18"/>
                <w:color w:val="auto"/>
              </w:rPr>
            </w:pPr>
          </w:p>
        </w:tc>
        <w:tc>
          <w:tcPr>
            <w:tcW w:w="1400" w:type="dxa"/>
            <w:vAlign w:val="bottom"/>
          </w:tcPr>
          <w:p>
            <w:pPr>
              <w:jc w:val="right"/>
              <w:ind w:right="230"/>
              <w:spacing w:after="0"/>
              <w:rPr>
                <w:sz w:val="20"/>
                <w:szCs w:val="20"/>
                <w:color w:val="auto"/>
              </w:rPr>
            </w:pPr>
            <w:r>
              <w:rPr>
                <w:rFonts w:ascii="Arial" w:cs="Arial" w:eastAsia="Arial" w:hAnsi="Arial"/>
                <w:sz w:val="18"/>
                <w:szCs w:val="18"/>
                <w:color w:val="auto"/>
              </w:rPr>
              <w:t>251</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4.0</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jc w:val="right"/>
              <w:ind w:right="210"/>
              <w:spacing w:after="0"/>
              <w:rPr>
                <w:sz w:val="20"/>
                <w:szCs w:val="20"/>
                <w:color w:val="auto"/>
              </w:rPr>
            </w:pPr>
            <w:r>
              <w:rPr>
                <w:rFonts w:ascii="Arial" w:cs="Arial" w:eastAsia="Arial" w:hAnsi="Arial"/>
                <w:sz w:val="18"/>
                <w:szCs w:val="18"/>
                <w:color w:val="auto"/>
              </w:rPr>
              <w:t>246</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3.4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tcPr>
          <w:p>
            <w:pPr>
              <w:jc w:val="right"/>
              <w:ind w:right="210"/>
              <w:spacing w:after="0"/>
              <w:rPr>
                <w:sz w:val="20"/>
                <w:szCs w:val="20"/>
                <w:color w:val="auto"/>
              </w:rPr>
            </w:pPr>
            <w:r>
              <w:rPr>
                <w:rFonts w:ascii="Arial" w:cs="Arial" w:eastAsia="Arial" w:hAnsi="Arial"/>
                <w:sz w:val="18"/>
                <w:szCs w:val="18"/>
                <w:color w:val="auto"/>
              </w:rPr>
              <w:t>386</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4.6</w:t>
            </w: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Ecuador</w:t>
            </w: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rPr>
              <w:t>95</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4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130</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6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169</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w:t>
            </w: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El Salvador</w:t>
            </w:r>
          </w:p>
        </w:tc>
        <w:tc>
          <w:tcPr>
            <w:tcW w:w="200" w:type="dxa"/>
            <w:vAlign w:val="bottom"/>
          </w:tcPr>
          <w:p>
            <w:pPr>
              <w:spacing w:after="0"/>
              <w:rPr>
                <w:sz w:val="18"/>
                <w:szCs w:val="18"/>
                <w:color w:val="auto"/>
              </w:rPr>
            </w:pPr>
          </w:p>
        </w:tc>
        <w:tc>
          <w:tcPr>
            <w:tcW w:w="1400" w:type="dxa"/>
            <w:vAlign w:val="bottom"/>
          </w:tcPr>
          <w:p>
            <w:pPr>
              <w:jc w:val="right"/>
              <w:ind w:right="230"/>
              <w:spacing w:after="0"/>
              <w:rPr>
                <w:sz w:val="20"/>
                <w:szCs w:val="20"/>
                <w:color w:val="auto"/>
              </w:rPr>
            </w:pPr>
            <w:r>
              <w:rPr>
                <w:rFonts w:ascii="Arial" w:cs="Arial" w:eastAsia="Arial" w:hAnsi="Arial"/>
                <w:sz w:val="18"/>
                <w:szCs w:val="18"/>
                <w:color w:val="auto"/>
              </w:rPr>
              <w:t>55</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0.9</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jc w:val="right"/>
              <w:ind w:right="210"/>
              <w:spacing w:after="0"/>
              <w:rPr>
                <w:sz w:val="20"/>
                <w:szCs w:val="20"/>
                <w:color w:val="auto"/>
              </w:rPr>
            </w:pPr>
            <w:r>
              <w:rPr>
                <w:rFonts w:ascii="Arial" w:cs="Arial" w:eastAsia="Arial" w:hAnsi="Arial"/>
                <w:sz w:val="18"/>
                <w:szCs w:val="18"/>
                <w:color w:val="auto"/>
              </w:rPr>
              <w:t>106</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1.5</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tcPr>
          <w:p>
            <w:pPr>
              <w:jc w:val="right"/>
              <w:ind w:right="210"/>
              <w:spacing w:after="0"/>
              <w:rPr>
                <w:sz w:val="20"/>
                <w:szCs w:val="20"/>
                <w:color w:val="auto"/>
              </w:rPr>
            </w:pPr>
            <w:r>
              <w:rPr>
                <w:rFonts w:ascii="Arial" w:cs="Arial" w:eastAsia="Arial" w:hAnsi="Arial"/>
                <w:sz w:val="18"/>
                <w:szCs w:val="18"/>
                <w:color w:val="auto"/>
              </w:rPr>
              <w:t>69</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0.8</w:t>
            </w: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Germany</w:t>
            </w: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rPr>
              <w:t>38</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0.6</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4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50</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0.7</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6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107</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w:t>
            </w: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Guatemala</w:t>
            </w:r>
          </w:p>
        </w:tc>
        <w:tc>
          <w:tcPr>
            <w:tcW w:w="200" w:type="dxa"/>
            <w:vAlign w:val="bottom"/>
          </w:tcPr>
          <w:p>
            <w:pPr>
              <w:spacing w:after="0"/>
              <w:rPr>
                <w:sz w:val="18"/>
                <w:szCs w:val="18"/>
                <w:color w:val="auto"/>
              </w:rPr>
            </w:pPr>
          </w:p>
        </w:tc>
        <w:tc>
          <w:tcPr>
            <w:tcW w:w="1400" w:type="dxa"/>
            <w:vAlign w:val="bottom"/>
          </w:tcPr>
          <w:p>
            <w:pPr>
              <w:jc w:val="right"/>
              <w:ind w:right="230"/>
              <w:spacing w:after="0"/>
              <w:rPr>
                <w:sz w:val="20"/>
                <w:szCs w:val="20"/>
                <w:color w:val="auto"/>
              </w:rPr>
            </w:pPr>
            <w:r>
              <w:rPr>
                <w:rFonts w:ascii="Arial" w:cs="Arial" w:eastAsia="Arial" w:hAnsi="Arial"/>
                <w:sz w:val="18"/>
                <w:szCs w:val="18"/>
                <w:color w:val="auto"/>
              </w:rPr>
              <w:t>310</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4.9</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40" w:type="dxa"/>
            <w:vAlign w:val="bottom"/>
          </w:tcPr>
          <w:p>
            <w:pPr>
              <w:jc w:val="right"/>
              <w:ind w:right="210"/>
              <w:spacing w:after="0"/>
              <w:rPr>
                <w:sz w:val="20"/>
                <w:szCs w:val="20"/>
                <w:color w:val="auto"/>
              </w:rPr>
            </w:pPr>
            <w:r>
              <w:rPr>
                <w:rFonts w:ascii="Arial" w:cs="Arial" w:eastAsia="Arial" w:hAnsi="Arial"/>
                <w:sz w:val="18"/>
                <w:szCs w:val="18"/>
                <w:color w:val="auto"/>
              </w:rPr>
              <w:t>319</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4.4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tcPr>
          <w:p>
            <w:pPr>
              <w:jc w:val="right"/>
              <w:ind w:right="210"/>
              <w:spacing w:after="0"/>
              <w:rPr>
                <w:sz w:val="20"/>
                <w:szCs w:val="20"/>
                <w:color w:val="auto"/>
              </w:rPr>
            </w:pPr>
            <w:r>
              <w:rPr>
                <w:rFonts w:ascii="Arial" w:cs="Arial" w:eastAsia="Arial" w:hAnsi="Arial"/>
                <w:sz w:val="18"/>
                <w:szCs w:val="18"/>
                <w:color w:val="auto"/>
              </w:rPr>
              <w:t>462</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5.5</w:t>
            </w: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rPr>
              <w:t>75</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4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73</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6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rPr>
              <w:t>119</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w:t>
            </w:r>
          </w:p>
        </w:tc>
      </w:tr>
      <w:tr>
        <w:trPr>
          <w:trHeight w:val="230"/>
        </w:trPr>
        <w:tc>
          <w:tcPr>
            <w:tcW w:w="2640" w:type="dxa"/>
            <w:vAlign w:val="bottom"/>
          </w:tcPr>
          <w:p>
            <w:pPr>
              <w:spacing w:after="0"/>
              <w:rPr>
                <w:sz w:val="20"/>
                <w:szCs w:val="20"/>
                <w:color w:val="auto"/>
              </w:rPr>
            </w:pPr>
            <w:r>
              <w:rPr>
                <w:rFonts w:ascii="Arial" w:cs="Arial" w:eastAsia="Arial" w:hAnsi="Arial"/>
                <w:sz w:val="18"/>
                <w:szCs w:val="18"/>
                <w:color w:val="auto"/>
              </w:rPr>
              <w:t>Japan</w:t>
            </w:r>
          </w:p>
        </w:tc>
        <w:tc>
          <w:tcPr>
            <w:tcW w:w="200" w:type="dxa"/>
            <w:vAlign w:val="bottom"/>
          </w:tcPr>
          <w:p>
            <w:pPr>
              <w:spacing w:after="0"/>
              <w:rPr>
                <w:sz w:val="20"/>
                <w:szCs w:val="20"/>
                <w:color w:val="auto"/>
              </w:rPr>
            </w:pPr>
          </w:p>
        </w:tc>
        <w:tc>
          <w:tcPr>
            <w:tcW w:w="1400" w:type="dxa"/>
            <w:vAlign w:val="bottom"/>
          </w:tcPr>
          <w:p>
            <w:pPr>
              <w:jc w:val="right"/>
              <w:ind w:right="230"/>
              <w:spacing w:after="0"/>
              <w:rPr>
                <w:sz w:val="20"/>
                <w:szCs w:val="20"/>
                <w:color w:val="auto"/>
              </w:rPr>
            </w:pPr>
            <w:r>
              <w:rPr>
                <w:rFonts w:ascii="Arial" w:cs="Arial" w:eastAsia="Arial" w:hAnsi="Arial"/>
                <w:sz w:val="18"/>
                <w:szCs w:val="18"/>
                <w:color w:val="auto"/>
              </w:rPr>
              <w:t>2</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340" w:type="dxa"/>
            <w:vAlign w:val="bottom"/>
          </w:tcPr>
          <w:p>
            <w:pPr>
              <w:jc w:val="right"/>
              <w:ind w:right="210"/>
              <w:spacing w:after="0"/>
              <w:rPr>
                <w:sz w:val="20"/>
                <w:szCs w:val="20"/>
                <w:color w:val="auto"/>
              </w:rPr>
            </w:pPr>
            <w:r>
              <w:rPr>
                <w:rFonts w:ascii="Arial" w:cs="Arial" w:eastAsia="Arial" w:hAnsi="Arial"/>
                <w:sz w:val="18"/>
                <w:szCs w:val="18"/>
                <w:color w:val="auto"/>
              </w:rPr>
              <w:t>82</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1.1</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60" w:type="dxa"/>
            <w:vAlign w:val="bottom"/>
          </w:tcPr>
          <w:p>
            <w:pPr>
              <w:jc w:val="right"/>
              <w:ind w:right="210"/>
              <w:spacing w:after="0"/>
              <w:rPr>
                <w:sz w:val="20"/>
                <w:szCs w:val="20"/>
                <w:color w:val="auto"/>
              </w:rPr>
            </w:pPr>
            <w:r>
              <w:rPr>
                <w:rFonts w:ascii="Arial" w:cs="Arial" w:eastAsia="Arial" w:hAnsi="Arial"/>
                <w:sz w:val="18"/>
                <w:szCs w:val="18"/>
                <w:color w:val="auto"/>
              </w:rPr>
              <w:t>0</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0.0</w:t>
            </w:r>
          </w:p>
        </w:tc>
      </w:tr>
      <w:tr>
        <w:trPr>
          <w:trHeight w:val="634"/>
        </w:trPr>
        <w:tc>
          <w:tcPr>
            <w:tcW w:w="26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28</w:t>
            </w:r>
          </w:p>
        </w:tc>
        <w:tc>
          <w:tcPr>
            <w:tcW w:w="13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8" w:right="239" w:bottom="1440" w:gutter="0" w:footer="0" w:header="0"/>
        </w:sectPr>
      </w:pPr>
    </w:p>
    <w:bookmarkStart w:id="31" w:name="page32"/>
    <w:bookmarkEnd w:id="31"/>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64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620" w:type="dxa"/>
            <w:vAlign w:val="bottom"/>
            <w:tcBorders>
              <w:bottom w:val="single" w:sz="8" w:color="auto"/>
            </w:tcBorders>
            <w:gridSpan w:val="5"/>
          </w:tcPr>
          <w:p>
            <w:pPr>
              <w:ind w:left="360"/>
              <w:spacing w:after="0"/>
              <w:rPr>
                <w:sz w:val="20"/>
                <w:szCs w:val="20"/>
                <w:color w:val="auto"/>
              </w:rPr>
            </w:pPr>
            <w:r>
              <w:rPr>
                <w:rFonts w:ascii="Arial" w:cs="Arial" w:eastAsia="Arial" w:hAnsi="Arial"/>
                <w:sz w:val="18"/>
                <w:szCs w:val="18"/>
                <w:b w:val="1"/>
                <w:bCs w:val="1"/>
                <w:color w:val="auto"/>
              </w:rPr>
              <w:t>As of December 31,</w:t>
            </w:r>
          </w:p>
        </w:tc>
        <w:tc>
          <w:tcPr>
            <w:tcW w:w="1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64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40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8"/>
                <w:szCs w:val="18"/>
                <w:b w:val="1"/>
                <w:bCs w:val="1"/>
                <w:color w:val="auto"/>
              </w:rPr>
              <w:t>2017</w:t>
            </w:r>
          </w:p>
        </w:tc>
        <w:tc>
          <w:tcPr>
            <w:tcW w:w="1180" w:type="dxa"/>
            <w:vAlign w:val="bottom"/>
            <w:tcBorders>
              <w:bottom w:val="single" w:sz="8" w:color="auto"/>
            </w:tcBorders>
          </w:tcPr>
          <w:p>
            <w:pPr>
              <w:spacing w:after="0"/>
              <w:rPr>
                <w:sz w:val="19"/>
                <w:szCs w:val="19"/>
                <w:color w:val="auto"/>
              </w:rPr>
            </w:pPr>
          </w:p>
        </w:tc>
        <w:tc>
          <w:tcPr>
            <w:tcW w:w="24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8"/>
                <w:szCs w:val="18"/>
                <w:b w:val="1"/>
                <w:bCs w:val="1"/>
                <w:color w:val="auto"/>
              </w:rPr>
              <w:t>2016</w:t>
            </w:r>
          </w:p>
        </w:tc>
        <w:tc>
          <w:tcPr>
            <w:tcW w:w="11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3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8"/>
                <w:szCs w:val="18"/>
                <w:b w:val="1"/>
                <w:bCs w:val="1"/>
                <w:color w:val="auto"/>
              </w:rPr>
              <w:t>2015</w:t>
            </w:r>
          </w:p>
        </w:tc>
        <w:tc>
          <w:tcPr>
            <w:tcW w:w="11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1"/>
        </w:trPr>
        <w:tc>
          <w:tcPr>
            <w:tcW w:w="26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80" w:type="dxa"/>
            <w:vAlign w:val="bottom"/>
          </w:tcPr>
          <w:p>
            <w:pPr>
              <w:jc w:val="right"/>
              <w:ind w:right="130"/>
              <w:spacing w:after="0" w:line="191" w:lineRule="exact"/>
              <w:rPr>
                <w:sz w:val="20"/>
                <w:szCs w:val="20"/>
                <w:color w:val="auto"/>
              </w:rPr>
            </w:pPr>
            <w:r>
              <w:rPr>
                <w:rFonts w:ascii="Arial" w:cs="Arial" w:eastAsia="Arial" w:hAnsi="Arial"/>
                <w:sz w:val="18"/>
                <w:szCs w:val="18"/>
                <w:b w:val="1"/>
                <w:bCs w:val="1"/>
                <w:color w:val="auto"/>
              </w:rPr>
              <w:t>% of Total</w:t>
            </w:r>
          </w:p>
        </w:tc>
        <w:tc>
          <w:tcPr>
            <w:tcW w:w="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60" w:type="dxa"/>
            <w:vAlign w:val="bottom"/>
          </w:tcPr>
          <w:p>
            <w:pPr>
              <w:jc w:val="center"/>
              <w:ind w:right="10"/>
              <w:spacing w:after="0" w:line="191" w:lineRule="exact"/>
              <w:rPr>
                <w:sz w:val="20"/>
                <w:szCs w:val="20"/>
                <w:color w:val="auto"/>
              </w:rPr>
            </w:pPr>
            <w:r>
              <w:rPr>
                <w:rFonts w:ascii="Arial" w:cs="Arial" w:eastAsia="Arial" w:hAnsi="Arial"/>
                <w:sz w:val="18"/>
                <w:szCs w:val="18"/>
                <w:b w:val="1"/>
                <w:bCs w:val="1"/>
                <w:color w:val="auto"/>
                <w:w w:val="95"/>
              </w:rPr>
              <w:t>% of Total</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Pr>
          <w:p>
            <w:pPr>
              <w:jc w:val="center"/>
              <w:ind w:right="10"/>
              <w:spacing w:after="0" w:line="191" w:lineRule="exact"/>
              <w:rPr>
                <w:sz w:val="20"/>
                <w:szCs w:val="20"/>
                <w:color w:val="auto"/>
              </w:rPr>
            </w:pPr>
            <w:r>
              <w:rPr>
                <w:rFonts w:ascii="Arial" w:cs="Arial" w:eastAsia="Arial" w:hAnsi="Arial"/>
                <w:sz w:val="18"/>
                <w:szCs w:val="18"/>
                <w:b w:val="1"/>
                <w:bCs w:val="1"/>
                <w:color w:val="auto"/>
                <w:w w:val="95"/>
              </w:rPr>
              <w:t>% of Total</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6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00" w:type="dxa"/>
            <w:vAlign w:val="bottom"/>
            <w:gridSpan w:val="3"/>
          </w:tcPr>
          <w:p>
            <w:pPr>
              <w:jc w:val="right"/>
              <w:ind w:right="640"/>
              <w:spacing w:after="0"/>
              <w:rPr>
                <w:sz w:val="20"/>
                <w:szCs w:val="20"/>
                <w:color w:val="auto"/>
              </w:rPr>
            </w:pPr>
            <w:r>
              <w:rPr>
                <w:rFonts w:ascii="Arial" w:cs="Arial" w:eastAsia="Arial" w:hAnsi="Arial"/>
                <w:sz w:val="18"/>
                <w:szCs w:val="18"/>
                <w:b w:val="1"/>
                <w:bCs w:val="1"/>
                <w:color w:val="auto"/>
              </w:rPr>
              <w:t>Amount</w:t>
            </w:r>
          </w:p>
        </w:tc>
        <w:tc>
          <w:tcPr>
            <w:tcW w:w="14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w w:val="89"/>
              </w:rPr>
              <w:t>Outstandings</w:t>
            </w:r>
          </w:p>
        </w:tc>
        <w:tc>
          <w:tcPr>
            <w:tcW w:w="220" w:type="dxa"/>
            <w:vAlign w:val="bottom"/>
          </w:tcPr>
          <w:p>
            <w:pPr>
              <w:spacing w:after="0"/>
              <w:rPr>
                <w:sz w:val="20"/>
                <w:szCs w:val="20"/>
                <w:color w:val="auto"/>
              </w:rPr>
            </w:pPr>
          </w:p>
        </w:tc>
        <w:tc>
          <w:tcPr>
            <w:tcW w:w="1360" w:type="dxa"/>
            <w:vAlign w:val="bottom"/>
            <w:gridSpan w:val="3"/>
          </w:tcPr>
          <w:p>
            <w:pPr>
              <w:jc w:val="right"/>
              <w:ind w:right="620"/>
              <w:spacing w:after="0"/>
              <w:rPr>
                <w:sz w:val="20"/>
                <w:szCs w:val="20"/>
                <w:color w:val="auto"/>
              </w:rPr>
            </w:pPr>
            <w:r>
              <w:rPr>
                <w:rFonts w:ascii="Arial" w:cs="Arial" w:eastAsia="Arial" w:hAnsi="Arial"/>
                <w:sz w:val="18"/>
                <w:szCs w:val="18"/>
                <w:b w:val="1"/>
                <w:bCs w:val="1"/>
                <w:color w:val="auto"/>
              </w:rPr>
              <w:t>Amount</w:t>
            </w:r>
          </w:p>
        </w:tc>
        <w:tc>
          <w:tcPr>
            <w:tcW w:w="12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Outstandings</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60" w:type="dxa"/>
            <w:vAlign w:val="bottom"/>
            <w:gridSpan w:val="3"/>
          </w:tcPr>
          <w:p>
            <w:pPr>
              <w:jc w:val="right"/>
              <w:ind w:right="620"/>
              <w:spacing w:after="0"/>
              <w:rPr>
                <w:sz w:val="20"/>
                <w:szCs w:val="20"/>
                <w:color w:val="auto"/>
              </w:rPr>
            </w:pPr>
            <w:r>
              <w:rPr>
                <w:rFonts w:ascii="Arial" w:cs="Arial" w:eastAsia="Arial" w:hAnsi="Arial"/>
                <w:sz w:val="18"/>
                <w:szCs w:val="18"/>
                <w:b w:val="1"/>
                <w:bCs w:val="1"/>
                <w:color w:val="auto"/>
              </w:rPr>
              <w:t>Amount</w:t>
            </w:r>
          </w:p>
        </w:tc>
        <w:tc>
          <w:tcPr>
            <w:tcW w:w="12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Outstandings</w:t>
            </w:r>
          </w:p>
        </w:tc>
        <w:tc>
          <w:tcPr>
            <w:tcW w:w="0" w:type="dxa"/>
            <w:vAlign w:val="bottom"/>
          </w:tcPr>
          <w:p>
            <w:pPr>
              <w:spacing w:after="0"/>
              <w:rPr>
                <w:sz w:val="1"/>
                <w:szCs w:val="1"/>
                <w:color w:val="auto"/>
              </w:rPr>
            </w:pPr>
          </w:p>
        </w:tc>
      </w:tr>
      <w:tr>
        <w:trPr>
          <w:trHeight w:val="210"/>
        </w:trPr>
        <w:tc>
          <w:tcPr>
            <w:tcW w:w="264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2840" w:type="dxa"/>
            <w:vAlign w:val="bottom"/>
            <w:tcBorders>
              <w:top w:val="single" w:sz="8" w:color="auto"/>
            </w:tcBorders>
            <w:gridSpan w:val="6"/>
          </w:tcPr>
          <w:p>
            <w:pPr>
              <w:ind w:left="20"/>
              <w:spacing w:after="0"/>
              <w:rPr>
                <w:sz w:val="20"/>
                <w:szCs w:val="20"/>
                <w:color w:val="auto"/>
              </w:rPr>
            </w:pPr>
            <w:r>
              <w:rPr>
                <w:rFonts w:ascii="Arial" w:cs="Arial" w:eastAsia="Arial" w:hAnsi="Arial"/>
                <w:sz w:val="18"/>
                <w:szCs w:val="18"/>
                <w:b w:val="1"/>
                <w:bCs w:val="1"/>
                <w:color w:val="auto"/>
                <w:w w:val="95"/>
              </w:rPr>
              <w:t>(in $ millions, except percentages)</w:t>
            </w:r>
          </w:p>
        </w:tc>
        <w:tc>
          <w:tcPr>
            <w:tcW w:w="12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20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875</w:t>
            </w:r>
          </w:p>
        </w:tc>
        <w:tc>
          <w:tcPr>
            <w:tcW w:w="8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13.9</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955</w:t>
            </w:r>
          </w:p>
        </w:tc>
        <w:tc>
          <w:tcPr>
            <w:tcW w:w="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13.2</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832</w:t>
            </w:r>
          </w:p>
        </w:tc>
        <w:tc>
          <w:tcPr>
            <w:tcW w:w="1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w:t>
            </w:r>
          </w:p>
        </w:tc>
        <w:tc>
          <w:tcPr>
            <w:tcW w:w="0" w:type="dxa"/>
            <w:vAlign w:val="bottom"/>
          </w:tcPr>
          <w:p>
            <w:pPr>
              <w:spacing w:after="0"/>
              <w:rPr>
                <w:sz w:val="1"/>
                <w:szCs w:val="1"/>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Panama</w:t>
            </w:r>
          </w:p>
        </w:tc>
        <w:tc>
          <w:tcPr>
            <w:tcW w:w="200" w:type="dxa"/>
            <w:vAlign w:val="bottom"/>
          </w:tcPr>
          <w:p>
            <w:pPr>
              <w:spacing w:after="0"/>
              <w:rPr>
                <w:sz w:val="18"/>
                <w:szCs w:val="18"/>
                <w:color w:val="auto"/>
              </w:rPr>
            </w:pPr>
          </w:p>
        </w:tc>
        <w:tc>
          <w:tcPr>
            <w:tcW w:w="1320" w:type="dxa"/>
            <w:vAlign w:val="bottom"/>
            <w:gridSpan w:val="2"/>
          </w:tcPr>
          <w:p>
            <w:pPr>
              <w:jc w:val="right"/>
              <w:ind w:right="240"/>
              <w:spacing w:after="0"/>
              <w:rPr>
                <w:sz w:val="20"/>
                <w:szCs w:val="20"/>
                <w:color w:val="auto"/>
              </w:rPr>
            </w:pPr>
            <w:r>
              <w:rPr>
                <w:rFonts w:ascii="Arial" w:cs="Arial" w:eastAsia="Arial" w:hAnsi="Arial"/>
                <w:sz w:val="18"/>
                <w:szCs w:val="18"/>
                <w:color w:val="auto"/>
              </w:rPr>
              <w:t>526</w:t>
            </w:r>
          </w:p>
        </w:tc>
        <w:tc>
          <w:tcPr>
            <w:tcW w:w="80" w:type="dxa"/>
            <w:vAlign w:val="bottom"/>
          </w:tcPr>
          <w:p>
            <w:pPr>
              <w:spacing w:after="0"/>
              <w:rPr>
                <w:sz w:val="18"/>
                <w:szCs w:val="18"/>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color w:val="auto"/>
              </w:rPr>
              <w:t>8.3</w:t>
            </w:r>
          </w:p>
        </w:tc>
        <w:tc>
          <w:tcPr>
            <w:tcW w:w="220" w:type="dxa"/>
            <w:vAlign w:val="bottom"/>
          </w:tcPr>
          <w:p>
            <w:pPr>
              <w:spacing w:after="0"/>
              <w:rPr>
                <w:sz w:val="18"/>
                <w:szCs w:val="18"/>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513</w:t>
            </w:r>
          </w:p>
        </w:tc>
        <w:tc>
          <w:tcPr>
            <w:tcW w:w="8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7.1</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492</w:t>
            </w:r>
          </w:p>
        </w:tc>
        <w:tc>
          <w:tcPr>
            <w:tcW w:w="1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5.9</w:t>
            </w:r>
          </w:p>
        </w:tc>
        <w:tc>
          <w:tcPr>
            <w:tcW w:w="0" w:type="dxa"/>
            <w:vAlign w:val="bottom"/>
          </w:tcPr>
          <w:p>
            <w:pPr>
              <w:spacing w:after="0"/>
              <w:rPr>
                <w:sz w:val="1"/>
                <w:szCs w:val="1"/>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Paraguay</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2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110</w:t>
            </w:r>
          </w:p>
        </w:tc>
        <w:tc>
          <w:tcPr>
            <w:tcW w:w="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118</w:t>
            </w:r>
          </w:p>
        </w:tc>
        <w:tc>
          <w:tcPr>
            <w:tcW w:w="1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w:t>
            </w:r>
          </w:p>
        </w:tc>
        <w:tc>
          <w:tcPr>
            <w:tcW w:w="0" w:type="dxa"/>
            <w:vAlign w:val="bottom"/>
          </w:tcPr>
          <w:p>
            <w:pPr>
              <w:spacing w:after="0"/>
              <w:rPr>
                <w:sz w:val="1"/>
                <w:szCs w:val="1"/>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Peru</w:t>
            </w:r>
          </w:p>
        </w:tc>
        <w:tc>
          <w:tcPr>
            <w:tcW w:w="200" w:type="dxa"/>
            <w:vAlign w:val="bottom"/>
          </w:tcPr>
          <w:p>
            <w:pPr>
              <w:spacing w:after="0"/>
              <w:rPr>
                <w:sz w:val="18"/>
                <w:szCs w:val="18"/>
                <w:color w:val="auto"/>
              </w:rPr>
            </w:pPr>
          </w:p>
        </w:tc>
        <w:tc>
          <w:tcPr>
            <w:tcW w:w="1320" w:type="dxa"/>
            <w:vAlign w:val="bottom"/>
            <w:gridSpan w:val="2"/>
          </w:tcPr>
          <w:p>
            <w:pPr>
              <w:jc w:val="right"/>
              <w:ind w:right="240"/>
              <w:spacing w:after="0"/>
              <w:rPr>
                <w:sz w:val="20"/>
                <w:szCs w:val="20"/>
                <w:color w:val="auto"/>
              </w:rPr>
            </w:pPr>
            <w:r>
              <w:rPr>
                <w:rFonts w:ascii="Arial" w:cs="Arial" w:eastAsia="Arial" w:hAnsi="Arial"/>
                <w:sz w:val="18"/>
                <w:szCs w:val="18"/>
                <w:color w:val="auto"/>
              </w:rPr>
              <w:t>213</w:t>
            </w:r>
          </w:p>
        </w:tc>
        <w:tc>
          <w:tcPr>
            <w:tcW w:w="80" w:type="dxa"/>
            <w:vAlign w:val="bottom"/>
          </w:tcPr>
          <w:p>
            <w:pPr>
              <w:spacing w:after="0"/>
              <w:rPr>
                <w:sz w:val="18"/>
                <w:szCs w:val="18"/>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color w:val="auto"/>
              </w:rPr>
              <w:t>3.4</w:t>
            </w:r>
          </w:p>
        </w:tc>
        <w:tc>
          <w:tcPr>
            <w:tcW w:w="220" w:type="dxa"/>
            <w:vAlign w:val="bottom"/>
          </w:tcPr>
          <w:p>
            <w:pPr>
              <w:spacing w:after="0"/>
              <w:rPr>
                <w:sz w:val="18"/>
                <w:szCs w:val="18"/>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470</w:t>
            </w:r>
          </w:p>
        </w:tc>
        <w:tc>
          <w:tcPr>
            <w:tcW w:w="8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6.5</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522</w:t>
            </w:r>
          </w:p>
        </w:tc>
        <w:tc>
          <w:tcPr>
            <w:tcW w:w="1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6.3</w:t>
            </w:r>
          </w:p>
        </w:tc>
        <w:tc>
          <w:tcPr>
            <w:tcW w:w="0" w:type="dxa"/>
            <w:vAlign w:val="bottom"/>
          </w:tcPr>
          <w:p>
            <w:pPr>
              <w:spacing w:after="0"/>
              <w:rPr>
                <w:sz w:val="1"/>
                <w:szCs w:val="1"/>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Singapore</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w:t>
            </w:r>
          </w:p>
        </w:tc>
        <w:tc>
          <w:tcPr>
            <w:tcW w:w="2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0.9</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w:t>
            </w:r>
          </w:p>
        </w:tc>
        <w:tc>
          <w:tcPr>
            <w:tcW w:w="1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0.1</w:t>
            </w:r>
          </w:p>
        </w:tc>
        <w:tc>
          <w:tcPr>
            <w:tcW w:w="0" w:type="dxa"/>
            <w:vAlign w:val="bottom"/>
          </w:tcPr>
          <w:p>
            <w:pPr>
              <w:spacing w:after="0"/>
              <w:rPr>
                <w:sz w:val="1"/>
                <w:szCs w:val="1"/>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Switzerland</w:t>
            </w:r>
          </w:p>
        </w:tc>
        <w:tc>
          <w:tcPr>
            <w:tcW w:w="200" w:type="dxa"/>
            <w:vAlign w:val="bottom"/>
          </w:tcPr>
          <w:p>
            <w:pPr>
              <w:spacing w:after="0"/>
              <w:rPr>
                <w:sz w:val="18"/>
                <w:szCs w:val="18"/>
                <w:color w:val="auto"/>
              </w:rPr>
            </w:pPr>
          </w:p>
        </w:tc>
        <w:tc>
          <w:tcPr>
            <w:tcW w:w="1320" w:type="dxa"/>
            <w:vAlign w:val="bottom"/>
            <w:gridSpan w:val="2"/>
          </w:tcPr>
          <w:p>
            <w:pPr>
              <w:jc w:val="right"/>
              <w:ind w:right="240"/>
              <w:spacing w:after="0"/>
              <w:rPr>
                <w:sz w:val="20"/>
                <w:szCs w:val="20"/>
                <w:color w:val="auto"/>
              </w:rPr>
            </w:pPr>
            <w:r>
              <w:rPr>
                <w:rFonts w:ascii="Arial" w:cs="Arial" w:eastAsia="Arial" w:hAnsi="Arial"/>
                <w:sz w:val="18"/>
                <w:szCs w:val="18"/>
                <w:color w:val="auto"/>
              </w:rPr>
              <w:t>9</w:t>
            </w:r>
          </w:p>
        </w:tc>
        <w:tc>
          <w:tcPr>
            <w:tcW w:w="80" w:type="dxa"/>
            <w:vAlign w:val="bottom"/>
          </w:tcPr>
          <w:p>
            <w:pPr>
              <w:spacing w:after="0"/>
              <w:rPr>
                <w:sz w:val="18"/>
                <w:szCs w:val="18"/>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color w:val="auto"/>
              </w:rPr>
              <w:t>0.1</w:t>
            </w:r>
          </w:p>
        </w:tc>
        <w:tc>
          <w:tcPr>
            <w:tcW w:w="220" w:type="dxa"/>
            <w:vAlign w:val="bottom"/>
          </w:tcPr>
          <w:p>
            <w:pPr>
              <w:spacing w:after="0"/>
              <w:rPr>
                <w:sz w:val="18"/>
                <w:szCs w:val="18"/>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110</w:t>
            </w:r>
          </w:p>
        </w:tc>
        <w:tc>
          <w:tcPr>
            <w:tcW w:w="8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1.5</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56</w:t>
            </w:r>
          </w:p>
        </w:tc>
        <w:tc>
          <w:tcPr>
            <w:tcW w:w="1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0.7</w:t>
            </w:r>
          </w:p>
        </w:tc>
        <w:tc>
          <w:tcPr>
            <w:tcW w:w="0" w:type="dxa"/>
            <w:vAlign w:val="bottom"/>
          </w:tcPr>
          <w:p>
            <w:pPr>
              <w:spacing w:after="0"/>
              <w:rPr>
                <w:sz w:val="1"/>
                <w:szCs w:val="1"/>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Trinidad &amp; Tobago</w:t>
            </w:r>
          </w:p>
        </w:tc>
        <w:tc>
          <w:tcPr>
            <w:tcW w:w="20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185</w:t>
            </w:r>
          </w:p>
        </w:tc>
        <w:tc>
          <w:tcPr>
            <w:tcW w:w="8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2.9</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194</w:t>
            </w:r>
          </w:p>
        </w:tc>
        <w:tc>
          <w:tcPr>
            <w:tcW w:w="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210</w:t>
            </w:r>
          </w:p>
        </w:tc>
        <w:tc>
          <w:tcPr>
            <w:tcW w:w="1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r>
        <w:trPr>
          <w:trHeight w:val="216"/>
        </w:trPr>
        <w:tc>
          <w:tcPr>
            <w:tcW w:w="2640" w:type="dxa"/>
            <w:vAlign w:val="bottom"/>
          </w:tcPr>
          <w:p>
            <w:pPr>
              <w:spacing w:after="0"/>
              <w:rPr>
                <w:sz w:val="20"/>
                <w:szCs w:val="20"/>
                <w:color w:val="auto"/>
              </w:rPr>
            </w:pPr>
            <w:r>
              <w:rPr>
                <w:rFonts w:ascii="Arial" w:cs="Arial" w:eastAsia="Arial" w:hAnsi="Arial"/>
                <w:sz w:val="18"/>
                <w:szCs w:val="18"/>
                <w:color w:val="auto"/>
              </w:rPr>
              <w:t>United States of America</w:t>
            </w:r>
          </w:p>
        </w:tc>
        <w:tc>
          <w:tcPr>
            <w:tcW w:w="200" w:type="dxa"/>
            <w:vAlign w:val="bottom"/>
          </w:tcPr>
          <w:p>
            <w:pPr>
              <w:spacing w:after="0"/>
              <w:rPr>
                <w:sz w:val="18"/>
                <w:szCs w:val="18"/>
                <w:color w:val="auto"/>
              </w:rPr>
            </w:pPr>
          </w:p>
        </w:tc>
        <w:tc>
          <w:tcPr>
            <w:tcW w:w="1320" w:type="dxa"/>
            <w:vAlign w:val="bottom"/>
            <w:gridSpan w:val="2"/>
          </w:tcPr>
          <w:p>
            <w:pPr>
              <w:jc w:val="right"/>
              <w:ind w:right="240"/>
              <w:spacing w:after="0"/>
              <w:rPr>
                <w:sz w:val="20"/>
                <w:szCs w:val="20"/>
                <w:color w:val="auto"/>
              </w:rPr>
            </w:pPr>
            <w:r>
              <w:rPr>
                <w:rFonts w:ascii="Arial" w:cs="Arial" w:eastAsia="Arial" w:hAnsi="Arial"/>
                <w:sz w:val="18"/>
                <w:szCs w:val="18"/>
                <w:color w:val="auto"/>
              </w:rPr>
              <w:t>665</w:t>
            </w:r>
          </w:p>
        </w:tc>
        <w:tc>
          <w:tcPr>
            <w:tcW w:w="80" w:type="dxa"/>
            <w:vAlign w:val="bottom"/>
          </w:tcPr>
          <w:p>
            <w:pPr>
              <w:spacing w:after="0"/>
              <w:rPr>
                <w:sz w:val="18"/>
                <w:szCs w:val="18"/>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color w:val="auto"/>
              </w:rPr>
              <w:t>10.5</w:t>
            </w:r>
          </w:p>
        </w:tc>
        <w:tc>
          <w:tcPr>
            <w:tcW w:w="220" w:type="dxa"/>
            <w:vAlign w:val="bottom"/>
          </w:tcPr>
          <w:p>
            <w:pPr>
              <w:spacing w:after="0"/>
              <w:rPr>
                <w:sz w:val="18"/>
                <w:szCs w:val="18"/>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955</w:t>
            </w:r>
          </w:p>
        </w:tc>
        <w:tc>
          <w:tcPr>
            <w:tcW w:w="8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13.2</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1,273</w:t>
            </w:r>
          </w:p>
        </w:tc>
        <w:tc>
          <w:tcPr>
            <w:tcW w:w="1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15.3</w:t>
            </w:r>
          </w:p>
        </w:tc>
        <w:tc>
          <w:tcPr>
            <w:tcW w:w="0" w:type="dxa"/>
            <w:vAlign w:val="bottom"/>
          </w:tcPr>
          <w:p>
            <w:pPr>
              <w:spacing w:after="0"/>
              <w:rPr>
                <w:sz w:val="1"/>
                <w:szCs w:val="1"/>
                <w:color w:val="auto"/>
              </w:rPr>
            </w:pPr>
          </w:p>
        </w:tc>
      </w:tr>
      <w:tr>
        <w:trPr>
          <w:trHeight w:val="216"/>
        </w:trPr>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Uruguay</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2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0.2</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w:t>
            </w:r>
          </w:p>
        </w:tc>
        <w:tc>
          <w:tcPr>
            <w:tcW w:w="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0.5</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220</w:t>
            </w:r>
          </w:p>
        </w:tc>
        <w:tc>
          <w:tcPr>
            <w:tcW w:w="1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w:t>
            </w:r>
          </w:p>
        </w:tc>
        <w:tc>
          <w:tcPr>
            <w:tcW w:w="0" w:type="dxa"/>
            <w:vAlign w:val="bottom"/>
          </w:tcPr>
          <w:p>
            <w:pPr>
              <w:spacing w:after="0"/>
              <w:rPr>
                <w:sz w:val="1"/>
                <w:szCs w:val="1"/>
                <w:color w:val="auto"/>
              </w:rPr>
            </w:pPr>
          </w:p>
        </w:tc>
      </w:tr>
      <w:tr>
        <w:trPr>
          <w:trHeight w:val="270"/>
        </w:trPr>
        <w:tc>
          <w:tcPr>
            <w:tcW w:w="2640" w:type="dxa"/>
            <w:vAlign w:val="bottom"/>
          </w:tcPr>
          <w:p>
            <w:pPr>
              <w:spacing w:after="0" w:line="269" w:lineRule="exact"/>
              <w:rPr>
                <w:sz w:val="20"/>
                <w:szCs w:val="20"/>
                <w:color w:val="auto"/>
              </w:rPr>
            </w:pPr>
            <w:r>
              <w:rPr>
                <w:rFonts w:ascii="Arial" w:cs="Arial" w:eastAsia="Arial" w:hAnsi="Arial"/>
                <w:sz w:val="18"/>
                <w:szCs w:val="18"/>
                <w:color w:val="auto"/>
              </w:rPr>
              <w:t xml:space="preserve">Other countries </w:t>
            </w:r>
            <w:r>
              <w:rPr>
                <w:rFonts w:ascii="Arial" w:cs="Arial" w:eastAsia="Arial" w:hAnsi="Arial"/>
                <w:sz w:val="30"/>
                <w:szCs w:val="30"/>
                <w:color w:val="auto"/>
                <w:vertAlign w:val="superscript"/>
              </w:rPr>
              <w:t>(1)</w:t>
            </w:r>
          </w:p>
        </w:tc>
        <w:tc>
          <w:tcPr>
            <w:tcW w:w="200" w:type="dxa"/>
            <w:vAlign w:val="bottom"/>
          </w:tcPr>
          <w:p>
            <w:pPr>
              <w:spacing w:after="0"/>
              <w:rPr>
                <w:sz w:val="23"/>
                <w:szCs w:val="23"/>
                <w:color w:val="auto"/>
              </w:rPr>
            </w:pPr>
          </w:p>
        </w:tc>
        <w:tc>
          <w:tcPr>
            <w:tcW w:w="1320" w:type="dxa"/>
            <w:vAlign w:val="bottom"/>
            <w:gridSpan w:val="2"/>
          </w:tcPr>
          <w:p>
            <w:pPr>
              <w:jc w:val="right"/>
              <w:ind w:right="240"/>
              <w:spacing w:after="0"/>
              <w:rPr>
                <w:sz w:val="20"/>
                <w:szCs w:val="20"/>
                <w:color w:val="auto"/>
              </w:rPr>
            </w:pPr>
            <w:r>
              <w:rPr>
                <w:rFonts w:ascii="Arial" w:cs="Arial" w:eastAsia="Arial" w:hAnsi="Arial"/>
                <w:sz w:val="18"/>
                <w:szCs w:val="18"/>
                <w:color w:val="auto"/>
              </w:rPr>
              <w:t>139</w:t>
            </w:r>
          </w:p>
        </w:tc>
        <w:tc>
          <w:tcPr>
            <w:tcW w:w="80" w:type="dxa"/>
            <w:vAlign w:val="bottom"/>
          </w:tcPr>
          <w:p>
            <w:pPr>
              <w:spacing w:after="0"/>
              <w:rPr>
                <w:sz w:val="23"/>
                <w:szCs w:val="23"/>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color w:val="auto"/>
              </w:rPr>
              <w:t>2.3</w:t>
            </w:r>
          </w:p>
        </w:tc>
        <w:tc>
          <w:tcPr>
            <w:tcW w:w="220" w:type="dxa"/>
            <w:vAlign w:val="bottom"/>
          </w:tcPr>
          <w:p>
            <w:pPr>
              <w:spacing w:after="0"/>
              <w:rPr>
                <w:sz w:val="23"/>
                <w:szCs w:val="23"/>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127</w:t>
            </w:r>
          </w:p>
        </w:tc>
        <w:tc>
          <w:tcPr>
            <w:tcW w:w="80" w:type="dxa"/>
            <w:vAlign w:val="bottom"/>
          </w:tcPr>
          <w:p>
            <w:pPr>
              <w:spacing w:after="0"/>
              <w:rPr>
                <w:sz w:val="23"/>
                <w:szCs w:val="23"/>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1.7</w:t>
            </w:r>
          </w:p>
        </w:tc>
        <w:tc>
          <w:tcPr>
            <w:tcW w:w="12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175</w:t>
            </w:r>
          </w:p>
        </w:tc>
        <w:tc>
          <w:tcPr>
            <w:tcW w:w="100" w:type="dxa"/>
            <w:vAlign w:val="bottom"/>
          </w:tcPr>
          <w:p>
            <w:pPr>
              <w:spacing w:after="0"/>
              <w:rPr>
                <w:sz w:val="23"/>
                <w:szCs w:val="23"/>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2.1</w:t>
            </w:r>
          </w:p>
        </w:tc>
        <w:tc>
          <w:tcPr>
            <w:tcW w:w="0" w:type="dxa"/>
            <w:vAlign w:val="bottom"/>
          </w:tcPr>
          <w:p>
            <w:pPr>
              <w:spacing w:after="0"/>
              <w:rPr>
                <w:sz w:val="1"/>
                <w:szCs w:val="1"/>
                <w:color w:val="auto"/>
              </w:rPr>
            </w:pPr>
          </w:p>
        </w:tc>
      </w:tr>
      <w:tr>
        <w:trPr>
          <w:trHeight w:val="223"/>
        </w:trPr>
        <w:tc>
          <w:tcPr>
            <w:tcW w:w="2640" w:type="dxa"/>
            <w:vAlign w:val="bottom"/>
            <w:tcBorders>
              <w:top w:val="single" w:sz="8" w:color="CCEEFF"/>
              <w:bottom w:val="single" w:sz="8" w:color="CCEEFF"/>
            </w:tcBorders>
            <w:shd w:val="clear" w:color="auto" w:fill="CCEEFF"/>
          </w:tcPr>
          <w:p>
            <w:pPr>
              <w:ind w:left="260"/>
              <w:spacing w:after="0"/>
              <w:rPr>
                <w:sz w:val="20"/>
                <w:szCs w:val="20"/>
                <w:color w:val="auto"/>
              </w:rPr>
            </w:pPr>
            <w:r>
              <w:rPr>
                <w:rFonts w:ascii="Arial" w:cs="Arial" w:eastAsia="Arial" w:hAnsi="Arial"/>
                <w:sz w:val="18"/>
                <w:szCs w:val="18"/>
                <w:b w:val="1"/>
                <w:bCs w:val="1"/>
                <w:color w:val="auto"/>
              </w:rPr>
              <w:t>Subtotal</w:t>
            </w:r>
          </w:p>
        </w:tc>
        <w:tc>
          <w:tcPr>
            <w:tcW w:w="200" w:type="dxa"/>
            <w:vAlign w:val="bottom"/>
            <w:tcBorders>
              <w:top w:val="single" w:sz="8" w:color="auto"/>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6,303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7,242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8,287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640" w:type="dxa"/>
            <w:vAlign w:val="bottom"/>
            <w:vMerge w:val="restart"/>
          </w:tcPr>
          <w:p>
            <w:pPr>
              <w:spacing w:after="0" w:line="195" w:lineRule="exact"/>
              <w:rPr>
                <w:sz w:val="20"/>
                <w:szCs w:val="20"/>
                <w:color w:val="auto"/>
              </w:rPr>
            </w:pPr>
            <w:r>
              <w:rPr>
                <w:rFonts w:ascii="Arial" w:cs="Arial" w:eastAsia="Arial" w:hAnsi="Arial"/>
                <w:sz w:val="18"/>
                <w:szCs w:val="18"/>
                <w:color w:val="auto"/>
              </w:rPr>
              <w:t>Investment  funds  at  fair  value</w:t>
            </w:r>
          </w:p>
        </w:tc>
        <w:tc>
          <w:tcPr>
            <w:tcW w:w="20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2640" w:type="dxa"/>
            <w:vAlign w:val="bottom"/>
            <w:vMerge w:val="continue"/>
          </w:tcPr>
          <w:p>
            <w:pPr>
              <w:spacing w:after="0"/>
              <w:rPr>
                <w:sz w:val="13"/>
                <w:szCs w:val="13"/>
                <w:color w:val="auto"/>
              </w:rPr>
            </w:pPr>
          </w:p>
        </w:tc>
        <w:tc>
          <w:tcPr>
            <w:tcW w:w="20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44"/>
        </w:trPr>
        <w:tc>
          <w:tcPr>
            <w:tcW w:w="2640" w:type="dxa"/>
            <w:vAlign w:val="bottom"/>
          </w:tcPr>
          <w:p>
            <w:pPr>
              <w:spacing w:after="0"/>
              <w:rPr>
                <w:sz w:val="20"/>
                <w:szCs w:val="20"/>
                <w:color w:val="auto"/>
              </w:rPr>
            </w:pPr>
            <w:r>
              <w:rPr>
                <w:rFonts w:ascii="Arial" w:cs="Arial" w:eastAsia="Arial" w:hAnsi="Arial"/>
                <w:sz w:val="18"/>
                <w:szCs w:val="18"/>
                <w:color w:val="auto"/>
              </w:rPr>
              <w:t>through profit or loss</w:t>
            </w:r>
          </w:p>
        </w:tc>
        <w:tc>
          <w:tcPr>
            <w:tcW w:w="20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0</w:t>
            </w:r>
          </w:p>
        </w:tc>
        <w:tc>
          <w:tcPr>
            <w:tcW w:w="2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220" w:type="dxa"/>
            <w:vAlign w:val="bottom"/>
          </w:tcPr>
          <w:p>
            <w:pPr>
              <w:spacing w:after="0"/>
              <w:rPr>
                <w:sz w:val="21"/>
                <w:szCs w:val="21"/>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21"/>
                <w:szCs w:val="21"/>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53</w:t>
            </w:r>
          </w:p>
        </w:tc>
        <w:tc>
          <w:tcPr>
            <w:tcW w:w="100" w:type="dxa"/>
            <w:vAlign w:val="bottom"/>
          </w:tcPr>
          <w:p>
            <w:pPr>
              <w:spacing w:after="0"/>
              <w:rPr>
                <w:sz w:val="21"/>
                <w:szCs w:val="21"/>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0.6</w:t>
            </w:r>
          </w:p>
        </w:tc>
        <w:tc>
          <w:tcPr>
            <w:tcW w:w="0" w:type="dxa"/>
            <w:vAlign w:val="bottom"/>
          </w:tcPr>
          <w:p>
            <w:pPr>
              <w:spacing w:after="0"/>
              <w:rPr>
                <w:sz w:val="1"/>
                <w:szCs w:val="1"/>
                <w:color w:val="auto"/>
              </w:rPr>
            </w:pPr>
          </w:p>
        </w:tc>
      </w:tr>
      <w:tr>
        <w:trPr>
          <w:trHeight w:val="20"/>
        </w:trPr>
        <w:tc>
          <w:tcPr>
            <w:tcW w:w="2640" w:type="dxa"/>
            <w:vAlign w:val="bottom"/>
            <w:vMerge w:val="restart"/>
            <w:shd w:val="clear" w:color="auto" w:fill="CCEEFF"/>
          </w:tcPr>
          <w:p>
            <w:pPr>
              <w:ind w:left="260"/>
              <w:spacing w:after="0" w:line="284" w:lineRule="exact"/>
              <w:rPr>
                <w:sz w:val="20"/>
                <w:szCs w:val="20"/>
                <w:color w:val="auto"/>
              </w:rPr>
            </w:pPr>
            <w:r>
              <w:rPr>
                <w:rFonts w:ascii="Arial" w:cs="Arial" w:eastAsia="Arial" w:hAnsi="Arial"/>
                <w:sz w:val="18"/>
                <w:szCs w:val="18"/>
                <w:b w:val="1"/>
                <w:bCs w:val="1"/>
                <w:color w:val="auto"/>
              </w:rPr>
              <w:t xml:space="preserve">Total </w:t>
            </w:r>
            <w:r>
              <w:rPr>
                <w:rFonts w:ascii="Arial" w:cs="Arial" w:eastAsia="Arial" w:hAnsi="Arial"/>
                <w:sz w:val="30"/>
                <w:szCs w:val="30"/>
                <w:b w:val="1"/>
                <w:bCs w:val="1"/>
                <w:color w:val="auto"/>
                <w:vertAlign w:val="superscript"/>
              </w:rPr>
              <w:t>(2)</w:t>
            </w:r>
          </w:p>
        </w:tc>
        <w:tc>
          <w:tcPr>
            <w:tcW w:w="200" w:type="dxa"/>
            <w:vAlign w:val="bottom"/>
            <w:shd w:val="clear" w:color="auto" w:fill="000000"/>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64"/>
        </w:trPr>
        <w:tc>
          <w:tcPr>
            <w:tcW w:w="2640" w:type="dxa"/>
            <w:vAlign w:val="bottom"/>
            <w:vMerge w:val="continue"/>
            <w:shd w:val="clear" w:color="auto" w:fill="CCEEFF"/>
          </w:tcPr>
          <w:p>
            <w:pPr>
              <w:spacing w:after="0"/>
              <w:rPr>
                <w:sz w:val="22"/>
                <w:szCs w:val="22"/>
                <w:color w:val="auto"/>
              </w:rPr>
            </w:pP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6,303</w:t>
            </w:r>
          </w:p>
        </w:tc>
        <w:tc>
          <w:tcPr>
            <w:tcW w:w="24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100.0</w:t>
            </w:r>
          </w:p>
        </w:tc>
        <w:tc>
          <w:tcPr>
            <w:tcW w:w="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7,242</w:t>
            </w:r>
          </w:p>
        </w:tc>
        <w:tc>
          <w:tcPr>
            <w:tcW w:w="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100.0</w:t>
            </w:r>
          </w:p>
        </w:tc>
        <w:tc>
          <w:tcPr>
            <w:tcW w:w="300" w:type="dxa"/>
            <w:vAlign w:val="bottom"/>
            <w:gridSpan w:val="2"/>
            <w:shd w:val="clear" w:color="auto" w:fill="CCEEFF"/>
          </w:tcPr>
          <w:p>
            <w:pPr>
              <w:jc w:val="right"/>
              <w:ind w:right="25"/>
              <w:spacing w:after="0"/>
              <w:rPr>
                <w:sz w:val="20"/>
                <w:szCs w:val="20"/>
                <w:color w:val="auto"/>
              </w:rPr>
            </w:pPr>
            <w:r>
              <w:rPr>
                <w:rFonts w:ascii="Arial" w:cs="Arial" w:eastAsia="Arial" w:hAnsi="Arial"/>
                <w:sz w:val="18"/>
                <w:szCs w:val="18"/>
                <w:b w:val="1"/>
                <w:bCs w:val="1"/>
                <w:color w:val="auto"/>
              </w:rPr>
              <w:t>$</w:t>
            </w: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8,341</w:t>
            </w:r>
          </w:p>
        </w:tc>
        <w:tc>
          <w:tcPr>
            <w:tcW w:w="10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100.0</w:t>
            </w:r>
          </w:p>
        </w:tc>
        <w:tc>
          <w:tcPr>
            <w:tcW w:w="0" w:type="dxa"/>
            <w:vAlign w:val="bottom"/>
          </w:tcPr>
          <w:p>
            <w:pPr>
              <w:spacing w:after="0"/>
              <w:rPr>
                <w:sz w:val="1"/>
                <w:szCs w:val="1"/>
                <w:color w:val="auto"/>
              </w:rPr>
            </w:pPr>
          </w:p>
        </w:tc>
      </w:tr>
      <w:tr>
        <w:trPr>
          <w:trHeight w:val="20"/>
        </w:trPr>
        <w:tc>
          <w:tcPr>
            <w:tcW w:w="264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jc w:val="both"/>
        <w:ind w:left="340" w:hanging="332"/>
        <w:spacing w:after="0" w:line="258" w:lineRule="auto"/>
        <w:tabs>
          <w:tab w:leader="none" w:pos="340" w:val="left"/>
        </w:tabs>
        <w:numPr>
          <w:ilvl w:val="0"/>
          <w:numId w:val="22"/>
        </w:numPr>
        <w:rPr>
          <w:rFonts w:ascii="Arial" w:cs="Arial" w:eastAsia="Arial" w:hAnsi="Arial"/>
          <w:sz w:val="26"/>
          <w:szCs w:val="26"/>
          <w:color w:val="auto"/>
          <w:vertAlign w:val="superscript"/>
        </w:rPr>
      </w:pPr>
      <w:r>
        <w:rPr>
          <w:rFonts w:ascii="Arial" w:cs="Arial" w:eastAsia="Arial" w:hAnsi="Arial"/>
          <w:sz w:val="16"/>
          <w:szCs w:val="16"/>
          <w:color w:val="auto"/>
        </w:rPr>
        <w:t>“Other countries” consists of cross-border outstandings to countries in which cross-border outstandings did not exceed 1% for any of the periods indicated. “Other countries” in 2017 was comprised of Nicaragua ($30 million), Jamaica ($25 million), Spain ($23 million), Luxembourg ($20 million), Netherlands ($16 million), Bolivia ($15 million) and Belgium ($12 million). “Other countries” in 2016 was comprised of Nicaragua ($37 million), Spain ($28 million), Bolivia ($18 million), Luxembourg ($15 million), Multilateral Organizations ($11 million), Jamaica ($7 million), France ($7 million) and Belgium ($4 million). “Other countries” in 2015 was comprised of Multilateral Organizations ($66 million), Bolivia ($20 million), Bermuda ($20 million), Jamaica ($17 million), Nicaragua ($17 million), Belgium ($13 million), France ($11 million), Spain ($10 million) and the U.K. ($1 million).</w:t>
      </w:r>
    </w:p>
    <w:p>
      <w:pPr>
        <w:ind w:left="340" w:hanging="332"/>
        <w:spacing w:after="0" w:line="187" w:lineRule="auto"/>
        <w:tabs>
          <w:tab w:leader="none" w:pos="340" w:val="left"/>
        </w:tabs>
        <w:numPr>
          <w:ilvl w:val="0"/>
          <w:numId w:val="22"/>
        </w:numPr>
        <w:rPr>
          <w:rFonts w:ascii="Arial" w:cs="Arial" w:eastAsia="Arial" w:hAnsi="Arial"/>
          <w:sz w:val="30"/>
          <w:szCs w:val="30"/>
          <w:color w:val="auto"/>
          <w:vertAlign w:val="superscript"/>
        </w:rPr>
      </w:pPr>
      <w:r>
        <w:rPr>
          <w:rFonts w:ascii="Arial" w:cs="Arial" w:eastAsia="Arial" w:hAnsi="Arial"/>
          <w:sz w:val="18"/>
          <w:szCs w:val="18"/>
          <w:color w:val="auto"/>
        </w:rPr>
        <w:t>The outstandings by country does not include loan commitments and financial guarantee contracts and other assets. See Item 4.B. “Business Overview— Loan Commitments and Financial Guarantee Contracts.”</w:t>
      </w:r>
    </w:p>
    <w:p>
      <w:pPr>
        <w:spacing w:after="0" w:line="20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 allocating country risk limits, the Bank applies a portfolio management approach that takes into consideration several factors, including the Bank’s perception of country risk levels, business opportunities, and economic and political risk analysis.</w:t>
      </w:r>
    </w:p>
    <w:p>
      <w:pPr>
        <w:spacing w:after="0" w:line="170"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As of December 31, 2017, overall cross border outstandings totaled $6,303 million, a $939 million decrease compared to $7,242 million as of December 31, 2016, as the Bank experienced high U.S. dollar liquidity in key markets such as Peru, and exposures to certain countries were adjusted, most notably in Brazil, along with decreased levels of liquid assets in the form of cash and cash equivalents, mainly placed with the U.S. Federal Reserve Bank.</w:t>
      </w:r>
    </w:p>
    <w:p>
      <w:pPr>
        <w:spacing w:after="0" w:line="14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Overall cross border outstandings decreased to $7,242 million as of December 31, 2016, from $8,341 million as of December 31, 2015, as some exposures in certain countries, most notably in Brazil, were reduced in accordance with the Bank’s perception of risks relating to that country.</w:t>
      </w:r>
    </w:p>
    <w:p>
      <w:pPr>
        <w:spacing w:after="0" w:line="147"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Cross-border outstanding exposures in countries outside the Region correspond principally to the Bank’s liquidity placements and secured credits related to transactions carried out in the Region. See Item 5, “Operating and Financial Review and Prospects—Liquidity and Capital Resources—Liquidity.”</w:t>
      </w: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8" w:right="239" w:bottom="1440" w:gutter="0" w:footer="0" w:header="0"/>
        </w:sectPr>
      </w:pPr>
    </w:p>
    <w:bookmarkStart w:id="32" w:name="page33"/>
    <w:bookmarkEnd w:id="32"/>
    <w:p>
      <w:pPr>
        <w:spacing w:after="0"/>
        <w:rPr>
          <w:sz w:val="20"/>
          <w:szCs w:val="20"/>
          <w:color w:val="auto"/>
        </w:rPr>
      </w:pPr>
      <w:r>
        <w:rPr>
          <w:rFonts w:ascii="Arial" w:cs="Arial" w:eastAsia="Arial" w:hAnsi="Arial"/>
          <w:sz w:val="18"/>
          <w:szCs w:val="18"/>
          <w:color w:val="auto"/>
        </w:rPr>
        <w:t>The following table sets forth the amount of the Bank’s cross-border outstandings by type of institution as of December 31 of each year:</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64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640" w:type="dxa"/>
            <w:vAlign w:val="bottom"/>
            <w:tcBorders>
              <w:bottom w:val="single" w:sz="8" w:color="auto"/>
            </w:tcBorders>
            <w:gridSpan w:val="4"/>
          </w:tcPr>
          <w:p>
            <w:pPr>
              <w:jc w:val="center"/>
              <w:ind w:right="80"/>
              <w:spacing w:after="0"/>
              <w:rPr>
                <w:sz w:val="20"/>
                <w:szCs w:val="20"/>
                <w:color w:val="auto"/>
              </w:rPr>
            </w:pPr>
            <w:r>
              <w:rPr>
                <w:rFonts w:ascii="Arial" w:cs="Arial" w:eastAsia="Arial" w:hAnsi="Arial"/>
                <w:sz w:val="18"/>
                <w:szCs w:val="18"/>
                <w:b w:val="1"/>
                <w:bCs w:val="1"/>
                <w:color w:val="auto"/>
                <w:w w:val="88"/>
              </w:rPr>
              <w:t>As of December 31,</w:t>
            </w:r>
          </w:p>
        </w:tc>
        <w:tc>
          <w:tcPr>
            <w:tcW w:w="2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564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42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0"/>
        </w:trPr>
        <w:tc>
          <w:tcPr>
            <w:tcW w:w="56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4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91"/>
              </w:rPr>
              <w:t>(in $ millions)</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640" w:type="dxa"/>
            <w:vAlign w:val="bottom"/>
            <w:shd w:val="clear" w:color="auto" w:fill="CCEEFF"/>
          </w:tcPr>
          <w:p>
            <w:pPr>
              <w:spacing w:after="0"/>
              <w:rPr>
                <w:sz w:val="20"/>
                <w:szCs w:val="20"/>
                <w:color w:val="auto"/>
              </w:rPr>
            </w:pPr>
            <w:r>
              <w:rPr>
                <w:rFonts w:ascii="Arial" w:cs="Arial" w:eastAsia="Arial" w:hAnsi="Arial"/>
                <w:sz w:val="18"/>
                <w:szCs w:val="18"/>
                <w:color w:val="auto"/>
              </w:rPr>
              <w:t>Private sector commercial banks and financial institutions</w:t>
            </w:r>
          </w:p>
        </w:tc>
        <w:tc>
          <w:tcPr>
            <w:tcW w:w="2300" w:type="dxa"/>
            <w:vAlign w:val="bottom"/>
            <w:gridSpan w:val="2"/>
            <w:shd w:val="clear" w:color="auto" w:fill="CCEEFF"/>
          </w:tcPr>
          <w:p>
            <w:pPr>
              <w:jc w:val="right"/>
              <w:ind w:right="680"/>
              <w:spacing w:after="0"/>
              <w:rPr>
                <w:sz w:val="20"/>
                <w:szCs w:val="20"/>
                <w:color w:val="auto"/>
              </w:rPr>
            </w:pPr>
            <w:r>
              <w:rPr>
                <w:rFonts w:ascii="Arial" w:cs="Arial" w:eastAsia="Arial" w:hAnsi="Arial"/>
                <w:sz w:val="18"/>
                <w:szCs w:val="18"/>
                <w:color w:val="auto"/>
              </w:rPr>
              <w:t>$</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88"/>
              </w:rPr>
              <w:t>2,168</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2,184</w:t>
            </w:r>
          </w:p>
        </w:tc>
        <w:tc>
          <w:tcPr>
            <w:tcW w:w="280" w:type="dxa"/>
            <w:vAlign w:val="bottom"/>
            <w:gridSpan w:val="2"/>
            <w:shd w:val="clear" w:color="auto" w:fill="CCEEFF"/>
          </w:tcPr>
          <w:p>
            <w:pPr>
              <w:jc w:val="right"/>
              <w:ind w:right="105"/>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2,100</w:t>
            </w:r>
          </w:p>
        </w:tc>
        <w:tc>
          <w:tcPr>
            <w:tcW w:w="80" w:type="dxa"/>
            <w:vAlign w:val="bottom"/>
            <w:shd w:val="clear" w:color="auto" w:fill="CCEEFF"/>
          </w:tcPr>
          <w:p>
            <w:pPr>
              <w:spacing w:after="0"/>
              <w:rPr>
                <w:sz w:val="18"/>
                <w:szCs w:val="18"/>
                <w:color w:val="auto"/>
              </w:rPr>
            </w:pPr>
          </w:p>
        </w:tc>
      </w:tr>
      <w:tr>
        <w:trPr>
          <w:trHeight w:val="216"/>
        </w:trPr>
        <w:tc>
          <w:tcPr>
            <w:tcW w:w="5640" w:type="dxa"/>
            <w:vAlign w:val="bottom"/>
          </w:tcPr>
          <w:p>
            <w:pPr>
              <w:spacing w:after="0"/>
              <w:rPr>
                <w:sz w:val="20"/>
                <w:szCs w:val="20"/>
                <w:color w:val="auto"/>
              </w:rPr>
            </w:pPr>
            <w:r>
              <w:rPr>
                <w:rFonts w:ascii="Arial" w:cs="Arial" w:eastAsia="Arial" w:hAnsi="Arial"/>
                <w:sz w:val="18"/>
                <w:szCs w:val="18"/>
                <w:color w:val="auto"/>
              </w:rPr>
              <w:t>State-owned commercial banks and financial institutions</w:t>
            </w:r>
          </w:p>
        </w:tc>
        <w:tc>
          <w:tcPr>
            <w:tcW w:w="14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579</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571</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632</w:t>
            </w:r>
          </w:p>
        </w:tc>
        <w:tc>
          <w:tcPr>
            <w:tcW w:w="80" w:type="dxa"/>
            <w:vAlign w:val="bottom"/>
          </w:tcPr>
          <w:p>
            <w:pPr>
              <w:spacing w:after="0"/>
              <w:rPr>
                <w:sz w:val="18"/>
                <w:szCs w:val="18"/>
                <w:color w:val="auto"/>
              </w:rPr>
            </w:pPr>
          </w:p>
        </w:tc>
      </w:tr>
      <w:tr>
        <w:trPr>
          <w:trHeight w:val="216"/>
        </w:trPr>
        <w:tc>
          <w:tcPr>
            <w:tcW w:w="5640" w:type="dxa"/>
            <w:vAlign w:val="bottom"/>
            <w:shd w:val="clear" w:color="auto" w:fill="CCEEFF"/>
          </w:tcPr>
          <w:p>
            <w:pPr>
              <w:spacing w:after="0"/>
              <w:rPr>
                <w:sz w:val="20"/>
                <w:szCs w:val="20"/>
                <w:color w:val="auto"/>
              </w:rPr>
            </w:pPr>
            <w:r>
              <w:rPr>
                <w:rFonts w:ascii="Arial" w:cs="Arial" w:eastAsia="Arial" w:hAnsi="Arial"/>
                <w:sz w:val="18"/>
                <w:szCs w:val="18"/>
                <w:color w:val="auto"/>
              </w:rPr>
              <w:t>Central banks</w:t>
            </w:r>
          </w:p>
        </w:tc>
        <w:tc>
          <w:tcPr>
            <w:tcW w:w="14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609</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621</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1,213</w:t>
            </w:r>
          </w:p>
        </w:tc>
        <w:tc>
          <w:tcPr>
            <w:tcW w:w="80" w:type="dxa"/>
            <w:vAlign w:val="bottom"/>
            <w:shd w:val="clear" w:color="auto" w:fill="CCEEFF"/>
          </w:tcPr>
          <w:p>
            <w:pPr>
              <w:spacing w:after="0"/>
              <w:rPr>
                <w:sz w:val="18"/>
                <w:szCs w:val="18"/>
                <w:color w:val="auto"/>
              </w:rPr>
            </w:pPr>
          </w:p>
        </w:tc>
      </w:tr>
      <w:tr>
        <w:trPr>
          <w:trHeight w:val="216"/>
        </w:trPr>
        <w:tc>
          <w:tcPr>
            <w:tcW w:w="5640" w:type="dxa"/>
            <w:vAlign w:val="bottom"/>
          </w:tcPr>
          <w:p>
            <w:pPr>
              <w:spacing w:after="0"/>
              <w:rPr>
                <w:sz w:val="20"/>
                <w:szCs w:val="20"/>
                <w:color w:val="auto"/>
              </w:rPr>
            </w:pPr>
            <w:r>
              <w:rPr>
                <w:rFonts w:ascii="Arial" w:cs="Arial" w:eastAsia="Arial" w:hAnsi="Arial"/>
                <w:sz w:val="18"/>
                <w:szCs w:val="18"/>
                <w:color w:val="auto"/>
              </w:rPr>
              <w:t>Sovereign debt</w:t>
            </w:r>
          </w:p>
        </w:tc>
        <w:tc>
          <w:tcPr>
            <w:tcW w:w="14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49</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50</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60</w:t>
            </w:r>
          </w:p>
        </w:tc>
        <w:tc>
          <w:tcPr>
            <w:tcW w:w="80" w:type="dxa"/>
            <w:vAlign w:val="bottom"/>
          </w:tcPr>
          <w:p>
            <w:pPr>
              <w:spacing w:after="0"/>
              <w:rPr>
                <w:sz w:val="18"/>
                <w:szCs w:val="18"/>
                <w:color w:val="auto"/>
              </w:rPr>
            </w:pPr>
          </w:p>
        </w:tc>
      </w:tr>
      <w:tr>
        <w:trPr>
          <w:trHeight w:val="216"/>
        </w:trPr>
        <w:tc>
          <w:tcPr>
            <w:tcW w:w="5640" w:type="dxa"/>
            <w:vAlign w:val="bottom"/>
            <w:shd w:val="clear" w:color="auto" w:fill="CCEEFF"/>
          </w:tcPr>
          <w:p>
            <w:pPr>
              <w:spacing w:after="0"/>
              <w:rPr>
                <w:sz w:val="20"/>
                <w:szCs w:val="20"/>
                <w:color w:val="auto"/>
              </w:rPr>
            </w:pPr>
            <w:r>
              <w:rPr>
                <w:rFonts w:ascii="Arial" w:cs="Arial" w:eastAsia="Arial" w:hAnsi="Arial"/>
                <w:sz w:val="18"/>
                <w:szCs w:val="18"/>
                <w:color w:val="auto"/>
              </w:rPr>
              <w:t>State-owned organizations</w:t>
            </w:r>
          </w:p>
        </w:tc>
        <w:tc>
          <w:tcPr>
            <w:tcW w:w="14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750</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829</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605</w:t>
            </w:r>
          </w:p>
        </w:tc>
        <w:tc>
          <w:tcPr>
            <w:tcW w:w="80" w:type="dxa"/>
            <w:vAlign w:val="bottom"/>
            <w:shd w:val="clear" w:color="auto" w:fill="CCEEFF"/>
          </w:tcPr>
          <w:p>
            <w:pPr>
              <w:spacing w:after="0"/>
              <w:rPr>
                <w:sz w:val="18"/>
                <w:szCs w:val="18"/>
                <w:color w:val="auto"/>
              </w:rPr>
            </w:pPr>
          </w:p>
        </w:tc>
      </w:tr>
      <w:tr>
        <w:trPr>
          <w:trHeight w:val="216"/>
        </w:trPr>
        <w:tc>
          <w:tcPr>
            <w:tcW w:w="5640" w:type="dxa"/>
            <w:vAlign w:val="bottom"/>
          </w:tcPr>
          <w:p>
            <w:pPr>
              <w:spacing w:after="0"/>
              <w:rPr>
                <w:sz w:val="20"/>
                <w:szCs w:val="20"/>
                <w:color w:val="auto"/>
              </w:rPr>
            </w:pPr>
            <w:r>
              <w:rPr>
                <w:rFonts w:ascii="Arial" w:cs="Arial" w:eastAsia="Arial" w:hAnsi="Arial"/>
                <w:sz w:val="18"/>
                <w:szCs w:val="18"/>
                <w:color w:val="auto"/>
              </w:rPr>
              <w:t>Private middle-market companies</w:t>
            </w:r>
          </w:p>
        </w:tc>
        <w:tc>
          <w:tcPr>
            <w:tcW w:w="14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246</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296</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391</w:t>
            </w:r>
          </w:p>
        </w:tc>
        <w:tc>
          <w:tcPr>
            <w:tcW w:w="80" w:type="dxa"/>
            <w:vAlign w:val="bottom"/>
          </w:tcPr>
          <w:p>
            <w:pPr>
              <w:spacing w:after="0"/>
              <w:rPr>
                <w:sz w:val="18"/>
                <w:szCs w:val="18"/>
                <w:color w:val="auto"/>
              </w:rPr>
            </w:pPr>
          </w:p>
        </w:tc>
      </w:tr>
      <w:tr>
        <w:trPr>
          <w:trHeight w:val="230"/>
        </w:trPr>
        <w:tc>
          <w:tcPr>
            <w:tcW w:w="5640" w:type="dxa"/>
            <w:vAlign w:val="bottom"/>
            <w:shd w:val="clear" w:color="auto" w:fill="CCEEFF"/>
          </w:tcPr>
          <w:p>
            <w:pPr>
              <w:spacing w:after="0"/>
              <w:rPr>
                <w:sz w:val="20"/>
                <w:szCs w:val="20"/>
                <w:color w:val="auto"/>
              </w:rPr>
            </w:pPr>
            <w:r>
              <w:rPr>
                <w:rFonts w:ascii="Arial" w:cs="Arial" w:eastAsia="Arial" w:hAnsi="Arial"/>
                <w:sz w:val="18"/>
                <w:szCs w:val="18"/>
                <w:color w:val="auto"/>
              </w:rPr>
              <w:t>Private corporations</w:t>
            </w:r>
          </w:p>
        </w:tc>
        <w:tc>
          <w:tcPr>
            <w:tcW w:w="1460" w:type="dxa"/>
            <w:vAlign w:val="bottom"/>
            <w:shd w:val="clear" w:color="auto" w:fill="CCEEFF"/>
          </w:tcPr>
          <w:p>
            <w:pPr>
              <w:spacing w:after="0"/>
              <w:rPr>
                <w:sz w:val="19"/>
                <w:szCs w:val="19"/>
                <w:color w:val="auto"/>
              </w:rPr>
            </w:pPr>
          </w:p>
        </w:tc>
        <w:tc>
          <w:tcPr>
            <w:tcW w:w="840" w:type="dxa"/>
            <w:vAlign w:val="bottom"/>
            <w:shd w:val="clear" w:color="auto" w:fill="CCEEFF"/>
          </w:tcPr>
          <w:p>
            <w:pPr>
              <w:spacing w:after="0"/>
              <w:rPr>
                <w:sz w:val="19"/>
                <w:szCs w:val="19"/>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88"/>
              </w:rPr>
              <w:t>1,902</w:t>
            </w:r>
          </w:p>
        </w:tc>
        <w:tc>
          <w:tcPr>
            <w:tcW w:w="2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2,691</w:t>
            </w:r>
          </w:p>
        </w:tc>
        <w:tc>
          <w:tcPr>
            <w:tcW w:w="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3,286</w:t>
            </w:r>
          </w:p>
        </w:tc>
        <w:tc>
          <w:tcPr>
            <w:tcW w:w="80" w:type="dxa"/>
            <w:vAlign w:val="bottom"/>
            <w:shd w:val="clear" w:color="auto" w:fill="CCEEFF"/>
          </w:tcPr>
          <w:p>
            <w:pPr>
              <w:spacing w:after="0"/>
              <w:rPr>
                <w:sz w:val="19"/>
                <w:szCs w:val="19"/>
                <w:color w:val="auto"/>
              </w:rPr>
            </w:pPr>
          </w:p>
        </w:tc>
      </w:tr>
      <w:tr>
        <w:trPr>
          <w:trHeight w:val="263"/>
        </w:trPr>
        <w:tc>
          <w:tcPr>
            <w:tcW w:w="5640" w:type="dxa"/>
            <w:vAlign w:val="bottom"/>
            <w:tcBorders>
              <w:bottom w:val="single" w:sz="8" w:color="CCEEFF"/>
            </w:tcBorders>
          </w:tcPr>
          <w:p>
            <w:pPr>
              <w:ind w:left="260"/>
              <w:spacing w:after="0"/>
              <w:rPr>
                <w:sz w:val="20"/>
                <w:szCs w:val="20"/>
                <w:color w:val="auto"/>
              </w:rPr>
            </w:pPr>
            <w:r>
              <w:rPr>
                <w:rFonts w:ascii="Arial" w:cs="Arial" w:eastAsia="Arial" w:hAnsi="Arial"/>
                <w:sz w:val="18"/>
                <w:szCs w:val="18"/>
                <w:b w:val="1"/>
                <w:bCs w:val="1"/>
                <w:color w:val="auto"/>
              </w:rPr>
              <w:t>Subtotal</w:t>
            </w:r>
          </w:p>
        </w:tc>
        <w:tc>
          <w:tcPr>
            <w:tcW w:w="146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ind w:right="680"/>
              <w:spacing w:after="0"/>
              <w:rPr>
                <w:sz w:val="20"/>
                <w:szCs w:val="20"/>
                <w:color w:val="auto"/>
              </w:rPr>
            </w:pPr>
            <w:r>
              <w:rPr>
                <w:rFonts w:ascii="Arial" w:cs="Arial" w:eastAsia="Arial" w:hAnsi="Arial"/>
                <w:sz w:val="15"/>
                <w:szCs w:val="15"/>
                <w:b w:val="1"/>
                <w:bCs w:val="1"/>
                <w:color w:val="auto"/>
                <w:w w:val="71"/>
              </w:rPr>
              <w:t>$</w:t>
            </w:r>
          </w:p>
        </w:tc>
        <w:tc>
          <w:tcPr>
            <w:tcW w:w="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6,303</w:t>
            </w:r>
          </w:p>
        </w:tc>
        <w:tc>
          <w:tcPr>
            <w:tcW w:w="60" w:type="dxa"/>
            <w:vAlign w:val="bottom"/>
            <w:tcBorders>
              <w:bottom w:val="single" w:sz="8" w:color="CCEEFF"/>
            </w:tcBorders>
          </w:tcPr>
          <w:p>
            <w:pPr>
              <w:spacing w:after="0"/>
              <w:rPr>
                <w:sz w:val="22"/>
                <w:szCs w:val="22"/>
                <w:color w:val="auto"/>
              </w:rPr>
            </w:pPr>
          </w:p>
        </w:tc>
        <w:tc>
          <w:tcPr>
            <w:tcW w:w="200" w:type="dxa"/>
            <w:vAlign w:val="bottom"/>
            <w:tcBorders>
              <w:bottom w:val="single" w:sz="8" w:color="CCEEFF"/>
            </w:tcBorders>
          </w:tcPr>
          <w:p>
            <w:pPr>
              <w:spacing w:after="0"/>
              <w:rPr>
                <w:sz w:val="22"/>
                <w:szCs w:val="22"/>
                <w:color w:val="auto"/>
              </w:rPr>
            </w:pPr>
          </w:p>
        </w:tc>
        <w:tc>
          <w:tcPr>
            <w:tcW w:w="260" w:type="dxa"/>
            <w:vAlign w:val="bottom"/>
            <w:tcBorders>
              <w:top w:val="single" w:sz="8" w:color="auto"/>
              <w:bottom w:val="single" w:sz="8" w:color="auto"/>
            </w:tcBorders>
          </w:tcPr>
          <w:p>
            <w:pPr>
              <w:jc w:val="right"/>
              <w:ind w:right="100"/>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7,242</w:t>
            </w:r>
          </w:p>
        </w:tc>
        <w:tc>
          <w:tcPr>
            <w:tcW w:w="200" w:type="dxa"/>
            <w:vAlign w:val="bottom"/>
            <w:tcBorders>
              <w:bottom w:val="single" w:sz="8" w:color="CCEEFF"/>
            </w:tcBorders>
          </w:tcPr>
          <w:p>
            <w:pPr>
              <w:spacing w:after="0"/>
              <w:rPr>
                <w:sz w:val="22"/>
                <w:szCs w:val="22"/>
                <w:color w:val="auto"/>
              </w:rPr>
            </w:pPr>
          </w:p>
        </w:tc>
        <w:tc>
          <w:tcPr>
            <w:tcW w:w="20" w:type="dxa"/>
            <w:vAlign w:val="bottom"/>
            <w:tcBorders>
              <w:bottom w:val="single" w:sz="8" w:color="CCEEFF"/>
            </w:tcBorders>
          </w:tcPr>
          <w:p>
            <w:pPr>
              <w:spacing w:after="0"/>
              <w:rPr>
                <w:sz w:val="22"/>
                <w:szCs w:val="22"/>
                <w:color w:val="auto"/>
              </w:rPr>
            </w:pPr>
          </w:p>
        </w:tc>
        <w:tc>
          <w:tcPr>
            <w:tcW w:w="260" w:type="dxa"/>
            <w:vAlign w:val="bottom"/>
            <w:tcBorders>
              <w:top w:val="single" w:sz="8" w:color="auto"/>
              <w:bottom w:val="single" w:sz="8" w:color="auto"/>
            </w:tcBorders>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8,287</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5640" w:type="dxa"/>
            <w:vAlign w:val="bottom"/>
            <w:shd w:val="clear" w:color="auto" w:fill="CCEEFF"/>
          </w:tcPr>
          <w:p>
            <w:pPr>
              <w:spacing w:after="0" w:line="190" w:lineRule="exact"/>
              <w:rPr>
                <w:sz w:val="20"/>
                <w:szCs w:val="20"/>
                <w:color w:val="auto"/>
              </w:rPr>
            </w:pPr>
            <w:r>
              <w:rPr>
                <w:rFonts w:ascii="Arial" w:cs="Arial" w:eastAsia="Arial" w:hAnsi="Arial"/>
                <w:sz w:val="18"/>
                <w:szCs w:val="18"/>
                <w:color w:val="auto"/>
              </w:rPr>
              <w:t>Investment funds at fair value through profit or loss</w:t>
            </w:r>
          </w:p>
        </w:tc>
        <w:tc>
          <w:tcPr>
            <w:tcW w:w="1460" w:type="dxa"/>
            <w:vAlign w:val="bottom"/>
            <w:shd w:val="clear" w:color="auto" w:fill="CCEEFF"/>
          </w:tcPr>
          <w:p>
            <w:pPr>
              <w:spacing w:after="0"/>
              <w:rPr>
                <w:sz w:val="17"/>
                <w:szCs w:val="17"/>
                <w:color w:val="auto"/>
              </w:rPr>
            </w:pPr>
          </w:p>
        </w:tc>
        <w:tc>
          <w:tcPr>
            <w:tcW w:w="840" w:type="dxa"/>
            <w:vAlign w:val="bottom"/>
            <w:tcBorders>
              <w:bottom w:val="single" w:sz="8" w:color="auto"/>
            </w:tcBorders>
            <w:shd w:val="clear" w:color="auto" w:fill="CCEEFF"/>
          </w:tcPr>
          <w:p>
            <w:pPr>
              <w:spacing w:after="0"/>
              <w:rPr>
                <w:sz w:val="17"/>
                <w:szCs w:val="17"/>
                <w:color w:val="auto"/>
              </w:rPr>
            </w:pPr>
          </w:p>
        </w:tc>
        <w:tc>
          <w:tcPr>
            <w:tcW w:w="4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60" w:type="dxa"/>
            <w:vAlign w:val="bottom"/>
            <w:tcBorders>
              <w:bottom w:val="single" w:sz="8" w:color="auto"/>
            </w:tcBorders>
            <w:shd w:val="clear" w:color="auto" w:fill="CCEEFF"/>
          </w:tcPr>
          <w:p>
            <w:pPr>
              <w:spacing w:after="0"/>
              <w:rPr>
                <w:sz w:val="17"/>
                <w:szCs w:val="17"/>
                <w:color w:val="auto"/>
              </w:rPr>
            </w:pPr>
          </w:p>
        </w:tc>
        <w:tc>
          <w:tcPr>
            <w:tcW w:w="9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60" w:type="dxa"/>
            <w:vAlign w:val="bottom"/>
            <w:tcBorders>
              <w:bottom w:val="single" w:sz="8" w:color="auto"/>
            </w:tcBorders>
            <w:shd w:val="clear" w:color="auto" w:fill="CCEEFF"/>
          </w:tcPr>
          <w:p>
            <w:pPr>
              <w:spacing w:after="0"/>
              <w:rPr>
                <w:sz w:val="17"/>
                <w:szCs w:val="17"/>
                <w:color w:val="auto"/>
              </w:rPr>
            </w:pPr>
          </w:p>
        </w:tc>
        <w:tc>
          <w:tcPr>
            <w:tcW w:w="9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53</w:t>
            </w: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23"/>
        </w:trPr>
        <w:tc>
          <w:tcPr>
            <w:tcW w:w="5640" w:type="dxa"/>
            <w:vAlign w:val="bottom"/>
          </w:tcPr>
          <w:p>
            <w:pPr>
              <w:ind w:left="260"/>
              <w:spacing w:after="0"/>
              <w:rPr>
                <w:sz w:val="20"/>
                <w:szCs w:val="20"/>
                <w:color w:val="auto"/>
              </w:rPr>
            </w:pPr>
            <w:r>
              <w:rPr>
                <w:rFonts w:ascii="Arial" w:cs="Arial" w:eastAsia="Arial" w:hAnsi="Arial"/>
                <w:sz w:val="18"/>
                <w:szCs w:val="18"/>
                <w:b w:val="1"/>
                <w:bCs w:val="1"/>
                <w:color w:val="auto"/>
              </w:rPr>
              <w:t>Total</w:t>
            </w:r>
          </w:p>
        </w:tc>
        <w:tc>
          <w:tcPr>
            <w:tcW w:w="1460" w:type="dxa"/>
            <w:vAlign w:val="bottom"/>
          </w:tcPr>
          <w:p>
            <w:pPr>
              <w:spacing w:after="0"/>
              <w:rPr>
                <w:sz w:val="19"/>
                <w:szCs w:val="19"/>
                <w:color w:val="auto"/>
              </w:rPr>
            </w:pPr>
          </w:p>
        </w:tc>
        <w:tc>
          <w:tcPr>
            <w:tcW w:w="840" w:type="dxa"/>
            <w:vAlign w:val="bottom"/>
            <w:tcBorders>
              <w:bottom w:val="single" w:sz="8" w:color="auto"/>
            </w:tcBorders>
          </w:tcPr>
          <w:p>
            <w:pPr>
              <w:jc w:val="right"/>
              <w:ind w:right="680"/>
              <w:spacing w:after="0"/>
              <w:rPr>
                <w:sz w:val="20"/>
                <w:szCs w:val="20"/>
                <w:color w:val="auto"/>
              </w:rPr>
            </w:pPr>
            <w:r>
              <w:rPr>
                <w:rFonts w:ascii="Arial" w:cs="Arial" w:eastAsia="Arial" w:hAnsi="Arial"/>
                <w:sz w:val="15"/>
                <w:szCs w:val="15"/>
                <w:b w:val="1"/>
                <w:bCs w:val="1"/>
                <w:color w:val="auto"/>
                <w:w w:val="71"/>
              </w:rPr>
              <w:t>$</w:t>
            </w: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6,303</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60" w:type="dxa"/>
            <w:vAlign w:val="bottom"/>
            <w:tcBorders>
              <w:bottom w:val="single" w:sz="8" w:color="auto"/>
            </w:tcBorders>
          </w:tcPr>
          <w:p>
            <w:pPr>
              <w:jc w:val="right"/>
              <w:ind w:right="100"/>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7,242</w:t>
            </w:r>
          </w:p>
        </w:tc>
        <w:tc>
          <w:tcPr>
            <w:tcW w:w="20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8,341</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64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Total Income Per Country</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following table sets forth information regarding the Bank’s total income by country at the dates indicated, with total income calculated as the sum of net interest income plus net other income – which includes fees and commissions, net, gain (loss) on derivative financial instruments and foreign currency exchange, gain (loss) per financial instrument at fair value through profit or loss, gain (loss) on sale of securities at fair value through OCI, gain on sale of loans and other income:</w:t>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67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2580" w:type="dxa"/>
            <w:vAlign w:val="bottom"/>
            <w:tcBorders>
              <w:bottom w:val="single" w:sz="8" w:color="auto"/>
            </w:tcBorders>
            <w:gridSpan w:val="8"/>
          </w:tcPr>
          <w:p>
            <w:pPr>
              <w:jc w:val="right"/>
              <w:spacing w:after="0"/>
              <w:rPr>
                <w:sz w:val="20"/>
                <w:szCs w:val="20"/>
                <w:color w:val="auto"/>
              </w:rPr>
            </w:pPr>
            <w:r>
              <w:rPr>
                <w:rFonts w:ascii="Arial" w:cs="Arial" w:eastAsia="Arial" w:hAnsi="Arial"/>
                <w:sz w:val="18"/>
                <w:szCs w:val="18"/>
                <w:b w:val="1"/>
                <w:bCs w:val="1"/>
                <w:color w:val="auto"/>
                <w:w w:val="89"/>
              </w:rPr>
              <w:t>For the year ended December 31,</w:t>
            </w:r>
          </w:p>
        </w:tc>
        <w:tc>
          <w:tcPr>
            <w:tcW w:w="8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7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44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4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gridSpan w:val="3"/>
          </w:tcPr>
          <w:p>
            <w:pPr>
              <w:jc w:val="right"/>
              <w:ind w:right="260"/>
              <w:spacing w:after="0"/>
              <w:rPr>
                <w:sz w:val="20"/>
                <w:szCs w:val="20"/>
                <w:color w:val="auto"/>
              </w:rPr>
            </w:pPr>
            <w:r>
              <w:rPr>
                <w:rFonts w:ascii="Arial" w:cs="Arial" w:eastAsia="Arial" w:hAnsi="Arial"/>
                <w:sz w:val="18"/>
                <w:szCs w:val="18"/>
                <w:b w:val="1"/>
                <w:bCs w:val="1"/>
                <w:color w:val="auto"/>
                <w:w w:val="94"/>
              </w:rPr>
              <w:t>(in $ millions)</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1140" w:type="dxa"/>
            <w:vAlign w:val="bottom"/>
            <w:gridSpan w:val="2"/>
            <w:shd w:val="clear" w:color="auto" w:fill="CCEEFF"/>
          </w:tcPr>
          <w:p>
            <w:pPr>
              <w:jc w:val="right"/>
              <w:ind w:right="660"/>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5.6</w:t>
            </w:r>
          </w:p>
        </w:tc>
        <w:tc>
          <w:tcPr>
            <w:tcW w:w="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10.7</w:t>
            </w:r>
          </w:p>
        </w:tc>
        <w:tc>
          <w:tcPr>
            <w:tcW w:w="500" w:type="dxa"/>
            <w:vAlign w:val="bottom"/>
            <w:gridSpan w:val="2"/>
            <w:shd w:val="clear" w:color="auto" w:fill="CCEEFF"/>
          </w:tcPr>
          <w:p>
            <w:pPr>
              <w:jc w:val="right"/>
              <w:ind w:right="25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tcPr>
          <w:p>
            <w:pPr>
              <w:spacing w:after="0"/>
              <w:rPr>
                <w:sz w:val="20"/>
                <w:szCs w:val="20"/>
                <w:color w:val="auto"/>
              </w:rPr>
            </w:pPr>
            <w:r>
              <w:rPr>
                <w:rFonts w:ascii="Arial" w:cs="Arial" w:eastAsia="Arial" w:hAnsi="Arial"/>
                <w:sz w:val="18"/>
                <w:szCs w:val="18"/>
                <w:color w:val="auto"/>
              </w:rPr>
              <w:t>Bermuda</w:t>
            </w: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0.0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0.0</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Brazil</w:t>
            </w: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25.8</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37.7</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tcPr>
          <w:p>
            <w:pPr>
              <w:spacing w:after="0"/>
              <w:rPr>
                <w:sz w:val="20"/>
                <w:szCs w:val="20"/>
                <w:color w:val="auto"/>
              </w:rPr>
            </w:pPr>
            <w:r>
              <w:rPr>
                <w:rFonts w:ascii="Arial" w:cs="Arial" w:eastAsia="Arial" w:hAnsi="Arial"/>
                <w:sz w:val="18"/>
                <w:szCs w:val="18"/>
                <w:color w:val="auto"/>
              </w:rPr>
              <w:t>Chile</w:t>
            </w: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1.7</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3.2</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2.8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Colombia</w:t>
            </w: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19.1</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12.2</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tcPr>
          <w:p>
            <w:pPr>
              <w:spacing w:after="0"/>
              <w:rPr>
                <w:sz w:val="20"/>
                <w:szCs w:val="20"/>
                <w:color w:val="auto"/>
              </w:rPr>
            </w:pPr>
            <w:r>
              <w:rPr>
                <w:rFonts w:ascii="Arial" w:cs="Arial" w:eastAsia="Arial" w:hAnsi="Arial"/>
                <w:sz w:val="18"/>
                <w:szCs w:val="18"/>
                <w:color w:val="auto"/>
              </w:rPr>
              <w:t>Costa Rica</w:t>
            </w: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11.2</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9.7</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7.0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Dominican Republic</w:t>
            </w: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4.5</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tcPr>
          <w:p>
            <w:pPr>
              <w:spacing w:after="0"/>
              <w:rPr>
                <w:sz w:val="20"/>
                <w:szCs w:val="20"/>
                <w:color w:val="auto"/>
              </w:rPr>
            </w:pPr>
            <w:r>
              <w:rPr>
                <w:rFonts w:ascii="Arial" w:cs="Arial" w:eastAsia="Arial" w:hAnsi="Arial"/>
                <w:sz w:val="18"/>
                <w:szCs w:val="18"/>
                <w:color w:val="auto"/>
              </w:rPr>
              <w:t>Ecuador</w:t>
            </w: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8.5</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7.6</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7.4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El Salvador</w:t>
            </w: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2.9</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tcPr>
          <w:p>
            <w:pPr>
              <w:spacing w:after="0"/>
              <w:rPr>
                <w:sz w:val="20"/>
                <w:szCs w:val="20"/>
                <w:color w:val="auto"/>
              </w:rPr>
            </w:pPr>
            <w:r>
              <w:rPr>
                <w:rFonts w:ascii="Arial" w:cs="Arial" w:eastAsia="Arial" w:hAnsi="Arial"/>
                <w:sz w:val="18"/>
                <w:szCs w:val="18"/>
                <w:color w:val="auto"/>
              </w:rPr>
              <w:t>Germany</w:t>
            </w: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2.3</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3.1</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4.8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Guatemala</w:t>
            </w: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5.9</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8.7</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tcPr>
          <w:p>
            <w:pPr>
              <w:spacing w:after="0"/>
              <w:rPr>
                <w:sz w:val="20"/>
                <w:szCs w:val="20"/>
                <w:color w:val="auto"/>
              </w:rPr>
            </w:pPr>
            <w:r>
              <w:rPr>
                <w:rFonts w:ascii="Arial" w:cs="Arial" w:eastAsia="Arial" w:hAnsi="Arial"/>
                <w:sz w:val="18"/>
                <w:szCs w:val="18"/>
                <w:color w:val="auto"/>
              </w:rPr>
              <w:t>Honduras</w:t>
            </w: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2.0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3.6</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3.2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Jamaica</w:t>
            </w: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tcPr>
          <w:p>
            <w:pPr>
              <w:spacing w:after="0"/>
              <w:rPr>
                <w:sz w:val="20"/>
                <w:szCs w:val="20"/>
                <w:color w:val="auto"/>
              </w:rPr>
            </w:pPr>
            <w:r>
              <w:rPr>
                <w:rFonts w:ascii="Arial" w:cs="Arial" w:eastAsia="Arial" w:hAnsi="Arial"/>
                <w:sz w:val="18"/>
                <w:szCs w:val="18"/>
                <w:color w:val="auto"/>
              </w:rPr>
              <w:t>Mexico</w:t>
            </w: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25.7</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28.3</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21.1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Panama</w:t>
            </w: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9.9</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13.9</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tcPr>
          <w:p>
            <w:pPr>
              <w:spacing w:after="0"/>
              <w:rPr>
                <w:sz w:val="20"/>
                <w:szCs w:val="20"/>
                <w:color w:val="auto"/>
              </w:rPr>
            </w:pPr>
            <w:r>
              <w:rPr>
                <w:rFonts w:ascii="Arial" w:cs="Arial" w:eastAsia="Arial" w:hAnsi="Arial"/>
                <w:sz w:val="18"/>
                <w:szCs w:val="18"/>
                <w:color w:val="auto"/>
              </w:rPr>
              <w:t>Paraguay</w:t>
            </w: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1.8</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4.0</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4.1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Peru</w:t>
            </w: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4.4</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11.8</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tcPr>
          <w:p>
            <w:pPr>
              <w:spacing w:after="0"/>
              <w:rPr>
                <w:sz w:val="20"/>
                <w:szCs w:val="20"/>
                <w:color w:val="auto"/>
              </w:rPr>
            </w:pPr>
            <w:r>
              <w:rPr>
                <w:rFonts w:ascii="Arial" w:cs="Arial" w:eastAsia="Arial" w:hAnsi="Arial"/>
                <w:sz w:val="18"/>
                <w:szCs w:val="18"/>
                <w:color w:val="auto"/>
              </w:rPr>
              <w:t>Trinidad and Tobago</w:t>
            </w: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3.0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2.9</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Uruguay</w:t>
            </w: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0.7</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4.5</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6760" w:type="dxa"/>
            <w:vAlign w:val="bottom"/>
          </w:tcPr>
          <w:p>
            <w:pPr>
              <w:spacing w:after="0" w:line="256" w:lineRule="exact"/>
              <w:rPr>
                <w:sz w:val="20"/>
                <w:szCs w:val="20"/>
                <w:color w:val="auto"/>
              </w:rPr>
            </w:pPr>
            <w:r>
              <w:rPr>
                <w:rFonts w:ascii="Arial" w:cs="Arial" w:eastAsia="Arial" w:hAnsi="Arial"/>
                <w:sz w:val="18"/>
                <w:szCs w:val="18"/>
                <w:color w:val="auto"/>
              </w:rPr>
              <w:t xml:space="preserve">Other countries </w:t>
            </w:r>
            <w:r>
              <w:rPr>
                <w:rFonts w:ascii="Arial" w:cs="Arial" w:eastAsia="Arial" w:hAnsi="Arial"/>
                <w:sz w:val="29"/>
                <w:szCs w:val="29"/>
                <w:color w:val="auto"/>
                <w:vertAlign w:val="superscript"/>
              </w:rPr>
              <w:t>(1)</w:t>
            </w:r>
          </w:p>
        </w:tc>
        <w:tc>
          <w:tcPr>
            <w:tcW w:w="320" w:type="dxa"/>
            <w:vAlign w:val="bottom"/>
          </w:tcPr>
          <w:p>
            <w:pPr>
              <w:spacing w:after="0"/>
              <w:rPr>
                <w:sz w:val="22"/>
                <w:szCs w:val="22"/>
                <w:color w:val="auto"/>
              </w:rPr>
            </w:pPr>
          </w:p>
        </w:tc>
        <w:tc>
          <w:tcPr>
            <w:tcW w:w="820" w:type="dxa"/>
            <w:vAlign w:val="bottom"/>
          </w:tcPr>
          <w:p>
            <w:pPr>
              <w:spacing w:after="0"/>
              <w:rPr>
                <w:sz w:val="22"/>
                <w:szCs w:val="22"/>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5.1</w:t>
            </w:r>
          </w:p>
        </w:tc>
        <w:tc>
          <w:tcPr>
            <w:tcW w:w="10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2.1</w:t>
            </w:r>
          </w:p>
        </w:tc>
        <w:tc>
          <w:tcPr>
            <w:tcW w:w="60" w:type="dxa"/>
            <w:vAlign w:val="bottom"/>
          </w:tcPr>
          <w:p>
            <w:pPr>
              <w:spacing w:after="0"/>
              <w:rPr>
                <w:sz w:val="22"/>
                <w:szCs w:val="22"/>
                <w:color w:val="auto"/>
              </w:rPr>
            </w:pPr>
          </w:p>
        </w:tc>
        <w:tc>
          <w:tcPr>
            <w:tcW w:w="440" w:type="dxa"/>
            <w:vAlign w:val="bottom"/>
          </w:tcPr>
          <w:p>
            <w:pPr>
              <w:spacing w:after="0"/>
              <w:rPr>
                <w:sz w:val="22"/>
                <w:szCs w:val="22"/>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3.3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Investment funds at FVTPL</w:t>
            </w:r>
          </w:p>
        </w:tc>
        <w:tc>
          <w:tcPr>
            <w:tcW w:w="320" w:type="dxa"/>
            <w:vAlign w:val="bottom"/>
            <w:shd w:val="clear" w:color="auto" w:fill="CCEEFF"/>
          </w:tcPr>
          <w:p>
            <w:pPr>
              <w:spacing w:after="0"/>
              <w:rPr>
                <w:sz w:val="19"/>
                <w:szCs w:val="19"/>
                <w:color w:val="auto"/>
              </w:rPr>
            </w:pPr>
          </w:p>
        </w:tc>
        <w:tc>
          <w:tcPr>
            <w:tcW w:w="82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(4.4)</w:t>
            </w:r>
          </w:p>
        </w:tc>
        <w:tc>
          <w:tcPr>
            <w:tcW w:w="6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income</w:t>
            </w:r>
          </w:p>
        </w:tc>
        <w:tc>
          <w:tcPr>
            <w:tcW w:w="320" w:type="dxa"/>
            <w:vAlign w:val="bottom"/>
            <w:tcBorders>
              <w:bottom w:val="single" w:sz="8" w:color="CCEEFF"/>
            </w:tcBorders>
          </w:tcPr>
          <w:p>
            <w:pPr>
              <w:spacing w:after="0"/>
              <w:rPr>
                <w:sz w:val="18"/>
                <w:szCs w:val="18"/>
                <w:color w:val="auto"/>
              </w:rPr>
            </w:pPr>
          </w:p>
        </w:tc>
        <w:tc>
          <w:tcPr>
            <w:tcW w:w="820" w:type="dxa"/>
            <w:vAlign w:val="bottom"/>
            <w:tcBorders>
              <w:top w:val="single" w:sz="8" w:color="auto"/>
              <w:bottom w:val="single" w:sz="8" w:color="auto"/>
            </w:tcBorders>
          </w:tcPr>
          <w:p>
            <w:pPr>
              <w:jc w:val="right"/>
              <w:ind w:right="660"/>
              <w:spacing w:after="0"/>
              <w:rPr>
                <w:sz w:val="20"/>
                <w:szCs w:val="20"/>
                <w:color w:val="auto"/>
              </w:rPr>
            </w:pPr>
            <w:r>
              <w:rPr>
                <w:rFonts w:ascii="Arial" w:cs="Arial" w:eastAsia="Arial" w:hAnsi="Arial"/>
                <w:sz w:val="15"/>
                <w:szCs w:val="15"/>
                <w:b w:val="1"/>
                <w:bCs w:val="1"/>
                <w:color w:val="auto"/>
                <w:w w:val="71"/>
              </w:rPr>
              <w:t>$</w:t>
            </w: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138.3</w:t>
            </w:r>
          </w:p>
        </w:tc>
        <w:tc>
          <w:tcPr>
            <w:tcW w:w="16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260" w:type="dxa"/>
            <w:vAlign w:val="bottom"/>
            <w:tcBorders>
              <w:top w:val="single" w:sz="8" w:color="auto"/>
              <w:bottom w:val="single" w:sz="8" w:color="auto"/>
            </w:tcBorders>
          </w:tcPr>
          <w:p>
            <w:pPr>
              <w:jc w:val="right"/>
              <w:ind w:right="100"/>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168.0</w:t>
            </w:r>
          </w:p>
        </w:tc>
        <w:tc>
          <w:tcPr>
            <w:tcW w:w="14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44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173.9</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7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760" w:type="dxa"/>
            <w:vAlign w:val="bottom"/>
          </w:tcPr>
          <w:p>
            <w:pPr>
              <w:spacing w:after="0"/>
              <w:rPr>
                <w:sz w:val="20"/>
                <w:szCs w:val="20"/>
                <w:color w:val="auto"/>
              </w:rPr>
            </w:pPr>
            <w:r>
              <w:rPr>
                <w:rFonts w:ascii="Arial" w:cs="Arial" w:eastAsia="Arial" w:hAnsi="Arial"/>
                <w:sz w:val="18"/>
                <w:szCs w:val="18"/>
                <w:color w:val="auto"/>
                <w:w w:val="95"/>
              </w:rPr>
              <w:t>Impairment loss from ECL on loans, loan commitments and financial guarantee contracts</w:t>
            </w:r>
          </w:p>
        </w:tc>
        <w:tc>
          <w:tcPr>
            <w:tcW w:w="3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(9.9)</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(35.1)</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(12.8)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Recovery (impairment loss) from ECL on investment securities</w:t>
            </w:r>
          </w:p>
        </w:tc>
        <w:tc>
          <w:tcPr>
            <w:tcW w:w="3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0.5</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(0.0)</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(5.3)</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6760" w:type="dxa"/>
            <w:vAlign w:val="bottom"/>
          </w:tcPr>
          <w:p>
            <w:pPr>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(2)</w:t>
            </w:r>
          </w:p>
        </w:tc>
        <w:tc>
          <w:tcPr>
            <w:tcW w:w="320" w:type="dxa"/>
            <w:vAlign w:val="bottom"/>
          </w:tcPr>
          <w:p>
            <w:pPr>
              <w:spacing w:after="0"/>
              <w:rPr>
                <w:sz w:val="23"/>
                <w:szCs w:val="23"/>
                <w:color w:val="auto"/>
              </w:rPr>
            </w:pPr>
          </w:p>
        </w:tc>
        <w:tc>
          <w:tcPr>
            <w:tcW w:w="820" w:type="dxa"/>
            <w:vAlign w:val="bottom"/>
          </w:tcPr>
          <w:p>
            <w:pPr>
              <w:spacing w:after="0"/>
              <w:rPr>
                <w:sz w:val="23"/>
                <w:szCs w:val="23"/>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(46.9)</w:t>
            </w:r>
          </w:p>
        </w:tc>
        <w:tc>
          <w:tcPr>
            <w:tcW w:w="100" w:type="dxa"/>
            <w:vAlign w:val="bottom"/>
          </w:tcPr>
          <w:p>
            <w:pPr>
              <w:spacing w:after="0"/>
              <w:rPr>
                <w:sz w:val="23"/>
                <w:szCs w:val="23"/>
                <w:color w:val="auto"/>
              </w:rPr>
            </w:pPr>
          </w:p>
        </w:tc>
        <w:tc>
          <w:tcPr>
            <w:tcW w:w="260" w:type="dxa"/>
            <w:vAlign w:val="bottom"/>
          </w:tcPr>
          <w:p>
            <w:pPr>
              <w:spacing w:after="0"/>
              <w:rPr>
                <w:sz w:val="23"/>
                <w:szCs w:val="23"/>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(45.8)</w:t>
            </w:r>
          </w:p>
        </w:tc>
        <w:tc>
          <w:tcPr>
            <w:tcW w:w="60" w:type="dxa"/>
            <w:vAlign w:val="bottom"/>
          </w:tcPr>
          <w:p>
            <w:pPr>
              <w:spacing w:after="0"/>
              <w:rPr>
                <w:sz w:val="23"/>
                <w:szCs w:val="23"/>
                <w:color w:val="auto"/>
              </w:rPr>
            </w:pPr>
          </w:p>
        </w:tc>
        <w:tc>
          <w:tcPr>
            <w:tcW w:w="440" w:type="dxa"/>
            <w:vAlign w:val="bottom"/>
          </w:tcPr>
          <w:p>
            <w:pPr>
              <w:spacing w:after="0"/>
              <w:rPr>
                <w:sz w:val="23"/>
                <w:szCs w:val="23"/>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(51.8)</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7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year</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ind w:right="660"/>
              <w:spacing w:after="0"/>
              <w:rPr>
                <w:sz w:val="20"/>
                <w:szCs w:val="20"/>
                <w:color w:val="auto"/>
              </w:rPr>
            </w:pPr>
            <w:r>
              <w:rPr>
                <w:rFonts w:ascii="Arial" w:cs="Arial" w:eastAsia="Arial" w:hAnsi="Arial"/>
                <w:sz w:val="15"/>
                <w:szCs w:val="15"/>
                <w:b w:val="1"/>
                <w:bCs w:val="1"/>
                <w:color w:val="auto"/>
                <w:w w:val="71"/>
              </w:rPr>
              <w:t>$</w:t>
            </w:r>
          </w:p>
        </w:tc>
        <w:tc>
          <w:tcPr>
            <w:tcW w:w="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82.0</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100"/>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87.0</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440" w:type="dxa"/>
            <w:vAlign w:val="bottom"/>
            <w:tcBorders>
              <w:top w:val="single" w:sz="8" w:color="auto"/>
              <w:bottom w:val="single" w:sz="8" w:color="auto"/>
            </w:tcBorders>
            <w:shd w:val="clear" w:color="auto" w:fill="CCEEFF"/>
          </w:tcPr>
          <w:p>
            <w:pPr>
              <w:jc w:val="right"/>
              <w:ind w:right="25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104.0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7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00" w:hanging="292"/>
        <w:spacing w:after="0"/>
        <w:tabs>
          <w:tab w:leader="none" w:pos="300" w:val="left"/>
        </w:tabs>
        <w:numPr>
          <w:ilvl w:val="0"/>
          <w:numId w:val="23"/>
        </w:numPr>
        <w:rPr>
          <w:rFonts w:ascii="Arial" w:cs="Arial" w:eastAsia="Arial" w:hAnsi="Arial"/>
          <w:sz w:val="18"/>
          <w:szCs w:val="18"/>
          <w:color w:val="auto"/>
        </w:rPr>
      </w:pPr>
      <w:r>
        <w:rPr>
          <w:rFonts w:ascii="Arial" w:cs="Arial" w:eastAsia="Arial" w:hAnsi="Arial"/>
          <w:sz w:val="18"/>
          <w:szCs w:val="18"/>
          <w:color w:val="auto"/>
        </w:rPr>
        <w:t>Other countries consists of total income per country in which total income did not exceed $1 million for any of the periods indicated above.</w:t>
      </w:r>
    </w:p>
    <w:p>
      <w:pPr>
        <w:spacing w:after="0" w:line="23" w:lineRule="exact"/>
        <w:rPr>
          <w:rFonts w:ascii="Arial" w:cs="Arial" w:eastAsia="Arial" w:hAnsi="Arial"/>
          <w:sz w:val="18"/>
          <w:szCs w:val="18"/>
          <w:color w:val="auto"/>
        </w:rPr>
      </w:pPr>
    </w:p>
    <w:p>
      <w:pPr>
        <w:jc w:val="both"/>
        <w:ind w:left="300" w:hanging="292"/>
        <w:spacing w:after="0" w:line="255" w:lineRule="auto"/>
        <w:tabs>
          <w:tab w:leader="none" w:pos="300" w:val="left"/>
        </w:tabs>
        <w:numPr>
          <w:ilvl w:val="0"/>
          <w:numId w:val="23"/>
        </w:numPr>
        <w:rPr>
          <w:rFonts w:ascii="Arial" w:cs="Arial" w:eastAsia="Arial" w:hAnsi="Arial"/>
          <w:sz w:val="18"/>
          <w:szCs w:val="18"/>
          <w:color w:val="auto"/>
        </w:rPr>
      </w:pPr>
      <w:r>
        <w:rPr>
          <w:rFonts w:ascii="Arial" w:cs="Arial" w:eastAsia="Arial" w:hAnsi="Arial"/>
          <w:sz w:val="18"/>
          <w:szCs w:val="18"/>
          <w:color w:val="auto"/>
        </w:rPr>
        <w:t>Total operating expenses includes the following expense line items of the consolidated statements of profit or loss: salaries and other employee expenses, depreciation of equipment and leasehold improvements, amortization of intangible assets, and other expenses. See Item 5.A. “Operating and Financial Review and Prospects—Operating Results—Operating Expenses.”</w:t>
      </w: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3" w:name="page34"/>
    <w:bookmarkEnd w:id="33"/>
    <w:p>
      <w:pPr>
        <w:jc w:val="both"/>
        <w:spacing w:after="0" w:line="253" w:lineRule="auto"/>
        <w:rPr>
          <w:sz w:val="20"/>
          <w:szCs w:val="20"/>
          <w:color w:val="auto"/>
        </w:rPr>
      </w:pPr>
      <w:r>
        <w:rPr>
          <w:rFonts w:ascii="Arial" w:cs="Arial" w:eastAsia="Arial" w:hAnsi="Arial"/>
          <w:sz w:val="18"/>
          <w:szCs w:val="18"/>
          <w:color w:val="auto"/>
        </w:rPr>
        <w:t>The above table provides a reconciliation of total income by country defined above to the Bank’s profit for the year. The purpose of the aforementioned table is to show total income, as it is presented in the Bank’s Consolidated Financial Statements, before expenses generated from the Bank’s Commercial and Treasury Business Segments, on a by-country basis. Given that the Bank’s business segments generate income not only from net interest income, but from other sources generating net other income, the Bank adds those corresponding items to net interest income to show total income earned before expenses. Impairment loss from ECL on loans at amortized cost, loan commitments and financial guarantee contracts, and impairment loss from ECL on investment securities, are not included as part of total income, as the Bank believes such items, which are based on management estimates and therefore do not necessarily constitute fully realized losses, may distort trend analysis. The Bank believes excluding such items from total income provides a more accurate indicator of the Bank’s revenue generating performance within its two business segments for each country, and thus provides a better basis for analysis of the efficiency of the Bank.</w:t>
      </w:r>
    </w:p>
    <w:p>
      <w:pPr>
        <w:spacing w:after="0" w:line="19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Competition</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 operates in a highly competitive environment in most of its markets, and faces competition principally from international banks, the majority of which are European, North American or Asian, as well as Latin American regional banks, in making loans and providing fee-generating services. The Bank competes in its lending and deposit-taking activities with other banks and international financial institutions, many of which have greater financial resources, enjoy access to less expensive funding and offer sophisticated banking services. Whenever economic conditions and risk perception improve in the Region, competition from commercial banks, the securities markets and other new participants generally increases. Competition may have the effect of reducing the spreads of the Bank’s lending rates over its funding costs and constraining the Bank’s profitability.</w:t>
      </w:r>
    </w:p>
    <w:p>
      <w:pPr>
        <w:spacing w:after="0" w:line="17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Increased open account exports and new financing requirements from multinational corporations are changing the way banks intermediate foreign trade financing. Trade finance volumes are also dependent on global economic conditions.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also faces competition from investment banks and the local and international securities markets, which provide liquidity to the financial systems in certain countries in the Region, as well as non-bank specialized financial institutions. The Bank competes primarily on the basis of agility, pricing, and quality of service. See Item 3.D., “Key Information–Risk Factors.”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Supervision and Regulation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w:t>
      </w:r>
    </w:p>
    <w:p>
      <w:pPr>
        <w:spacing w:after="0" w:line="225"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Superintendency regulates, supervises and examines the Bank on a consolidated basis. The New York Agency is regulated, supervised and examined by the New York State Department of Financial Services and the Board of Governors of the Federal Reserve System (the “U.S. Federal Reserve Board”). The Bank’s direct and indirect nonbanking subsidiaries doing business in the United States are subject to regulation by the U.S. Federal Reserve Board. The Bank is subject to regulations in each jurisdiction in which the Bank has a physical presence. The regulation of the Bank by relevant Panamanian authorities differs from the regulation generally imposed on Banks, including foreign banks, in the United States by U.S. federal and state regulatory authorities.</w:t>
      </w:r>
    </w:p>
    <w:p>
      <w:pPr>
        <w:spacing w:after="0" w:line="37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4" w:name="page35"/>
    <w:bookmarkEnd w:id="34"/>
    <w:p>
      <w:pPr>
        <w:jc w:val="both"/>
        <w:spacing w:after="0" w:line="255" w:lineRule="auto"/>
        <w:rPr>
          <w:sz w:val="20"/>
          <w:szCs w:val="20"/>
          <w:color w:val="auto"/>
        </w:rPr>
      </w:pPr>
      <w:r>
        <w:rPr>
          <w:rFonts w:ascii="Arial" w:cs="Arial" w:eastAsia="Arial" w:hAnsi="Arial"/>
          <w:sz w:val="18"/>
          <w:szCs w:val="18"/>
          <w:color w:val="auto"/>
        </w:rPr>
        <w:t>The Superintendency of Banks has signed and executed agreements or letters of understanding with more than 25 foreign supervisory authorities regarding the sharing of supervisory information under principles of reciprocity, appropriateness, national agreement and confidentiality. These entities include the U.S. Federal Reserve Board, the Federal Reserve Bank, the Office of the Comptroller of the Currency of the Treasury Department, or OCC, and the Federal Deposit Insurance Corporation. In addition, the Statement of Cooperation between the United States and Panama promotes cooperation between U.S. and Panamanian banking regulators and demonstrates the commitment of the U.S. regulators and the Superintendency to the principles of comprehensive and consolidated supervision.</w:t>
      </w:r>
    </w:p>
    <w:p>
      <w:pPr>
        <w:spacing w:after="0" w:line="19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Banks in Panama are subject to the Decree Law 9 of February 26, 1998, as amended, as well as banking regulations issued by the Superintendency (the “Banking Law”).</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u w:val="single" w:color="auto"/>
          <w:color w:val="auto"/>
        </w:rPr>
        <w:t>Panamanian Law</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operates in Panama under a General Banking License issued by the National Banking Commission, predecessor of the Superintendency of Banks. Banks operating under a General Banking License (“General License Banks”), may engage in all aspects of the banking business in Panama, including taking local and foreign deposits, as well as making local and international loans.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Capital</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General License Banks must at all times maintain (i) a paid-in capital of no less than U.S.$10 million and (ii) an adjusted capital of not less than 8% of total risk-weighted assets. The Superintendency has the power to impose additional capital adequacy requirements not contemplated above on any financial institution to secure the stability of Panama’s financial system.</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Adjusted capital consists of the sum of (i) primary capital (Tier I Capital), (ii) secondary capital (Tier II Capital) and (iii) the credit balance of the dynamic reserves. Primary capital is further divided into ordinary capital (Common Equity Tier 1) and additional capital (Additional Tier 1).</w:t>
      </w:r>
    </w:p>
    <w:p>
      <w:pPr>
        <w:spacing w:after="0" w:line="166"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Primary Capital</w:t>
      </w:r>
    </w:p>
    <w:p>
      <w:pPr>
        <w:spacing w:after="0" w:line="229" w:lineRule="exact"/>
        <w:rPr>
          <w:sz w:val="20"/>
          <w:szCs w:val="20"/>
          <w:color w:val="auto"/>
        </w:rPr>
      </w:pPr>
    </w:p>
    <w:p>
      <w:pPr>
        <w:ind w:left="1300" w:hanging="644"/>
        <w:spacing w:after="0" w:line="308" w:lineRule="auto"/>
        <w:tabs>
          <w:tab w:leader="none" w:pos="1300" w:val="left"/>
        </w:tabs>
        <w:numPr>
          <w:ilvl w:val="0"/>
          <w:numId w:val="24"/>
        </w:numPr>
        <w:rPr>
          <w:rFonts w:ascii="Arial" w:cs="Arial" w:eastAsia="Arial" w:hAnsi="Arial"/>
          <w:sz w:val="17"/>
          <w:szCs w:val="17"/>
          <w:color w:val="auto"/>
        </w:rPr>
      </w:pPr>
      <w:r>
        <w:rPr>
          <w:rFonts w:ascii="Arial" w:cs="Arial" w:eastAsia="Arial" w:hAnsi="Arial"/>
          <w:sz w:val="17"/>
          <w:szCs w:val="17"/>
          <w:color w:val="auto"/>
        </w:rPr>
        <w:t>Ordinary Capital includes paid-in capital in shares, surplus capital, declared reserves, retained earnings, minority interests in equity accounts of consolidated subsidiaries, other items of net total earnings and any other reserves authorized by the Superintendency.</w:t>
      </w:r>
    </w:p>
    <w:p>
      <w:pPr>
        <w:spacing w:after="0" w:line="146" w:lineRule="exact"/>
        <w:rPr>
          <w:rFonts w:ascii="Arial" w:cs="Arial" w:eastAsia="Arial" w:hAnsi="Arial"/>
          <w:sz w:val="17"/>
          <w:szCs w:val="17"/>
          <w:color w:val="auto"/>
        </w:rPr>
      </w:pPr>
    </w:p>
    <w:p>
      <w:pPr>
        <w:jc w:val="both"/>
        <w:ind w:left="1300" w:hanging="644"/>
        <w:spacing w:after="0" w:line="259" w:lineRule="auto"/>
        <w:tabs>
          <w:tab w:leader="none" w:pos="1300" w:val="left"/>
        </w:tabs>
        <w:numPr>
          <w:ilvl w:val="0"/>
          <w:numId w:val="24"/>
        </w:numPr>
        <w:rPr>
          <w:rFonts w:ascii="Arial" w:cs="Arial" w:eastAsia="Arial" w:hAnsi="Arial"/>
          <w:sz w:val="18"/>
          <w:szCs w:val="18"/>
          <w:color w:val="auto"/>
        </w:rPr>
      </w:pPr>
      <w:r>
        <w:rPr>
          <w:rFonts w:ascii="Arial" w:cs="Arial" w:eastAsia="Arial" w:hAnsi="Arial"/>
          <w:sz w:val="18"/>
          <w:szCs w:val="18"/>
          <w:color w:val="auto"/>
        </w:rPr>
        <w:t>Additional primary capital includes instruments issued by a bank that comply with the criteria to be classified as ordinary primary capital and that are not classified as ordinary primary capital, issuance premiums from financial instruments considered ordinary primary capital, financial instruments that are held by a third party and are issued by consolidated affiliates of the bank, and any other financial instrument resulting from capital adjustments of ordinary primary capital.</w:t>
      </w:r>
    </w:p>
    <w:p>
      <w:pPr>
        <w:spacing w:after="0" w:line="183"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Secondary Capital</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6"/>
          <w:szCs w:val="16"/>
          <w:color w:val="auto"/>
        </w:rPr>
        <w:t>Secondary capital includes (i) financial instruments that comply with the criteria set forth in Rule No. 1-2015 to be classified as secondary capital,</w:t>
      </w:r>
    </w:p>
    <w:p>
      <w:pPr>
        <w:spacing w:after="0" w:line="46" w:lineRule="exact"/>
        <w:rPr>
          <w:sz w:val="20"/>
          <w:szCs w:val="20"/>
          <w:color w:val="auto"/>
        </w:rPr>
      </w:pPr>
    </w:p>
    <w:p>
      <w:pPr>
        <w:jc w:val="both"/>
        <w:ind w:left="660" w:hanging="4"/>
        <w:spacing w:after="0" w:line="255" w:lineRule="auto"/>
        <w:tabs>
          <w:tab w:leader="none" w:pos="942" w:val="left"/>
        </w:tabs>
        <w:numPr>
          <w:ilvl w:val="0"/>
          <w:numId w:val="25"/>
        </w:numPr>
        <w:rPr>
          <w:rFonts w:ascii="Arial" w:cs="Arial" w:eastAsia="Arial" w:hAnsi="Arial"/>
          <w:sz w:val="18"/>
          <w:szCs w:val="18"/>
          <w:color w:val="auto"/>
        </w:rPr>
      </w:pPr>
      <w:r>
        <w:rPr>
          <w:rFonts w:ascii="Arial" w:cs="Arial" w:eastAsia="Arial" w:hAnsi="Arial"/>
          <w:sz w:val="18"/>
          <w:szCs w:val="18"/>
          <w:color w:val="auto"/>
        </w:rPr>
        <w:t>subscription premiums paid on financial instruments that are classified as secondary capital, (iii) financial instruments issued by consolidated affiliates of the bank to third parties, and (iv) reserves for future losses (excluding provisions assigned to the deterioration of assets valued on an individual or collective basis).</w:t>
      </w: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5" w:name="page36"/>
    <w:bookmarkEnd w:id="35"/>
    <w:p>
      <w:pPr>
        <w:ind w:left="660"/>
        <w:spacing w:after="0"/>
        <w:rPr>
          <w:sz w:val="20"/>
          <w:szCs w:val="20"/>
          <w:color w:val="auto"/>
        </w:rPr>
      </w:pPr>
      <w:r>
        <w:rPr>
          <w:rFonts w:ascii="Arial" w:cs="Arial" w:eastAsia="Arial" w:hAnsi="Arial"/>
          <w:sz w:val="18"/>
          <w:szCs w:val="18"/>
          <w:b w:val="1"/>
          <w:bCs w:val="1"/>
          <w:color w:val="auto"/>
        </w:rPr>
        <w:t>Dynamic Reserves</w:t>
      </w:r>
    </w:p>
    <w:p>
      <w:pPr>
        <w:spacing w:after="0" w:line="229" w:lineRule="exact"/>
        <w:rPr>
          <w:sz w:val="20"/>
          <w:szCs w:val="20"/>
          <w:color w:val="auto"/>
        </w:rPr>
      </w:pPr>
    </w:p>
    <w:p>
      <w:pPr>
        <w:jc w:val="both"/>
        <w:ind w:left="660" w:right="20"/>
        <w:spacing w:after="0" w:line="264" w:lineRule="auto"/>
        <w:rPr>
          <w:sz w:val="20"/>
          <w:szCs w:val="20"/>
          <w:color w:val="auto"/>
        </w:rPr>
      </w:pPr>
      <w:r>
        <w:rPr>
          <w:rFonts w:ascii="Arial" w:cs="Arial" w:eastAsia="Arial" w:hAnsi="Arial"/>
          <w:sz w:val="18"/>
          <w:szCs w:val="18"/>
          <w:color w:val="auto"/>
        </w:rPr>
        <w:t>The dynamic reserve must be between 1.25% and 2.5% of the risk-weighted assets amount corresponding to the credit facilities classified in the standard category and cannot decrease with respect to the amount calculated for the previous quarter, except for cases when such decrease is as a result of a conversion from dynamic reserves to specific reserves.</w:t>
      </w:r>
    </w:p>
    <w:p>
      <w:pPr>
        <w:spacing w:after="0" w:line="181" w:lineRule="exact"/>
        <w:rPr>
          <w:sz w:val="20"/>
          <w:szCs w:val="20"/>
          <w:color w:val="auto"/>
        </w:rPr>
      </w:pPr>
    </w:p>
    <w:p>
      <w:pPr>
        <w:jc w:val="both"/>
        <w:ind w:left="660"/>
        <w:spacing w:after="0" w:line="259" w:lineRule="auto"/>
        <w:rPr>
          <w:sz w:val="20"/>
          <w:szCs w:val="20"/>
          <w:color w:val="auto"/>
        </w:rPr>
      </w:pPr>
      <w:r>
        <w:rPr>
          <w:rFonts w:ascii="Arial" w:cs="Arial" w:eastAsia="Arial" w:hAnsi="Arial"/>
          <w:sz w:val="18"/>
          <w:szCs w:val="18"/>
          <w:color w:val="auto"/>
        </w:rPr>
        <w:t>General License Banks are required to maintain a ratio of ordinary primary capital over risk-weighted assets of 3.75% as of July 1, 2016, 4.00% as of January 1, 2017, 4.25% as of January 1, 2018 and 4.50% as of January 1, 2019. In addition, General License Banks are required to maintain a ratio of primary capital over risk weighted assets of 5.25% as of July 1, 2016, 5.50% as of January 1, 2017, 5.75% as of January 1, 2018 and 6.00% as of January 1, 2019.</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Classification and Loan Loss Reserves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Regulations require that banks have loan loss allowances. The calculation of the specific reserves requires that the loan portfolio be classified according to parameters prescribed in the regulation. There are five categories of loan classifications: Standard, Special Mention, Sub-standard, Doubtful and Loss. Regulations require banks to suspend accruing interest on non-performing loans.</w:t>
      </w:r>
    </w:p>
    <w:p>
      <w:pPr>
        <w:spacing w:after="0" w:line="18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Specific reserves are reserves required in connection with the credit classification of a loan. They are created for individual credit facilities as well as for a consolidated group of credit facilities. The minimum reserve requirements depend on the classification of the loan as follows: standard loans 0%; special mention loans 2%; sub-standard loans 15%; doubtful loans 50%; and loss 100%. Specific reserve requirements take into account the classification of the loan as well as the guarantees provided by the borrowers to secure such loans. Guarantees are calculated at present value in accordance with the requirements established by banking regulations.</w:t>
      </w:r>
    </w:p>
    <w:p>
      <w:pPr>
        <w:spacing w:after="0" w:line="188"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Banks may create their own financial models to determine the amount of the specific reserves, subject to the approval of the Superintendency. In any event, the internal financial models must comply with the aforementioned minimum specific reserve requirements. Compliance with regulations on loan classification and loan loss reserves are monitored by the Superintendency through reports, as well as on- and off-site examinations.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Liquidity</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General License Banks are required to maintain 30% of their total gross deposits in qualifying liquid assets as prescribed by the Superintendency (which include short-term loans to other banks and other liquid assets). Qualifying liquid assets must be free of liens, encumbrances and transfer restrictions. The Superintendency may impose concentration limits and cash requirements, as well as weights per type of liquid assets.</w:t>
      </w:r>
    </w:p>
    <w:p>
      <w:pPr>
        <w:spacing w:after="0" w:line="166" w:lineRule="exact"/>
        <w:rPr>
          <w:sz w:val="20"/>
          <w:szCs w:val="20"/>
          <w:color w:val="auto"/>
        </w:rPr>
      </w:pPr>
    </w:p>
    <w:p>
      <w:pPr>
        <w:spacing w:after="0"/>
        <w:rPr>
          <w:sz w:val="20"/>
          <w:szCs w:val="20"/>
          <w:color w:val="auto"/>
        </w:rPr>
      </w:pPr>
      <w:r>
        <w:rPr>
          <w:rFonts w:ascii="Arial" w:cs="Arial" w:eastAsia="Arial" w:hAnsi="Arial"/>
          <w:sz w:val="16"/>
          <w:szCs w:val="16"/>
          <w:color w:val="auto"/>
        </w:rPr>
        <w:t>The Superintendency requires general license banks to monitor their liquidity and identify potential liquidity risk events that may affect the bank. As of July,</w:t>
      </w:r>
    </w:p>
    <w:p>
      <w:pPr>
        <w:spacing w:after="0" w:line="46" w:lineRule="exact"/>
        <w:rPr>
          <w:sz w:val="20"/>
          <w:szCs w:val="20"/>
          <w:color w:val="auto"/>
        </w:rPr>
      </w:pPr>
    </w:p>
    <w:p>
      <w:pPr>
        <w:spacing w:after="0"/>
        <w:rPr>
          <w:sz w:val="20"/>
          <w:szCs w:val="20"/>
          <w:color w:val="auto"/>
        </w:rPr>
      </w:pPr>
      <w:r>
        <w:rPr>
          <w:rFonts w:ascii="Arial" w:cs="Arial" w:eastAsia="Arial" w:hAnsi="Arial"/>
          <w:sz w:val="16"/>
          <w:szCs w:val="16"/>
          <w:color w:val="auto"/>
        </w:rPr>
        <w:t>2018 banks must undertake stress tests and active monitoring of their intra-day liquidity. The stress tests performed by the bank should include at minimum:</w:t>
      </w:r>
    </w:p>
    <w:p>
      <w:pPr>
        <w:spacing w:after="0" w:line="32" w:lineRule="exact"/>
        <w:rPr>
          <w:sz w:val="20"/>
          <w:szCs w:val="20"/>
          <w:color w:val="auto"/>
        </w:rPr>
      </w:pPr>
    </w:p>
    <w:p>
      <w:pPr>
        <w:jc w:val="both"/>
        <w:ind w:firstLine="8"/>
        <w:spacing w:after="0" w:line="255" w:lineRule="auto"/>
        <w:tabs>
          <w:tab w:leader="none" w:pos="272" w:val="left"/>
        </w:tabs>
        <w:numPr>
          <w:ilvl w:val="0"/>
          <w:numId w:val="26"/>
        </w:numPr>
        <w:rPr>
          <w:rFonts w:ascii="Arial" w:cs="Arial" w:eastAsia="Arial" w:hAnsi="Arial"/>
          <w:sz w:val="18"/>
          <w:szCs w:val="18"/>
          <w:color w:val="auto"/>
        </w:rPr>
      </w:pPr>
      <w:r>
        <w:rPr>
          <w:rFonts w:ascii="Arial" w:cs="Arial" w:eastAsia="Arial" w:hAnsi="Arial"/>
          <w:sz w:val="18"/>
          <w:szCs w:val="18"/>
          <w:color w:val="auto"/>
        </w:rPr>
        <w:t>the simultaneous exhaustion of liquidity in different markets; (b) restrictions on access to secured and unsecured funding; (c) limitations on foreign currency exchange and difficulties on the execution of the foreign currency exchange transactions; and (d) analysis of the possible effects of severe stress scenarios.</w:t>
      </w:r>
    </w:p>
    <w:p>
      <w:pPr>
        <w:spacing w:after="0" w:line="19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Banks are required to have a contingent funding plan which should include (i) a diversified pool of contingent funding options; (ii) provide detail as to potential amounts and values that could be obtained from each of the funding options; (iii) procedures that detail the priority of the funding sources; and (iv) a flexible framework which will allow the bank to react effectively to different situations.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6" w:name="page37"/>
    <w:bookmarkEnd w:id="36"/>
    <w:p>
      <w:pPr>
        <w:jc w:val="both"/>
        <w:spacing w:after="0" w:line="273" w:lineRule="auto"/>
        <w:rPr>
          <w:sz w:val="20"/>
          <w:szCs w:val="20"/>
          <w:color w:val="auto"/>
        </w:rPr>
      </w:pPr>
      <w:r>
        <w:rPr>
          <w:rFonts w:ascii="Arial" w:cs="Arial" w:eastAsia="Arial" w:hAnsi="Arial"/>
          <w:sz w:val="17"/>
          <w:szCs w:val="17"/>
          <w:color w:val="auto"/>
        </w:rPr>
        <w:t>As of July 1, 2018 general license banks will be required to calculate and comply with the liquidity coverage ratio (“LCR”) established by the Superintendency. The regulation establishes two bands of ratios that can be applicable to banks in Panama. The Superintendency will determine, according to internal criteria, the band applicable to each bank. The band 1 banks will be required to gradually reach by December 2022 a ratio of 50% and band 2 banks will be required to gradually reach by December 2022 a ratio of 100%. The Superintendency defines the LCR as the stock of high-quality liquid assets over total net cash outflows over the next 30 calendar days. The definition is based on the Basel III Liquidity Coverage Ratio and liquidity risk monitoring tools published by the Basel Committee on Banking Supervision and adjusted by the Superintendency.</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Limits</w:t>
      </w:r>
    </w:p>
    <w:p>
      <w:pPr>
        <w:spacing w:after="0" w:line="22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Pursuant to the Banking Law, banks cannot grant loans or issue guarantees or any other obligation (“Credit Facilities”), to any one person or group of related persons in excess of 25% of the Bank’s total capital. This limitation also extends to Credit Facilities granted to parties related to the ultimate parent of the banking group. However, the Banking Law establishes that, in the case of Credit Facilities granted by mixed-capital banks with headquarters in Panama whose principal business is the granting of loans to other banks, the limit is 30% of the bank’s capital funds. As confirmed by the Superintendency, the Bank currently applies the limit of 30% of the Bank’s total capital with respect to the Bank’s Credit Facilities in favor of financial institutions and the limit of 25% of the Bank’s total capital with respect to the Bank’s Credit Facilities in favor of corporations, middle-market companies and sovereign borrowers.</w:t>
      </w:r>
    </w:p>
    <w:p>
      <w:pPr>
        <w:spacing w:after="0" w:line="165"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Under the Banking Law, a bank and the ultimate parent of the banking group may not grant loans or issue guarantees or any other obligation to “related parties” that exceed (1) 5% of its total capital, in the case of unsecured transactions, and (2) 10% of its total capital, in the case of collateralized transactions (other than loans secured by deposits in the bank). For these purposes, a “related party” is (a) any one or more of the bank’s directors, (b) any stockholder of the bank that directly or indirectly owns 5% or more of the issued and outstanding capital stock of the bank, (c) any company of which one or more of the bank’s directors is a director or officer or where one or more of the bank’s directors is a guarantor of the loan or credit facility, (d) any company or entity in which the bank or any one of its directors or officers can exercise a controlling influence, (e) any company or entity in which the bank or any one of its directors or officers owns 20% or more of the issue and outstanding capital stock of the company or entity and (f) managers, officers and employees of the bank, or their respective spouses (other than home mortgage loans or guaranteed personal loans under general programs approved by the bank for employees). The Superintendency currently limits the total amount of secured and unsecured Credit Facilities (other than Credit Facilities secured by deposits in the bank) granted by a bank or the ultimate parent of a banking group to related parties to 25% of the total capital of the bank.</w:t>
      </w:r>
    </w:p>
    <w:p>
      <w:pPr>
        <w:spacing w:after="0" w:line="169"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The Superintendency of Banks may authorize the total or partial exclusion of loans or credits from the computation of these limitations in cases of unsecured loans and other credits granted by mixed-capital banks with headquarters in Panama whose principal business is the granting of loans to other banks, which is the case of this Bank. This authorization is subject to the following conditions: (1) the ownership of shares in the debtor bank–directly or indirectly–by the shared director or shared officer, may not exceed 5% of the bank’s capital, or may not amount to any sum that would ensure his or her majority control over the decisions of the bank; (2) the ownership of shares in the creditor bank–directly or indirectly–by the debtor bank represented in any manner by the shared director or shared officer, may not exceed 5% of the shares outstanding of the creditor bank, or may not amount to any sum that would ensure his or her majority control over the decisions of the bank; (3) the shared director or shared officer must abstain from participating in the deliberations and in the voting process regarding the loan or credit request; and (4) the loan or credit must strictly comply with customary standards of discretion set by the grantor bank’s credit policy. The Superintendency will determine the amount of the exclusion in the case of each loan or credit submitted for its consideration.</w:t>
      </w:r>
    </w:p>
    <w:p>
      <w:pPr>
        <w:spacing w:after="0" w:line="16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Banking Law contains additional limitations and restrictions with respect to related party loans and Credit Facilities. For instance, under the Banking Law, banks may not grant Credit Facilities to any employee in an amount that exceeds the employee’s annual compensation package, and all Credit Facilities to managers, officers, employees or stockholders who are owners of 5% or more of the issued and outstanding capital stock of the lending bank or the ultimate parent of the banking group, will be made on terms and conditions similar to those given by the bank to its clients in arm’s-length transactions and which reflect market conditions for a similar type of operation. Shares of a bank cannot be pledged or offered as security for loans or Credit Facilities issued by the bank.</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i w:val="1"/>
          <w:iCs w:val="1"/>
          <w:color w:val="auto"/>
        </w:rPr>
        <w:t>Corporate Governance</w:t>
      </w:r>
    </w:p>
    <w:p>
      <w:pPr>
        <w:spacing w:after="0" w:line="225"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board of directors of a bank must be comprised of at least seven members, with knowledge and experience in the banking business, including at least two independent directors. The majority of the members of the board of directors may not be part of the banks’ management nor have material conflicts of interest. None of the Chief Executive Officer, Chief Operating Officer or Chief Financial Officer may preside over the board of directors. Members of the board of directors who participate in board-established committees must have specialized knowledge and experience in the areas assigned to the committees in which they participate. The board of directors shall meet at least every three months. The board of directors shall keep detailed minutes of all meetings.</w:t>
      </w:r>
    </w:p>
    <w:p>
      <w:pPr>
        <w:spacing w:after="0" w:line="158" w:lineRule="exact"/>
        <w:rPr>
          <w:sz w:val="20"/>
          <w:szCs w:val="20"/>
          <w:color w:val="auto"/>
        </w:rPr>
      </w:pPr>
    </w:p>
    <w:p>
      <w:pPr>
        <w:jc w:val="both"/>
        <w:spacing w:after="0" w:line="285" w:lineRule="auto"/>
        <w:rPr>
          <w:sz w:val="20"/>
          <w:szCs w:val="20"/>
          <w:color w:val="auto"/>
        </w:rPr>
      </w:pPr>
      <w:r>
        <w:rPr>
          <w:rFonts w:ascii="Arial" w:cs="Arial" w:eastAsia="Arial" w:hAnsi="Arial"/>
          <w:sz w:val="16"/>
          <w:szCs w:val="16"/>
          <w:color w:val="auto"/>
        </w:rPr>
        <w:t>Minimum corporate governance requirements for banking institutions include: (a) documentation of corporate values, strategic objectives and codes of conduct; (b) documentation that evidences compliance with the corporate values and code of conduct of the bank; (c) a defined corporate strategy that can be used to measure the contribution to the bank of each level of the corporate governance structure; (d) the designation of responsibilities and authorized decision-making authorities within the bank, and their individual powers and approval levels; (e) the creation of a system that regulates interaction and cooperation of the board of directors, senior management and external and internal auditors; (f) creation of control systems for independent risk management;</w:t>
      </w:r>
    </w:p>
    <w:p>
      <w:pPr>
        <w:spacing w:after="0" w:line="2" w:lineRule="exact"/>
        <w:rPr>
          <w:sz w:val="20"/>
          <w:szCs w:val="20"/>
          <w:color w:val="auto"/>
        </w:rPr>
      </w:pPr>
    </w:p>
    <w:p>
      <w:pPr>
        <w:jc w:val="both"/>
        <w:ind w:firstLine="8"/>
        <w:spacing w:after="0" w:line="273" w:lineRule="auto"/>
        <w:tabs>
          <w:tab w:leader="none" w:pos="256" w:val="left"/>
        </w:tabs>
        <w:numPr>
          <w:ilvl w:val="0"/>
          <w:numId w:val="27"/>
        </w:numPr>
        <w:rPr>
          <w:rFonts w:ascii="Arial" w:cs="Arial" w:eastAsia="Arial" w:hAnsi="Arial"/>
          <w:sz w:val="17"/>
          <w:szCs w:val="17"/>
          <w:color w:val="auto"/>
        </w:rPr>
      </w:pPr>
      <w:r>
        <w:rPr>
          <w:rFonts w:ascii="Arial" w:cs="Arial" w:eastAsia="Arial" w:hAnsi="Arial"/>
          <w:sz w:val="17"/>
          <w:szCs w:val="17"/>
          <w:color w:val="auto"/>
        </w:rPr>
        <w:t>prior approval, monitoring and verification of risks for credit facilities with existing conflicts of interest; (h) creation of policies for recruitment, induction, continuous and up-to-date staff training and financial and administrative incentives; (i) existence of internal and public information that guarantee the transparency of the corporate governance system; (j) creation of a direct supervision system for each level of the organizational structure; (k) external audits independent from management and the board of directors; and (l) internal audits independent from management of the bank.</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Integral Risk Management</w:t>
      </w:r>
    </w:p>
    <w:p>
      <w:pPr>
        <w:spacing w:after="0" w:line="22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Panamanian banking regulations contain guidelines for integral risk management of financial institutions. Integral risk management is a process intended to identify potential events that can affect banks and to manage those events according to their nature and risk level. These guidelines cover the different risks that could affect banking operations such as: (i) credit risk; (ii) counterparty risk; (iii) liquidity risk; (iv) market risk; (v) operational risk; (vi) reputational risk; (vii) country risk; (viii) contagion risk; (ix) strategic risk; (x) information technology risk; and (xi) concentration risk. Banks are required to have policies for the management and mitigation of all risks to which they are exposed. The board of directors, management and the risk committee of the board of directors are responsible for compliance with the integral risk management policies created to mitigate the exposure of the bank to such risks.</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Additional Regulatory Requirements</w:t>
      </w:r>
    </w:p>
    <w:p>
      <w:pPr>
        <w:spacing w:after="0" w:line="225"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In addition to the foregoing requirements, there are certain other requirements applicable to General License Banks, including (1) a requirement that a bank must notify the Superintendency before opening or closing a branch or office in Panama and obtain approval from the Superintendency before opening or closing a branch or subsidiary outside Panama, (2) a requirement that a bank obtain approval from the Superintendency before it liquidates its operations, merges or consolidates with another bank or sells all or substantially all of its assets, (3) a requirement that a bank must designate the certified public accounting firm that it wishes to contract to perform external audit duties for the new fiscal term, within the first three months of each fiscal term, and notify the Superintendency within 7 days of such designation, (4) a requirement that a bank obtain prior approval from the Superintendency of the rating agency it wishes to hire to perform the risk analysis and rating of the bank, (5) a requirement that a bank must publish in a local newspaper the risk rating issued by the rating agency and any risk rating update, and (6) a requirement that a bank must provide written affirmation of the Bank’s audited financial statements signed by the Bank’s Chairman of the Board, the Chief Executive Officer and Chief Financial Officer. The subsidiaries of Panamanian banks established in foreign jurisdictions must observe the legal and regulatory provisions applicable in Panama regarding the sufficiency of capital, as prescribed under the Banking Law.</w:t>
      </w:r>
    </w:p>
    <w:p>
      <w:pPr>
        <w:spacing w:after="0" w:line="38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i w:val="1"/>
          <w:iCs w:val="1"/>
          <w:color w:val="auto"/>
        </w:rPr>
        <w:t>Supervision, Inspection and Reports</w:t>
      </w:r>
    </w:p>
    <w:p>
      <w:pPr>
        <w:spacing w:after="0" w:line="225"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The Banking Law regulates banks and the entire “banking group” to which each bank belongs. Banking groups are defined as the holding company and all direct and indirect subsidiaries of the holding company, including the bank in question. Banking groups must comply with audit standards and various limitations set forth in the Banking Law, in addition to all compliance required of the bank in question. The Banking Law provides that banks and banking groups in Panama are subject to inspection by the Superintendency, which must take place at least once every two years. The Superintendency is empowered to request from any bank or any company that belongs to the economic group of which a bank in Panama is a member, the documents and reports pertaining to its operations and activities. Banks are required to file with the Superintendency weekly, monthly, quarterly and annual information, including financial statements, an analysis of their Credit Facilities and any other information requested by the Superintendency. In addition, banks are required to make available for inspection any reports or documents that are necessary for the Superintendency to ensure compliance with Panamanian banking laws and regulations. Banks subject to supervision may be fined by the Superintendency for violations of Panamanian banking laws and regulations.</w:t>
      </w:r>
    </w:p>
    <w:p>
      <w:pPr>
        <w:spacing w:after="0" w:line="16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Panamanian laws and regulations governing Anti Money Laundering, Terrorism Financing and the Prevention of the Proliferation of Weapons of Mass Destruction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Panama has enacted extensive legislation and regulations to prevent and fight money laundering activities and the financing of terrorism and weapons of mass destruction by financial institutions and certain other businesses.</w:t>
      </w:r>
    </w:p>
    <w:p>
      <w:pPr>
        <w:spacing w:after="0" w:line="170"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Financial and non-financial supervised entities are subject to supervision, reporting and compliance requirements by various government agencies. The following entities are deemed to be “financial supervised entities”: (i) banks; (ii) bank groups; (iii) trust companies; (iv) leasing companies; (v) factoring companies; (vi) credit, debit or pre-paid card processing entities; (vii) companies engaged in remittances or wire transfers; and (viii) companies that provide any other service related to trust companies. These entities must comply with measures to prevent their operations and/or transactions from being used for money laundering operations, terrorism financing or any other illicit activity. Banks and trust companies are regulated and supervised by the Superintendency.</w:t>
      </w:r>
    </w:p>
    <w:p>
      <w:pPr>
        <w:spacing w:after="0" w:line="158"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laws and regulations require supervised entities to perform due diligence reviews on their clients and their transactions. Supervised entities have the obligation to ensure that the information provided by their customers is continuously updated, especially for clients classified as higher risk clients. Banks are further required to create a system of client classification by risk profiles, based on factors such as nationality, country of birth or incorporation, domicile, profession or trade, geographic region of the customer’s activities, corporate structure, type, amount and frequency of transactions, source of funds, politically exposed persons, products, services and channels. Banks are required to know and keep information about the ultimate beneficial owner of their clients.</w:t>
      </w:r>
    </w:p>
    <w:p>
      <w:pPr>
        <w:spacing w:after="0" w:line="158" w:lineRule="exact"/>
        <w:rPr>
          <w:sz w:val="20"/>
          <w:szCs w:val="20"/>
          <w:color w:val="auto"/>
        </w:rPr>
      </w:pPr>
    </w:p>
    <w:p>
      <w:pPr>
        <w:jc w:val="both"/>
        <w:spacing w:after="0" w:line="286" w:lineRule="auto"/>
        <w:rPr>
          <w:sz w:val="20"/>
          <w:szCs w:val="20"/>
          <w:color w:val="auto"/>
        </w:rPr>
      </w:pPr>
      <w:r>
        <w:rPr>
          <w:rFonts w:ascii="Arial" w:cs="Arial" w:eastAsia="Arial" w:hAnsi="Arial"/>
          <w:sz w:val="16"/>
          <w:szCs w:val="16"/>
          <w:color w:val="auto"/>
        </w:rPr>
        <w:t>Banks are subject to supervision and monitoring measures in order to prevent the use of their banking operations and/or transactions for money laundering operations. These measures include: (i) compliance with “Know Your Customer” policies; (ii) supervision of employee activities; (iii) tracking the movement of every customer’s account to be aware of their regular activities and be able to identify unusual transactions; (iv) keeping a registry of every suspicious transaction and notifying suspicious transactions to the Financial Analysis Unit (a Panamanian governmental agency under the Ministry of the Presidency);</w:t>
      </w:r>
    </w:p>
    <w:p>
      <w:pPr>
        <w:spacing w:after="0" w:line="2" w:lineRule="exact"/>
        <w:rPr>
          <w:sz w:val="20"/>
          <w:szCs w:val="20"/>
          <w:color w:val="auto"/>
        </w:rPr>
      </w:pPr>
    </w:p>
    <w:p>
      <w:pPr>
        <w:ind w:right="20" w:firstLine="8"/>
        <w:spacing w:after="0" w:line="323" w:lineRule="auto"/>
        <w:tabs>
          <w:tab w:leader="none" w:pos="266" w:val="left"/>
        </w:tabs>
        <w:numPr>
          <w:ilvl w:val="0"/>
          <w:numId w:val="28"/>
        </w:numPr>
        <w:rPr>
          <w:rFonts w:ascii="Arial" w:cs="Arial" w:eastAsia="Arial" w:hAnsi="Arial"/>
          <w:sz w:val="16"/>
          <w:szCs w:val="16"/>
          <w:color w:val="auto"/>
        </w:rPr>
      </w:pPr>
      <w:r>
        <w:rPr>
          <w:rFonts w:ascii="Arial" w:cs="Arial" w:eastAsia="Arial" w:hAnsi="Arial"/>
          <w:sz w:val="16"/>
          <w:szCs w:val="16"/>
          <w:color w:val="auto"/>
        </w:rPr>
        <w:t>conducting internal audits at least every six months on accounts with funds exceeding $10,000, with the purpose of determining if transactions made in these accounts are consistent with the account holder’s usual behavior; and (vi) monitoring accounts of clients labelled as politically exposed persons.</w:t>
      </w:r>
    </w:p>
    <w:p>
      <w:pPr>
        <w:spacing w:after="0" w:line="35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9" w:name="page40"/>
    <w:bookmarkEnd w:id="39"/>
    <w:p>
      <w:pPr>
        <w:jc w:val="both"/>
        <w:spacing w:after="0" w:line="277" w:lineRule="auto"/>
        <w:rPr>
          <w:sz w:val="20"/>
          <w:szCs w:val="20"/>
          <w:color w:val="auto"/>
        </w:rPr>
      </w:pPr>
      <w:r>
        <w:rPr>
          <w:rFonts w:ascii="Arial" w:cs="Arial" w:eastAsia="Arial" w:hAnsi="Arial"/>
          <w:sz w:val="18"/>
          <w:szCs w:val="18"/>
          <w:color w:val="auto"/>
        </w:rPr>
        <w:t>Furthermore, banks that provide correspondent banking services to foreign banks must assess, review and monitor the policies and internal controls of such foreign banks to prevent money laundering, terrorism financing or any other illicit activities.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u w:val="single" w:color="auto"/>
          <w:color w:val="auto"/>
        </w:rPr>
        <w:t>United States Law</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operates the New York Agency, a New York state-licensed agency in White Plains, New York, and maintains a direct wholly-owned non-banking subsidiary in Delaware, Bladex Holdings, which is not engaged in banking activities.</w:t>
      </w:r>
    </w:p>
    <w:p>
      <w:pPr>
        <w:spacing w:after="0" w:line="170"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The U.S. banking industry is highly regulated under federal and state law. These regulations affect the operations of the Bank in the United States. Set forth below is a brief description of the bank regulatory framework that is or will be applicable to the New York Agency. This description is not intended to describe all laws and regulations applicable to the New York Agency. Banking statues, regulations and policies are continually under review by Congress and state legislatures and federal and state regulatory agencies, including changes in how they are interpreted or implemented, could have a material adverse impact on the New York Agency and its operations. In addition to laws and regulations, state and federal bank regulatory agencies (including the U.S. Federal Reserve Board) may issue policy statements, interpretive letters and similar written guidance applicable to the New York Agency (including the Bank). These issuances also may affect the conduct of the New York Agency’s business or impose additional regulatory obligations. The brief description below is qualified in its entirety by reference to the full text of the statues, regulations, policies, interpretive letters and other written guidance that are described.</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Federal Law</w:t>
      </w:r>
    </w:p>
    <w:p>
      <w:pPr>
        <w:spacing w:after="0" w:line="225"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In addition to being subject to New York state laws and regulations, the New York Agency is subject to federal regulations, primarily under the International Banking Act of 1978, as amended (“IBA”). The New York Agency is subject to examination and supervision by the U.S. Federal Reserve Board. The IBA generally extends federal banking supervision and regulation to the U.S. offices of foreign banks and to the foreign bank itself. Under the IBA, the U.S. branches and agencies of foreign banks, including the New York Agency, are subject to reserve requirements on certain deposits. At present, the New York Agency has no deposits subject to such requirements. The New York Agency also is subject to reporting and examination requirements imposed by the U.S. Federal Reserve Board similar to those imposed on domestic banks that are members of the U.S. Federal Reserve System. The Foreign Bank Supervision Enhancement Act of 1991 (the “FBSEA”), amended the IBA to enhance the authority of the U.S. Federal Reserve Board to supervise the operations of foreign banks in the United States. In particular, the FBSEA expanded the U.S. Federal Reserve Board’s authority to regulate the entry of foreign banks into the United States, supervise their ongoing operations, conduct and coordinate examinations of their U.S. offices with state banking authorities, and terminate their activities in the United States for violations of law or for unsafe or unsound banking practices.</w:t>
      </w:r>
    </w:p>
    <w:p>
      <w:pPr>
        <w:spacing w:after="0" w:line="169"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In addition, under the FBSEA, state-licensed branches and agencies of foreign banks may not engage in any activity that is not permissible for a “federal branch” (i.e., a branch of a foreign bank licensed by the federal government through the OCC, rather than by a state), unless the U.S. Federal Reserve Board has determined that such activity is consistent with sound banking practices.</w:t>
      </w:r>
    </w:p>
    <w:p>
      <w:pPr>
        <w:spacing w:after="0" w:line="18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New York Agency does not engage in retail deposit-taking from persons in the United States. Under the FBSEA, the New York Agency may not obtain Federal Deposit Insurance Corporation (“FDIC”), insurance and generally may not accept deposits from persons in the United States, but may accept credit balances incidental to its lawful powers, from persons in the United States, and accept deposits from non-U.S. citizens who are non-U.S. residents, but must inform each customer that the deposits are not insured by the FDIC.</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40" w:name="page41"/>
    <w:bookmarkEnd w:id="40"/>
    <w:p>
      <w:pPr>
        <w:jc w:val="both"/>
        <w:spacing w:after="0" w:line="269" w:lineRule="auto"/>
        <w:rPr>
          <w:sz w:val="20"/>
          <w:szCs w:val="20"/>
          <w:color w:val="auto"/>
        </w:rPr>
      </w:pPr>
      <w:r>
        <w:rPr>
          <w:rFonts w:ascii="Arial" w:cs="Arial" w:eastAsia="Arial" w:hAnsi="Arial"/>
          <w:sz w:val="17"/>
          <w:szCs w:val="17"/>
          <w:color w:val="auto"/>
        </w:rPr>
        <w:t>The IBA also restricts the ability of a foreign bank with a branch or agency in the United States to engage in non-banking activities in the United States, to the same extent as a U.S. bank holding company. Bladex is subject to certain provisions of the Bank Holding Company Act of 1956 (the “BHCA”), because it maintains an agency in the United States. Generally, any nonbanking activity engaged in by Bladex directly or through a subsidiary in the United States is subject to certain limitations under the BHCA. Among other limitations, the provisions of the BHCA include the so-called "Volcker Rule," which may restrict proprietary trading activities conducted by Bladex and its affiliates with U.S. clients or counterparties, as well as certain private funds-related activities with US nexus. Under the Gramm-Leach-Bliley Financial Modernization Act of 1999 (the “GLB Act”), a foreign bank with a branch or agency in the United States may engage in a broader range of non-banking financial activities, provided it is qualified and has filed a declaration with the U.S. Federal Reserve Board to be a “financial holding company.” The application with the U.S. Federal Reserve Board to obtain financial holding company status, filed by the Bank on January 29, 2008, was withdrawn, effective March 2, 2012, as the Bank no longer considered the financial holding company status to be a necessary requirement in order to achieve its long-term strategic goals and objectives. At present, the Bank has a subsidiary in the United States, Bladex Holdings, a wholly-owned corporation incorporated under Delaware law that is not presently engaged in any activity.</w:t>
      </w:r>
    </w:p>
    <w:p>
      <w:pPr>
        <w:spacing w:after="0" w:line="18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In addition, pursuant to the Financial Services Regulatory Relief Act of 2006, the SEC and the U.S. Federal Reserve Board finalized Regulation R. Regulation R defines the scope of exceptions provided for in the GLB Act for securities brokerage activities which banks may conduct without registering with the SEC as securities brokers or moving such activities to a broker-dealer affiliate. The “push out” rules exceptions contained in Regulation R enable banks, subject to certain conditions, to continue to conduct securities transactions for customers as part of the bank’s trust and fiduciary, custodial, and deposit “sweep” functions, and to refer customers to a securities broker-dealer pursuant to a networking arrangement with the broker-dealer. The New York Agency is subject to Regulation R with respect to its securities activities.</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New York State Law</w:t>
      </w:r>
    </w:p>
    <w:p>
      <w:pPr>
        <w:spacing w:after="0" w:line="225"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New York Agency, established in 1989, is licensed by the Superintendent of Financial Services of the State of New York (the “Superintendent”), under the New York Banking Law. The New York Agency maintains an international banking facility that also is regulated by the Superintendent and the U.S. Federal Reserve Board. The New York Agency is examined by the Department of Financial Services and is subject to banking laws and regulations applicable to a foreign bank that operates a New York agency. New York agencies of foreign banks are regulated substantially the same as, and have similar powers to, New York state-chartered banks, subject to certain exceptions (including with respect to capital requirements and deposit-taking activities.</w:t>
      </w:r>
    </w:p>
    <w:p>
      <w:pPr>
        <w:spacing w:after="0" w:line="158"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Superintendent is empowered by law to require any branch or agency of a foreign bank to maintain in New York specified assets equal to a percentage of the branch’s or agency’s liabilities, as the Superintendent may designate. Under the current requirement, the New York Agency is required to maintain a pledge of a minimum of $2 million with respect to its total third-party liabilities and such pledge may be up to 1% of the agency’s third party liabilities, or upon meeting eligibility criteria, up to a maximum amount of $100 million. As of December 31, 2017, the New York Agency maintained a pledge deposit with a carrying value of $3 million with the New York State Department of Financial Services, above the minimum required amount.</w:t>
      </w:r>
    </w:p>
    <w:p>
      <w:pPr>
        <w:spacing w:after="0" w:line="15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addition, the Superintendent retains the authority to impose specific asset maintenance requirements upon individual agencies of foreign banks on a case-by-case basis.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41" w:name="page42"/>
    <w:bookmarkEnd w:id="41"/>
    <w:p>
      <w:pPr>
        <w:jc w:val="both"/>
        <w:spacing w:after="0" w:line="277" w:lineRule="auto"/>
        <w:rPr>
          <w:sz w:val="20"/>
          <w:szCs w:val="20"/>
          <w:color w:val="auto"/>
        </w:rPr>
      </w:pPr>
      <w:r>
        <w:rPr>
          <w:rFonts w:ascii="Arial" w:cs="Arial" w:eastAsia="Arial" w:hAnsi="Arial"/>
          <w:sz w:val="18"/>
          <w:szCs w:val="18"/>
          <w:color w:val="auto"/>
        </w:rPr>
        <w:t>The New York Banking Law generally limits the amount of loans to any one person to 15% of the capital, surplus fund and undivided profits of a bank. For foreign bank agencies, the lending limits are based on the capital of the foreign bank and not that of the agency.</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Superintendent is authorized to take possession of the business and property of a New York agency of a foreign bank whenever an event occurs that would permit the Superintendent to take possession of the business and property of a state-chartered bank. These events include the violation of any law, unsafe business practices, an impairment of capital, and the suspension of payments of obligations. In liquidating or dealing with an agency’s business after taking possession of the agency, the New York Banking Law provides that the claims of creditors which arose out of transactions with the agency may be granted a priority with respect to the agency’s assets over other creditors of the foreign bank.</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Anti-Money Laundering Laws</w:t>
      </w:r>
    </w:p>
    <w:p>
      <w:pPr>
        <w:spacing w:after="0" w:line="225"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U.S. anti-money laundering laws, including the Financial Recordkeeping and Reporting of Currency and Foreign Transactions Act of 1970 (commonly known as the “Bank Secrecy Act”), as amended by the Uniting and Strengthening America by Providing Appropriate Tools Required to Intercept and Obstruct Terrorism Act of 2001 (the “USA PATRIOT Act”), impose significant compliance and due diligence obligations, on financial institutions doing business in the United States, including, among other things, requiring these financial institutions to maintain appropriate records, file certain reports involving currency transactions, conduct certain due diligence with respect to their customers and establish anti-money laundering compliance programs designed to detect and report suspicious or unusual activity. The New York Agency is a “financial institution” for these purposes. The failure of a financial institution to comply with the requirements of these laws and regulations could have serious legal, reputational and financial consequences for such institution. The New York Agency has adopted risk-based policies and procedures reasonably designed to promote compliance in all material respects with these laws and their implementing regulations.</w:t>
      </w:r>
    </w:p>
    <w:p>
      <w:pPr>
        <w:spacing w:after="0" w:line="19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Economic or Financial Sanctions, Requirements or Trade Embargoes</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economic or financial sanctions, requirements or trade embargoes (collectively, the “Sanctions”) imposed, administered or enforced from time to time by the U.S. Department of the Treasury’s Office of Foreign Assets Control (“OFAC”) and other U.S. governmental authorities, require all U.S. persons, including U.S. branches or agencies of foreign banks operating in the U.S. (such as the New York Agency) to comply with these sanctions, and require U.S. financial institutions to block accounts and other property of, or reject unlicensed trade and financial transactions with specified countries, entities, and individuals. Failure to comply with applicable Sanctions can have serious legal, reputational and financial consequences for an institution subject to these requirements and Sanctions, in general, may have a direct or indirect adverse impact on the business or operations of parties that engage in trade finance or international commerce. The New York Agency has adopted risk-based policies and procedures reasonably designed to promote compliance in all material respects with applicable Sanctions.</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Other U.S. Laws/Regulations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New York Agency’s operations are also subject to federal or state laws and regulations applicable to financial institutions which relate to credit transactions and financial privacy. These laws, include, without limitation, the following:</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42" w:name="page43"/>
    <w:bookmarkEnd w:id="42"/>
    <w:p>
      <w:pPr>
        <w:ind w:left="660" w:hanging="328"/>
        <w:spacing w:after="0"/>
        <w:tabs>
          <w:tab w:leader="none" w:pos="660" w:val="left"/>
        </w:tabs>
        <w:numPr>
          <w:ilvl w:val="0"/>
          <w:numId w:val="29"/>
        </w:numPr>
        <w:rPr>
          <w:rFonts w:ascii="Arial" w:cs="Arial" w:eastAsia="Arial" w:hAnsi="Arial"/>
          <w:sz w:val="18"/>
          <w:szCs w:val="18"/>
          <w:color w:val="1F497D"/>
        </w:rPr>
      </w:pPr>
      <w:r>
        <w:rPr>
          <w:rFonts w:ascii="Arial" w:cs="Arial" w:eastAsia="Arial" w:hAnsi="Arial"/>
          <w:sz w:val="18"/>
          <w:szCs w:val="18"/>
          <w:color w:val="auto"/>
        </w:rPr>
        <w:t>State usury laws and federal laws concerning interest rates and other charges collected or contracted for by the New York Agency;</w:t>
      </w:r>
    </w:p>
    <w:p>
      <w:pPr>
        <w:spacing w:after="0" w:line="23" w:lineRule="exact"/>
        <w:rPr>
          <w:rFonts w:ascii="Arial" w:cs="Arial" w:eastAsia="Arial" w:hAnsi="Arial"/>
          <w:sz w:val="18"/>
          <w:szCs w:val="18"/>
          <w:color w:val="1F497D"/>
        </w:rPr>
      </w:pPr>
    </w:p>
    <w:p>
      <w:pPr>
        <w:ind w:left="660" w:hanging="328"/>
        <w:spacing w:after="0"/>
        <w:tabs>
          <w:tab w:leader="none" w:pos="660" w:val="left"/>
        </w:tabs>
        <w:numPr>
          <w:ilvl w:val="0"/>
          <w:numId w:val="29"/>
        </w:numPr>
        <w:rPr>
          <w:rFonts w:ascii="Arial" w:cs="Arial" w:eastAsia="Arial" w:hAnsi="Arial"/>
          <w:sz w:val="18"/>
          <w:szCs w:val="18"/>
          <w:color w:val="1F497D"/>
        </w:rPr>
      </w:pPr>
      <w:r>
        <w:rPr>
          <w:rFonts w:ascii="Arial" w:cs="Arial" w:eastAsia="Arial" w:hAnsi="Arial"/>
          <w:sz w:val="18"/>
          <w:szCs w:val="18"/>
          <w:color w:val="auto"/>
        </w:rPr>
        <w:t>Equal Credit Opportunity Act, prohibiting discrimination on the basis of race, creed or other prohibited factors in extending credit;</w:t>
      </w:r>
    </w:p>
    <w:p>
      <w:pPr>
        <w:spacing w:after="0" w:line="9" w:lineRule="exact"/>
        <w:rPr>
          <w:rFonts w:ascii="Arial" w:cs="Arial" w:eastAsia="Arial" w:hAnsi="Arial"/>
          <w:sz w:val="18"/>
          <w:szCs w:val="18"/>
          <w:color w:val="1F497D"/>
        </w:rPr>
      </w:pPr>
    </w:p>
    <w:p>
      <w:pPr>
        <w:ind w:left="660" w:hanging="328"/>
        <w:spacing w:after="0" w:line="250" w:lineRule="auto"/>
        <w:tabs>
          <w:tab w:leader="none" w:pos="660" w:val="left"/>
        </w:tabs>
        <w:numPr>
          <w:ilvl w:val="0"/>
          <w:numId w:val="29"/>
        </w:numPr>
        <w:rPr>
          <w:rFonts w:ascii="Arial" w:cs="Arial" w:eastAsia="Arial" w:hAnsi="Arial"/>
          <w:sz w:val="18"/>
          <w:szCs w:val="18"/>
          <w:color w:val="1F497D"/>
        </w:rPr>
      </w:pPr>
      <w:r>
        <w:rPr>
          <w:rFonts w:ascii="Arial" w:cs="Arial" w:eastAsia="Arial" w:hAnsi="Arial"/>
          <w:sz w:val="18"/>
          <w:szCs w:val="18"/>
          <w:color w:val="auto"/>
        </w:rPr>
        <w:t>Check Clearing for the 21st Century Act (also known as “Check 21”), which gives “substitute checks,” such as digital check images and copies made from that image, the same legal standing as the original paper check; and</w:t>
      </w:r>
    </w:p>
    <w:p>
      <w:pPr>
        <w:ind w:left="660" w:hanging="328"/>
        <w:spacing w:after="0"/>
        <w:tabs>
          <w:tab w:leader="none" w:pos="660" w:val="left"/>
        </w:tabs>
        <w:numPr>
          <w:ilvl w:val="0"/>
          <w:numId w:val="29"/>
        </w:numPr>
        <w:rPr>
          <w:rFonts w:ascii="Arial" w:cs="Arial" w:eastAsia="Arial" w:hAnsi="Arial"/>
          <w:sz w:val="17"/>
          <w:szCs w:val="17"/>
          <w:color w:val="1F497D"/>
        </w:rPr>
      </w:pPr>
      <w:r>
        <w:rPr>
          <w:rFonts w:ascii="Arial" w:cs="Arial" w:eastAsia="Arial" w:hAnsi="Arial"/>
          <w:sz w:val="17"/>
          <w:szCs w:val="17"/>
          <w:color w:val="auto"/>
        </w:rPr>
        <w:t>Rules and regulations of the various state and federal agencies charged with the responsibility of implementing such state or federal laws.</w:t>
      </w:r>
    </w:p>
    <w:p>
      <w:pPr>
        <w:spacing w:after="0" w:line="22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Seasonality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Bank’s business is not materially affected by seasonality.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Raw Materials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 is not dependent on sources or availability of raw materials.</w:t>
      </w:r>
    </w:p>
    <w:p>
      <w:pPr>
        <w:spacing w:after="0" w:line="221" w:lineRule="exact"/>
        <w:rPr>
          <w:sz w:val="20"/>
          <w:szCs w:val="20"/>
          <w:color w:val="auto"/>
        </w:rPr>
      </w:pPr>
    </w:p>
    <w:p>
      <w:pPr>
        <w:ind w:left="500" w:hanging="492"/>
        <w:spacing w:after="0"/>
        <w:tabs>
          <w:tab w:leader="none" w:pos="500" w:val="left"/>
        </w:tabs>
        <w:numPr>
          <w:ilvl w:val="0"/>
          <w:numId w:val="30"/>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Organizational Structure</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For information regarding the Bank’s organizational structure, see Item 18, “Financial Statements,” note 1.</w:t>
      </w:r>
    </w:p>
    <w:p>
      <w:pPr>
        <w:spacing w:after="0" w:line="221" w:lineRule="exact"/>
        <w:rPr>
          <w:sz w:val="20"/>
          <w:szCs w:val="20"/>
          <w:color w:val="auto"/>
        </w:rPr>
      </w:pPr>
    </w:p>
    <w:p>
      <w:pPr>
        <w:ind w:left="500" w:hanging="492"/>
        <w:spacing w:after="0"/>
        <w:tabs>
          <w:tab w:leader="none" w:pos="500" w:val="left"/>
        </w:tabs>
        <w:numPr>
          <w:ilvl w:val="0"/>
          <w:numId w:val="31"/>
        </w:numPr>
        <w:rPr>
          <w:rFonts w:ascii="Arial" w:cs="Arial" w:eastAsia="Arial" w:hAnsi="Arial"/>
          <w:sz w:val="18"/>
          <w:szCs w:val="18"/>
          <w:b w:val="1"/>
          <w:bCs w:val="1"/>
          <w:color w:val="auto"/>
        </w:rPr>
      </w:pPr>
      <w:r>
        <w:rPr>
          <w:rFonts w:ascii="Arial" w:cs="Arial" w:eastAsia="Arial" w:hAnsi="Arial"/>
          <w:sz w:val="18"/>
          <w:szCs w:val="18"/>
          <w:b w:val="1"/>
          <w:bCs w:val="1"/>
          <w:color w:val="auto"/>
        </w:rPr>
        <w:t>Property, Plant and Equipment</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leases its headquarters, which comprises 4,990 square meters of office space, located at Business Park - Tower V, Costa del Este, Panama City, Panama. The Bank leases computer hosting equipment spaces located at Gavilan Street Balboa, Panama City, Panama and 21 square meters of office space and internet access, as a contingency, located at 75E Street San Francisco, Panama City, Panama.</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 addition, the Bank leases office space for its representative offices in Mexico City, Mexico; Buenos Aires, Argentina; Lima, Peru; Bogotá, Colombia; São Paulo, Brazil; and its New York Agency in White Plains, New York. In addition, until April 2017, the Bank leased office space in Monterrey, Mexico in connection with its now closed representative office.</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notes 1, 3.11, 7 and 25.</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4A.</w:t>
      </w:r>
      <w:r>
        <w:rPr>
          <w:sz w:val="20"/>
          <w:szCs w:val="20"/>
          <w:color w:val="auto"/>
        </w:rPr>
        <w:tab/>
      </w:r>
      <w:r>
        <w:rPr>
          <w:rFonts w:ascii="Arial" w:cs="Arial" w:eastAsia="Arial" w:hAnsi="Arial"/>
          <w:sz w:val="16"/>
          <w:szCs w:val="16"/>
          <w:b w:val="1"/>
          <w:bCs w:val="1"/>
          <w:color w:val="auto"/>
        </w:rPr>
        <w:t>Unresolved Staff Comments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5.</w:t>
      </w:r>
      <w:r>
        <w:rPr>
          <w:sz w:val="20"/>
          <w:szCs w:val="20"/>
          <w:color w:val="auto"/>
        </w:rPr>
        <w:tab/>
      </w:r>
      <w:r>
        <w:rPr>
          <w:rFonts w:ascii="Arial" w:cs="Arial" w:eastAsia="Arial" w:hAnsi="Arial"/>
          <w:sz w:val="16"/>
          <w:szCs w:val="16"/>
          <w:b w:val="1"/>
          <w:bCs w:val="1"/>
          <w:color w:val="auto"/>
        </w:rPr>
        <w:t>Operating and Financial Review and Prospects</w:t>
      </w:r>
    </w:p>
    <w:p>
      <w:pPr>
        <w:spacing w:after="0" w:line="229"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The following discussion and analysis of the Bank’s financial condition and results of operations should be read in conjunction with the Bank’s Consolidated Financial Statements and the related notes included elsewhere in this Annual Report. See Item 18, “Financial Statements.” The Bank’s consolidated financial position as of December 31, 2015 should be read in conjunction with the Bank’s audited financial statements included in the Bank’s Annual Report on Form 20-F for the year ended December 31, 2016, filed with the SEC on April 28, 2017. This discussion may contain forward-looking statements based upon current expectations that involve risks and uncertainties. The Bank’s actual results may differ materially from those anticipated in these forward-looking statements as a result of various factors, including those set forth under “Item 3. Key Information—D. Risk Factors” or in other parts of this Annual Report. The Bank’s Consolidated Financial Statements and the financial information discussed below have been prepared in accordance with IFRS.</w:t>
      </w:r>
    </w:p>
    <w:p>
      <w:pPr>
        <w:spacing w:after="0" w:line="38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Nature of Earnings</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derives income from net interest income and net other income, which includes fees and commissions, net, gain (loss) on derivative financial instruments and foreign currency exchange, gain (loss) per financial instrument at fair value through profit or loss, gain (loss) on sale of securities at fair value through OCI, gain on sale of loans, and other income. Net interest income, or the difference between the interest income the Bank receives on its interest-earning assets and the interest expense the Bank pays on interest-bearing liabilities, is generated principally by the Bank’s lending activities. The Bank generates fees and commissions mainly through the issuance, confirmation and negotiation of letters of credit, guarantees, and credit commitments, and through loan structuring and syndication activities, while other loan intermediation activities, such as sales in the secondary market and distribution in the primary market are registered as gain on sale of loans.</w:t>
      </w:r>
    </w:p>
    <w:p>
      <w:pPr>
        <w:spacing w:after="0" w:line="185" w:lineRule="exact"/>
        <w:rPr>
          <w:sz w:val="20"/>
          <w:szCs w:val="20"/>
          <w:color w:val="auto"/>
        </w:rPr>
      </w:pPr>
    </w:p>
    <w:p>
      <w:pPr>
        <w:ind w:left="660" w:hanging="652"/>
        <w:spacing w:after="0"/>
        <w:tabs>
          <w:tab w:leader="none" w:pos="660" w:val="left"/>
        </w:tabs>
        <w:numPr>
          <w:ilvl w:val="0"/>
          <w:numId w:val="32"/>
        </w:numPr>
        <w:rPr>
          <w:rFonts w:ascii="Arial" w:cs="Arial" w:eastAsia="Arial" w:hAnsi="Arial"/>
          <w:sz w:val="18"/>
          <w:szCs w:val="18"/>
          <w:b w:val="1"/>
          <w:bCs w:val="1"/>
          <w:color w:val="auto"/>
        </w:rPr>
      </w:pPr>
      <w:r>
        <w:rPr>
          <w:rFonts w:ascii="Arial" w:cs="Arial" w:eastAsia="Arial" w:hAnsi="Arial"/>
          <w:sz w:val="18"/>
          <w:szCs w:val="18"/>
          <w:b w:val="1"/>
          <w:bCs w:val="1"/>
          <w:color w:val="auto"/>
        </w:rPr>
        <w:t>Operating Results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summarizes changes in components of the Bank’s profit for the year and performance for the periods indicated. The operating results in any period are not indicative of the results that may be expected for any future period.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40" w:type="dxa"/>
            <w:vAlign w:val="bottom"/>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3380" w:type="dxa"/>
            <w:vAlign w:val="bottom"/>
            <w:tcBorders>
              <w:bottom w:val="single" w:sz="8" w:color="auto"/>
            </w:tcBorders>
            <w:gridSpan w:val="7"/>
          </w:tcPr>
          <w:p>
            <w:pPr>
              <w:jc w:val="right"/>
              <w:spacing w:after="0"/>
              <w:rPr>
                <w:sz w:val="20"/>
                <w:szCs w:val="20"/>
                <w:color w:val="auto"/>
              </w:rPr>
            </w:pPr>
            <w:r>
              <w:rPr>
                <w:rFonts w:ascii="Arial" w:cs="Arial" w:eastAsia="Arial" w:hAnsi="Arial"/>
                <w:sz w:val="18"/>
                <w:szCs w:val="18"/>
                <w:b w:val="1"/>
                <w:bCs w:val="1"/>
                <w:color w:val="auto"/>
              </w:rPr>
              <w:t>For the Year Ended December 31,</w:t>
            </w:r>
          </w:p>
        </w:tc>
        <w:tc>
          <w:tcPr>
            <w:tcW w:w="94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640" w:type="dxa"/>
            <w:vAlign w:val="bottom"/>
          </w:tcPr>
          <w:p>
            <w:pPr>
              <w:spacing w:after="0"/>
              <w:rPr>
                <w:sz w:val="19"/>
                <w:szCs w:val="19"/>
                <w:color w:val="auto"/>
              </w:rPr>
            </w:pPr>
          </w:p>
        </w:tc>
        <w:tc>
          <w:tcPr>
            <w:tcW w:w="30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2016</w:t>
            </w:r>
          </w:p>
        </w:tc>
        <w:tc>
          <w:tcPr>
            <w:tcW w:w="28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40" w:type="dxa"/>
            <w:vAlign w:val="bottom"/>
          </w:tcPr>
          <w:p>
            <w:pPr>
              <w:spacing w:after="0"/>
              <w:rPr>
                <w:sz w:val="18"/>
                <w:szCs w:val="18"/>
                <w:color w:val="auto"/>
              </w:rPr>
            </w:pPr>
          </w:p>
        </w:tc>
        <w:tc>
          <w:tcPr>
            <w:tcW w:w="4620" w:type="dxa"/>
            <w:vAlign w:val="bottom"/>
            <w:gridSpan w:val="9"/>
          </w:tcPr>
          <w:p>
            <w:pPr>
              <w:jc w:val="right"/>
              <w:spacing w:after="0"/>
              <w:rPr>
                <w:sz w:val="20"/>
                <w:szCs w:val="20"/>
                <w:color w:val="auto"/>
              </w:rPr>
            </w:pPr>
            <w:r>
              <w:rPr>
                <w:rFonts w:ascii="Arial" w:cs="Arial" w:eastAsia="Arial" w:hAnsi="Arial"/>
                <w:sz w:val="18"/>
                <w:szCs w:val="18"/>
                <w:b w:val="1"/>
                <w:bCs w:val="1"/>
                <w:color w:val="auto"/>
                <w:w w:val="88"/>
              </w:rPr>
              <w:t>(in $ thousands, except per share amounts and percentages)</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4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300" w:type="dxa"/>
            <w:vAlign w:val="bottom"/>
            <w:shd w:val="clear" w:color="auto" w:fill="CCEEFF"/>
          </w:tcPr>
          <w:p>
            <w:pPr>
              <w:jc w:val="right"/>
              <w:ind w:right="142"/>
              <w:spacing w:after="0"/>
              <w:rPr>
                <w:sz w:val="20"/>
                <w:szCs w:val="20"/>
                <w:color w:val="auto"/>
              </w:rPr>
            </w:pPr>
            <w:r>
              <w:rPr>
                <w:rFonts w:ascii="Arial" w:cs="Arial" w:eastAsia="Arial" w:hAnsi="Arial"/>
                <w:sz w:val="15"/>
                <w:szCs w:val="15"/>
                <w:color w:val="auto"/>
                <w:w w:val="71"/>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226,079</w:t>
            </w:r>
          </w:p>
        </w:tc>
        <w:tc>
          <w:tcPr>
            <w:tcW w:w="220" w:type="dxa"/>
            <w:vAlign w:val="bottom"/>
            <w:shd w:val="clear" w:color="auto" w:fill="CCEEFF"/>
          </w:tcPr>
          <w:p>
            <w:pPr>
              <w:spacing w:after="0"/>
              <w:rPr>
                <w:sz w:val="18"/>
                <w:szCs w:val="18"/>
                <w:color w:val="auto"/>
              </w:rPr>
            </w:pPr>
          </w:p>
        </w:tc>
        <w:tc>
          <w:tcPr>
            <w:tcW w:w="360" w:type="dxa"/>
            <w:vAlign w:val="bottom"/>
            <w:gridSpan w:val="2"/>
            <w:shd w:val="clear" w:color="auto" w:fill="CCEEFF"/>
          </w:tcPr>
          <w:p>
            <w:pPr>
              <w:jc w:val="right"/>
              <w:ind w:right="125"/>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245,898</w:t>
            </w:r>
          </w:p>
        </w:tc>
        <w:tc>
          <w:tcPr>
            <w:tcW w:w="42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w w:val="79"/>
              </w:rPr>
              <w:t>$</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220,312</w:t>
            </w:r>
          </w:p>
        </w:tc>
        <w:tc>
          <w:tcPr>
            <w:tcW w:w="0" w:type="dxa"/>
            <w:vAlign w:val="bottom"/>
          </w:tcPr>
          <w:p>
            <w:pPr>
              <w:spacing w:after="0"/>
              <w:rPr>
                <w:sz w:val="1"/>
                <w:szCs w:val="1"/>
                <w:color w:val="auto"/>
              </w:rPr>
            </w:pPr>
          </w:p>
        </w:tc>
      </w:tr>
      <w:tr>
        <w:trPr>
          <w:trHeight w:val="230"/>
        </w:trPr>
        <w:tc>
          <w:tcPr>
            <w:tcW w:w="6640" w:type="dxa"/>
            <w:vAlign w:val="bottom"/>
          </w:tcPr>
          <w:p>
            <w:pPr>
              <w:spacing w:after="0"/>
              <w:rPr>
                <w:sz w:val="20"/>
                <w:szCs w:val="20"/>
                <w:color w:val="auto"/>
              </w:rPr>
            </w:pPr>
            <w:r>
              <w:rPr>
                <w:rFonts w:ascii="Arial" w:cs="Arial" w:eastAsia="Arial" w:hAnsi="Arial"/>
                <w:sz w:val="18"/>
                <w:szCs w:val="18"/>
                <w:color w:val="auto"/>
              </w:rPr>
              <w:t>Interest expense</w:t>
            </w:r>
          </w:p>
        </w:tc>
        <w:tc>
          <w:tcPr>
            <w:tcW w:w="3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106,264</w:t>
            </w:r>
          </w:p>
        </w:tc>
        <w:tc>
          <w:tcPr>
            <w:tcW w:w="2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90,689</w:t>
            </w:r>
          </w:p>
        </w:tc>
        <w:tc>
          <w:tcPr>
            <w:tcW w:w="420" w:type="dxa"/>
            <w:vAlign w:val="bottom"/>
          </w:tcPr>
          <w:p>
            <w:pPr>
              <w:spacing w:after="0"/>
              <w:rPr>
                <w:sz w:val="19"/>
                <w:szCs w:val="19"/>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74,833</w:t>
            </w:r>
          </w:p>
        </w:tc>
        <w:tc>
          <w:tcPr>
            <w:tcW w:w="0" w:type="dxa"/>
            <w:vAlign w:val="bottom"/>
          </w:tcPr>
          <w:p>
            <w:pPr>
              <w:spacing w:after="0"/>
              <w:rPr>
                <w:sz w:val="1"/>
                <w:szCs w:val="1"/>
                <w:color w:val="auto"/>
              </w:rPr>
            </w:pPr>
          </w:p>
        </w:tc>
      </w:tr>
      <w:tr>
        <w:trPr>
          <w:trHeight w:val="210"/>
        </w:trPr>
        <w:tc>
          <w:tcPr>
            <w:tcW w:w="6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300" w:type="dxa"/>
            <w:vAlign w:val="bottom"/>
            <w:tcBorders>
              <w:top w:val="single" w:sz="8" w:color="auto"/>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119,815</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155,209</w:t>
            </w:r>
          </w:p>
        </w:tc>
        <w:tc>
          <w:tcPr>
            <w:tcW w:w="28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145,479</w:t>
            </w: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40" w:type="dxa"/>
            <w:vAlign w:val="bottom"/>
          </w:tcPr>
          <w:p>
            <w:pPr>
              <w:spacing w:after="0"/>
              <w:rPr>
                <w:sz w:val="20"/>
                <w:szCs w:val="20"/>
                <w:color w:val="auto"/>
              </w:rPr>
            </w:pPr>
            <w:r>
              <w:rPr>
                <w:rFonts w:ascii="Arial" w:cs="Arial" w:eastAsia="Arial" w:hAnsi="Arial"/>
                <w:sz w:val="18"/>
                <w:szCs w:val="18"/>
                <w:b w:val="1"/>
                <w:bCs w:val="1"/>
                <w:color w:val="auto"/>
              </w:rPr>
              <w:t>Other income:</w:t>
            </w:r>
          </w:p>
        </w:tc>
        <w:tc>
          <w:tcPr>
            <w:tcW w:w="3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4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3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17,514</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14,306</w:t>
            </w:r>
          </w:p>
        </w:tc>
        <w:tc>
          <w:tcPr>
            <w:tcW w:w="4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19,200</w:t>
            </w:r>
          </w:p>
        </w:tc>
        <w:tc>
          <w:tcPr>
            <w:tcW w:w="0" w:type="dxa"/>
            <w:vAlign w:val="bottom"/>
          </w:tcPr>
          <w:p>
            <w:pPr>
              <w:spacing w:after="0"/>
              <w:rPr>
                <w:sz w:val="1"/>
                <w:szCs w:val="1"/>
                <w:color w:val="auto"/>
              </w:rPr>
            </w:pPr>
          </w:p>
        </w:tc>
      </w:tr>
      <w:tr>
        <w:trPr>
          <w:trHeight w:val="216"/>
        </w:trPr>
        <w:tc>
          <w:tcPr>
            <w:tcW w:w="6640" w:type="dxa"/>
            <w:vAlign w:val="bottom"/>
          </w:tcPr>
          <w:p>
            <w:pPr>
              <w:spacing w:after="0"/>
              <w:rPr>
                <w:sz w:val="20"/>
                <w:szCs w:val="20"/>
                <w:color w:val="auto"/>
              </w:rPr>
            </w:pPr>
            <w:r>
              <w:rPr>
                <w:rFonts w:ascii="Arial" w:cs="Arial" w:eastAsia="Arial" w:hAnsi="Arial"/>
                <w:sz w:val="18"/>
                <w:szCs w:val="18"/>
                <w:color w:val="auto"/>
              </w:rPr>
              <w:t>Loss on derivative financial instruments and foreign currency exchange, net</w:t>
            </w:r>
          </w:p>
        </w:tc>
        <w:tc>
          <w:tcPr>
            <w:tcW w:w="300" w:type="dxa"/>
            <w:vAlign w:val="bottom"/>
          </w:tcPr>
          <w:p>
            <w:pPr>
              <w:spacing w:after="0"/>
              <w:rPr>
                <w:sz w:val="18"/>
                <w:szCs w:val="18"/>
                <w:color w:val="auto"/>
              </w:rPr>
            </w:pPr>
          </w:p>
        </w:tc>
        <w:tc>
          <w:tcPr>
            <w:tcW w:w="1260" w:type="dxa"/>
            <w:vAlign w:val="bottom"/>
            <w:gridSpan w:val="2"/>
          </w:tcPr>
          <w:p>
            <w:pPr>
              <w:jc w:val="right"/>
              <w:ind w:right="160"/>
              <w:spacing w:after="0"/>
              <w:rPr>
                <w:sz w:val="20"/>
                <w:szCs w:val="20"/>
                <w:color w:val="auto"/>
              </w:rPr>
            </w:pPr>
            <w:r>
              <w:rPr>
                <w:rFonts w:ascii="Arial" w:cs="Arial" w:eastAsia="Arial" w:hAnsi="Arial"/>
                <w:sz w:val="18"/>
                <w:szCs w:val="18"/>
                <w:color w:val="auto"/>
              </w:rPr>
              <w:t>(437)</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(486)</w:t>
            </w:r>
          </w:p>
        </w:tc>
        <w:tc>
          <w:tcPr>
            <w:tcW w:w="420" w:type="dxa"/>
            <w:vAlign w:val="bottom"/>
          </w:tcPr>
          <w:p>
            <w:pPr>
              <w:spacing w:after="0"/>
              <w:rPr>
                <w:sz w:val="18"/>
                <w:szCs w:val="18"/>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57"/>
        </w:trPr>
        <w:tc>
          <w:tcPr>
            <w:tcW w:w="66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(Loss) gain per financial instrument at fair value through profit or loss </w:t>
            </w:r>
            <w:r>
              <w:rPr>
                <w:rFonts w:ascii="Arial" w:cs="Arial" w:eastAsia="Arial" w:hAnsi="Arial"/>
                <w:sz w:val="29"/>
                <w:szCs w:val="29"/>
                <w:color w:val="auto"/>
                <w:vertAlign w:val="superscript"/>
              </w:rPr>
              <w:t>(1)</w:t>
            </w:r>
          </w:p>
        </w:tc>
        <w:tc>
          <w:tcPr>
            <w:tcW w:w="30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(732)</w:t>
            </w:r>
          </w:p>
        </w:tc>
        <w:tc>
          <w:tcPr>
            <w:tcW w:w="8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(2,883)</w:t>
            </w:r>
          </w:p>
        </w:tc>
        <w:tc>
          <w:tcPr>
            <w:tcW w:w="42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5,731</w:t>
            </w:r>
          </w:p>
        </w:tc>
        <w:tc>
          <w:tcPr>
            <w:tcW w:w="0" w:type="dxa"/>
            <w:vAlign w:val="bottom"/>
          </w:tcPr>
          <w:p>
            <w:pPr>
              <w:spacing w:after="0"/>
              <w:rPr>
                <w:sz w:val="1"/>
                <w:szCs w:val="1"/>
                <w:color w:val="auto"/>
              </w:rPr>
            </w:pPr>
          </w:p>
        </w:tc>
      </w:tr>
      <w:tr>
        <w:trPr>
          <w:trHeight w:val="216"/>
        </w:trPr>
        <w:tc>
          <w:tcPr>
            <w:tcW w:w="6640" w:type="dxa"/>
            <w:vAlign w:val="bottom"/>
          </w:tcPr>
          <w:p>
            <w:pPr>
              <w:spacing w:after="0"/>
              <w:rPr>
                <w:sz w:val="20"/>
                <w:szCs w:val="20"/>
                <w:color w:val="auto"/>
              </w:rPr>
            </w:pPr>
            <w:r>
              <w:rPr>
                <w:rFonts w:ascii="Arial" w:cs="Arial" w:eastAsia="Arial" w:hAnsi="Arial"/>
                <w:sz w:val="18"/>
                <w:szCs w:val="18"/>
                <w:color w:val="auto"/>
              </w:rPr>
              <w:t>Gain (loss) on sale of securities at fair value through OCI</w:t>
            </w:r>
          </w:p>
        </w:tc>
        <w:tc>
          <w:tcPr>
            <w:tcW w:w="300" w:type="dxa"/>
            <w:vAlign w:val="bottom"/>
          </w:tcPr>
          <w:p>
            <w:pPr>
              <w:spacing w:after="0"/>
              <w:rPr>
                <w:sz w:val="18"/>
                <w:szCs w:val="18"/>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249</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(356)</w:t>
            </w:r>
          </w:p>
        </w:tc>
        <w:tc>
          <w:tcPr>
            <w:tcW w:w="42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363</w:t>
            </w:r>
          </w:p>
        </w:tc>
        <w:tc>
          <w:tcPr>
            <w:tcW w:w="0" w:type="dxa"/>
            <w:vAlign w:val="bottom"/>
          </w:tcPr>
          <w:p>
            <w:pPr>
              <w:spacing w:after="0"/>
              <w:rPr>
                <w:sz w:val="1"/>
                <w:szCs w:val="1"/>
                <w:color w:val="auto"/>
              </w:rPr>
            </w:pPr>
          </w:p>
        </w:tc>
      </w:tr>
      <w:tr>
        <w:trPr>
          <w:trHeight w:val="216"/>
        </w:trPr>
        <w:tc>
          <w:tcPr>
            <w:tcW w:w="6640" w:type="dxa"/>
            <w:vAlign w:val="bottom"/>
            <w:shd w:val="clear" w:color="auto" w:fill="CCEEFF"/>
          </w:tcPr>
          <w:p>
            <w:pPr>
              <w:spacing w:after="0"/>
              <w:rPr>
                <w:sz w:val="20"/>
                <w:szCs w:val="20"/>
                <w:color w:val="auto"/>
              </w:rPr>
            </w:pPr>
            <w:r>
              <w:rPr>
                <w:rFonts w:ascii="Arial" w:cs="Arial" w:eastAsia="Arial" w:hAnsi="Arial"/>
                <w:sz w:val="18"/>
                <w:szCs w:val="18"/>
                <w:color w:val="auto"/>
              </w:rPr>
              <w:t>Gain on sale of loans</w:t>
            </w:r>
          </w:p>
        </w:tc>
        <w:tc>
          <w:tcPr>
            <w:tcW w:w="3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181</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806</w:t>
            </w:r>
          </w:p>
        </w:tc>
        <w:tc>
          <w:tcPr>
            <w:tcW w:w="4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1,505</w:t>
            </w:r>
          </w:p>
        </w:tc>
        <w:tc>
          <w:tcPr>
            <w:tcW w:w="0" w:type="dxa"/>
            <w:vAlign w:val="bottom"/>
          </w:tcPr>
          <w:p>
            <w:pPr>
              <w:spacing w:after="0"/>
              <w:rPr>
                <w:sz w:val="1"/>
                <w:szCs w:val="1"/>
                <w:color w:val="auto"/>
              </w:rPr>
            </w:pPr>
          </w:p>
        </w:tc>
      </w:tr>
      <w:tr>
        <w:trPr>
          <w:trHeight w:val="230"/>
        </w:trPr>
        <w:tc>
          <w:tcPr>
            <w:tcW w:w="6640" w:type="dxa"/>
            <w:vAlign w:val="bottom"/>
          </w:tcPr>
          <w:p>
            <w:pPr>
              <w:spacing w:after="0"/>
              <w:rPr>
                <w:sz w:val="20"/>
                <w:szCs w:val="20"/>
                <w:color w:val="auto"/>
              </w:rPr>
            </w:pPr>
            <w:r>
              <w:rPr>
                <w:rFonts w:ascii="Arial" w:cs="Arial" w:eastAsia="Arial" w:hAnsi="Arial"/>
                <w:sz w:val="18"/>
                <w:szCs w:val="18"/>
                <w:color w:val="auto"/>
              </w:rPr>
              <w:t>Other income</w:t>
            </w:r>
          </w:p>
        </w:tc>
        <w:tc>
          <w:tcPr>
            <w:tcW w:w="3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1,723</w:t>
            </w:r>
          </w:p>
        </w:tc>
        <w:tc>
          <w:tcPr>
            <w:tcW w:w="2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1,378</w:t>
            </w:r>
          </w:p>
        </w:tc>
        <w:tc>
          <w:tcPr>
            <w:tcW w:w="420" w:type="dxa"/>
            <w:vAlign w:val="bottom"/>
          </w:tcPr>
          <w:p>
            <w:pPr>
              <w:spacing w:after="0"/>
              <w:rPr>
                <w:sz w:val="19"/>
                <w:szCs w:val="19"/>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1,603</w:t>
            </w:r>
          </w:p>
        </w:tc>
        <w:tc>
          <w:tcPr>
            <w:tcW w:w="0" w:type="dxa"/>
            <w:vAlign w:val="bottom"/>
          </w:tcPr>
          <w:p>
            <w:pPr>
              <w:spacing w:after="0"/>
              <w:rPr>
                <w:sz w:val="1"/>
                <w:szCs w:val="1"/>
                <w:color w:val="auto"/>
              </w:rPr>
            </w:pPr>
          </w:p>
        </w:tc>
      </w:tr>
      <w:tr>
        <w:trPr>
          <w:trHeight w:val="210"/>
        </w:trPr>
        <w:tc>
          <w:tcPr>
            <w:tcW w:w="6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other income</w:t>
            </w:r>
          </w:p>
        </w:tc>
        <w:tc>
          <w:tcPr>
            <w:tcW w:w="300" w:type="dxa"/>
            <w:vAlign w:val="bottom"/>
            <w:tcBorders>
              <w:top w:val="single" w:sz="8" w:color="auto"/>
              <w:bottom w:val="single" w:sz="8" w:color="auto"/>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18,498</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12,765</w:t>
            </w:r>
          </w:p>
        </w:tc>
        <w:tc>
          <w:tcPr>
            <w:tcW w:w="28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28,379</w:t>
            </w: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640" w:type="dxa"/>
            <w:vAlign w:val="bottom"/>
          </w:tcPr>
          <w:p>
            <w:pPr>
              <w:spacing w:after="0"/>
              <w:rPr>
                <w:sz w:val="20"/>
                <w:szCs w:val="20"/>
                <w:color w:val="auto"/>
              </w:rPr>
            </w:pPr>
            <w:r>
              <w:rPr>
                <w:rFonts w:ascii="Arial" w:cs="Arial" w:eastAsia="Arial" w:hAnsi="Arial"/>
                <w:sz w:val="18"/>
                <w:szCs w:val="18"/>
                <w:b w:val="1"/>
                <w:bCs w:val="1"/>
                <w:color w:val="auto"/>
              </w:rPr>
              <w:t>Total income</w:t>
            </w:r>
          </w:p>
        </w:tc>
        <w:tc>
          <w:tcPr>
            <w:tcW w:w="3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b w:val="1"/>
                <w:bCs w:val="1"/>
                <w:color w:val="auto"/>
              </w:rPr>
              <w:t>138,313</w:t>
            </w: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b w:val="1"/>
                <w:bCs w:val="1"/>
                <w:color w:val="auto"/>
              </w:rPr>
              <w:t>167,974</w:t>
            </w:r>
          </w:p>
        </w:tc>
        <w:tc>
          <w:tcPr>
            <w:tcW w:w="2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rPr>
              <w:t>173,858</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Expenses:</w:t>
            </w:r>
          </w:p>
        </w:tc>
        <w:tc>
          <w:tcPr>
            <w:tcW w:w="3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40" w:type="dxa"/>
            <w:vAlign w:val="bottom"/>
          </w:tcPr>
          <w:p>
            <w:pPr>
              <w:spacing w:after="0"/>
              <w:rPr>
                <w:sz w:val="20"/>
                <w:szCs w:val="20"/>
                <w:color w:val="auto"/>
              </w:rPr>
            </w:pPr>
            <w:r>
              <w:rPr>
                <w:rFonts w:ascii="Arial" w:cs="Arial" w:eastAsia="Arial" w:hAnsi="Arial"/>
                <w:sz w:val="18"/>
                <w:szCs w:val="18"/>
                <w:color w:val="auto"/>
              </w:rPr>
              <w:t>Impairment loss from expected credit losses on loans at amortized cost</w:t>
            </w:r>
          </w:p>
        </w:tc>
        <w:tc>
          <w:tcPr>
            <w:tcW w:w="3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8,859</w:t>
            </w: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34,760</w:t>
            </w:r>
          </w:p>
        </w:tc>
        <w:tc>
          <w:tcPr>
            <w:tcW w:w="42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17,248</w:t>
            </w:r>
          </w:p>
        </w:tc>
        <w:tc>
          <w:tcPr>
            <w:tcW w:w="0" w:type="dxa"/>
            <w:vAlign w:val="bottom"/>
          </w:tcPr>
          <w:p>
            <w:pPr>
              <w:spacing w:after="0"/>
              <w:rPr>
                <w:sz w:val="1"/>
                <w:szCs w:val="1"/>
                <w:color w:val="auto"/>
              </w:rPr>
            </w:pPr>
          </w:p>
        </w:tc>
      </w:tr>
      <w:tr>
        <w:trPr>
          <w:trHeight w:val="216"/>
        </w:trPr>
        <w:tc>
          <w:tcPr>
            <w:tcW w:w="6640" w:type="dxa"/>
            <w:vAlign w:val="bottom"/>
            <w:shd w:val="clear" w:color="auto" w:fill="CCEEFF"/>
          </w:tcPr>
          <w:p>
            <w:pPr>
              <w:spacing w:after="0"/>
              <w:rPr>
                <w:sz w:val="20"/>
                <w:szCs w:val="20"/>
                <w:color w:val="auto"/>
              </w:rPr>
            </w:pPr>
            <w:r>
              <w:rPr>
                <w:rFonts w:ascii="Arial" w:cs="Arial" w:eastAsia="Arial" w:hAnsi="Arial"/>
                <w:sz w:val="18"/>
                <w:szCs w:val="18"/>
                <w:color w:val="auto"/>
              </w:rPr>
              <w:t>(Recovery) impairment loss from expected credit losses on investment securities</w:t>
            </w:r>
          </w:p>
        </w:tc>
        <w:tc>
          <w:tcPr>
            <w:tcW w:w="3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(489)</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w:t>
            </w:r>
          </w:p>
        </w:tc>
        <w:tc>
          <w:tcPr>
            <w:tcW w:w="4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5,290</w:t>
            </w:r>
          </w:p>
        </w:tc>
        <w:tc>
          <w:tcPr>
            <w:tcW w:w="0" w:type="dxa"/>
            <w:vAlign w:val="bottom"/>
          </w:tcPr>
          <w:p>
            <w:pPr>
              <w:spacing w:after="0"/>
              <w:rPr>
                <w:sz w:val="1"/>
                <w:szCs w:val="1"/>
                <w:color w:val="auto"/>
              </w:rPr>
            </w:pPr>
          </w:p>
        </w:tc>
      </w:tr>
      <w:tr>
        <w:trPr>
          <w:trHeight w:val="202"/>
        </w:trPr>
        <w:tc>
          <w:tcPr>
            <w:tcW w:w="6640" w:type="dxa"/>
            <w:vAlign w:val="bottom"/>
          </w:tcPr>
          <w:p>
            <w:pPr>
              <w:spacing w:after="0" w:line="201" w:lineRule="exact"/>
              <w:rPr>
                <w:sz w:val="20"/>
                <w:szCs w:val="20"/>
                <w:color w:val="auto"/>
              </w:rPr>
            </w:pPr>
            <w:r>
              <w:rPr>
                <w:rFonts w:ascii="Arial" w:cs="Arial" w:eastAsia="Arial" w:hAnsi="Arial"/>
                <w:sz w:val="18"/>
                <w:szCs w:val="18"/>
                <w:color w:val="auto"/>
              </w:rPr>
              <w:t>Impairment loss (recovery) from expected credit losses on loan commitments and</w:t>
            </w:r>
          </w:p>
        </w:tc>
        <w:tc>
          <w:tcPr>
            <w:tcW w:w="3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6640" w:type="dxa"/>
            <w:vAlign w:val="bottom"/>
          </w:tcPr>
          <w:p>
            <w:pPr>
              <w:spacing w:after="0"/>
              <w:rPr>
                <w:sz w:val="20"/>
                <w:szCs w:val="20"/>
                <w:color w:val="auto"/>
              </w:rPr>
            </w:pPr>
            <w:r>
              <w:rPr>
                <w:rFonts w:ascii="Arial" w:cs="Arial" w:eastAsia="Arial" w:hAnsi="Arial"/>
                <w:sz w:val="18"/>
                <w:szCs w:val="18"/>
                <w:color w:val="auto"/>
              </w:rPr>
              <w:t>financial guarantee contracts</w:t>
            </w:r>
          </w:p>
        </w:tc>
        <w:tc>
          <w:tcPr>
            <w:tcW w:w="3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1,069</w:t>
            </w:r>
          </w:p>
        </w:tc>
        <w:tc>
          <w:tcPr>
            <w:tcW w:w="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352</w:t>
            </w:r>
          </w:p>
        </w:tc>
        <w:tc>
          <w:tcPr>
            <w:tcW w:w="420" w:type="dxa"/>
            <w:vAlign w:val="bottom"/>
          </w:tcPr>
          <w:p>
            <w:pPr>
              <w:spacing w:after="0"/>
              <w:rPr>
                <w:sz w:val="20"/>
                <w:szCs w:val="20"/>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(4,448)</w:t>
            </w:r>
          </w:p>
        </w:tc>
        <w:tc>
          <w:tcPr>
            <w:tcW w:w="0" w:type="dxa"/>
            <w:vAlign w:val="bottom"/>
          </w:tcPr>
          <w:p>
            <w:pPr>
              <w:spacing w:after="0"/>
              <w:rPr>
                <w:sz w:val="1"/>
                <w:szCs w:val="1"/>
                <w:color w:val="auto"/>
              </w:rPr>
            </w:pPr>
          </w:p>
        </w:tc>
      </w:tr>
      <w:tr>
        <w:trPr>
          <w:trHeight w:val="216"/>
        </w:trPr>
        <w:tc>
          <w:tcPr>
            <w:tcW w:w="664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3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40" w:type="dxa"/>
            <w:vAlign w:val="bottom"/>
          </w:tcPr>
          <w:p>
            <w:pPr>
              <w:ind w:left="180"/>
              <w:spacing w:after="0"/>
              <w:rPr>
                <w:sz w:val="20"/>
                <w:szCs w:val="20"/>
                <w:color w:val="auto"/>
              </w:rPr>
            </w:pPr>
            <w:r>
              <w:rPr>
                <w:rFonts w:ascii="Arial" w:cs="Arial" w:eastAsia="Arial" w:hAnsi="Arial"/>
                <w:sz w:val="18"/>
                <w:szCs w:val="18"/>
                <w:color w:val="auto"/>
              </w:rPr>
              <w:t>Salaries and other employee expenses</w:t>
            </w:r>
          </w:p>
        </w:tc>
        <w:tc>
          <w:tcPr>
            <w:tcW w:w="300" w:type="dxa"/>
            <w:vAlign w:val="bottom"/>
          </w:tcPr>
          <w:p>
            <w:pPr>
              <w:spacing w:after="0"/>
              <w:rPr>
                <w:sz w:val="18"/>
                <w:szCs w:val="18"/>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27,653</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25,196</w:t>
            </w:r>
          </w:p>
        </w:tc>
        <w:tc>
          <w:tcPr>
            <w:tcW w:w="42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30,435</w:t>
            </w:r>
          </w:p>
        </w:tc>
        <w:tc>
          <w:tcPr>
            <w:tcW w:w="0" w:type="dxa"/>
            <w:vAlign w:val="bottom"/>
          </w:tcPr>
          <w:p>
            <w:pPr>
              <w:spacing w:after="0"/>
              <w:rPr>
                <w:sz w:val="1"/>
                <w:szCs w:val="1"/>
                <w:color w:val="auto"/>
              </w:rPr>
            </w:pPr>
          </w:p>
        </w:tc>
      </w:tr>
      <w:tr>
        <w:trPr>
          <w:trHeight w:val="216"/>
        </w:trPr>
        <w:tc>
          <w:tcPr>
            <w:tcW w:w="66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Depreciation of equipment and leasehold improvements</w:t>
            </w:r>
          </w:p>
        </w:tc>
        <w:tc>
          <w:tcPr>
            <w:tcW w:w="3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1,578</w:t>
            </w:r>
          </w:p>
        </w:tc>
        <w:tc>
          <w:tcPr>
            <w:tcW w:w="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1,457</w:t>
            </w:r>
          </w:p>
        </w:tc>
        <w:tc>
          <w:tcPr>
            <w:tcW w:w="4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1,371</w:t>
            </w:r>
          </w:p>
        </w:tc>
        <w:tc>
          <w:tcPr>
            <w:tcW w:w="0" w:type="dxa"/>
            <w:vAlign w:val="bottom"/>
          </w:tcPr>
          <w:p>
            <w:pPr>
              <w:spacing w:after="0"/>
              <w:rPr>
                <w:sz w:val="1"/>
                <w:szCs w:val="1"/>
                <w:color w:val="auto"/>
              </w:rPr>
            </w:pPr>
          </w:p>
        </w:tc>
      </w:tr>
      <w:tr>
        <w:trPr>
          <w:trHeight w:val="216"/>
        </w:trPr>
        <w:tc>
          <w:tcPr>
            <w:tcW w:w="6640" w:type="dxa"/>
            <w:vAlign w:val="bottom"/>
          </w:tcPr>
          <w:p>
            <w:pPr>
              <w:ind w:left="180"/>
              <w:spacing w:after="0"/>
              <w:rPr>
                <w:sz w:val="20"/>
                <w:szCs w:val="20"/>
                <w:color w:val="auto"/>
              </w:rPr>
            </w:pPr>
            <w:r>
              <w:rPr>
                <w:rFonts w:ascii="Arial" w:cs="Arial" w:eastAsia="Arial" w:hAnsi="Arial"/>
                <w:sz w:val="18"/>
                <w:szCs w:val="18"/>
                <w:color w:val="auto"/>
              </w:rPr>
              <w:t>Amortization of intangible assets</w:t>
            </w:r>
          </w:p>
        </w:tc>
        <w:tc>
          <w:tcPr>
            <w:tcW w:w="300" w:type="dxa"/>
            <w:vAlign w:val="bottom"/>
          </w:tcPr>
          <w:p>
            <w:pPr>
              <w:spacing w:after="0"/>
              <w:rPr>
                <w:sz w:val="18"/>
                <w:szCs w:val="18"/>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838</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629</w:t>
            </w:r>
          </w:p>
        </w:tc>
        <w:tc>
          <w:tcPr>
            <w:tcW w:w="42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596</w:t>
            </w:r>
          </w:p>
        </w:tc>
        <w:tc>
          <w:tcPr>
            <w:tcW w:w="0" w:type="dxa"/>
            <w:vAlign w:val="bottom"/>
          </w:tcPr>
          <w:p>
            <w:pPr>
              <w:spacing w:after="0"/>
              <w:rPr>
                <w:sz w:val="1"/>
                <w:szCs w:val="1"/>
                <w:color w:val="auto"/>
              </w:rPr>
            </w:pPr>
          </w:p>
        </w:tc>
      </w:tr>
      <w:tr>
        <w:trPr>
          <w:trHeight w:val="230"/>
        </w:trPr>
        <w:tc>
          <w:tcPr>
            <w:tcW w:w="66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expenses</w:t>
            </w:r>
          </w:p>
        </w:tc>
        <w:tc>
          <w:tcPr>
            <w:tcW w:w="30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16,806</w:t>
            </w:r>
          </w:p>
        </w:tc>
        <w:tc>
          <w:tcPr>
            <w:tcW w:w="8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18,532</w:t>
            </w:r>
          </w:p>
        </w:tc>
        <w:tc>
          <w:tcPr>
            <w:tcW w:w="42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19,382</w:t>
            </w:r>
          </w:p>
        </w:tc>
        <w:tc>
          <w:tcPr>
            <w:tcW w:w="0" w:type="dxa"/>
            <w:vAlign w:val="bottom"/>
          </w:tcPr>
          <w:p>
            <w:pPr>
              <w:spacing w:after="0"/>
              <w:rPr>
                <w:sz w:val="1"/>
                <w:szCs w:val="1"/>
                <w:color w:val="auto"/>
              </w:rPr>
            </w:pPr>
          </w:p>
        </w:tc>
      </w:tr>
      <w:tr>
        <w:trPr>
          <w:trHeight w:val="20"/>
        </w:trPr>
        <w:tc>
          <w:tcPr>
            <w:tcW w:w="6640" w:type="dxa"/>
            <w:vAlign w:val="bottom"/>
            <w:vMerge w:val="restart"/>
          </w:tcPr>
          <w:p>
            <w:pPr>
              <w:spacing w:after="0" w:line="269" w:lineRule="exact"/>
              <w:rPr>
                <w:sz w:val="20"/>
                <w:szCs w:val="20"/>
                <w:color w:val="auto"/>
              </w:rPr>
            </w:pPr>
            <w:r>
              <w:rPr>
                <w:rFonts w:ascii="Arial" w:cs="Arial" w:eastAsia="Arial" w:hAnsi="Arial"/>
                <w:sz w:val="18"/>
                <w:szCs w:val="18"/>
                <w:color w:val="auto"/>
              </w:rPr>
              <w:t xml:space="preserve">Total operating expenses </w:t>
            </w:r>
            <w:r>
              <w:rPr>
                <w:rFonts w:ascii="Arial" w:cs="Arial" w:eastAsia="Arial" w:hAnsi="Arial"/>
                <w:sz w:val="30"/>
                <w:szCs w:val="30"/>
                <w:color w:val="auto"/>
                <w:vertAlign w:val="superscript"/>
              </w:rPr>
              <w:t>(2)</w:t>
            </w:r>
          </w:p>
        </w:tc>
        <w:tc>
          <w:tcPr>
            <w:tcW w:w="30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6640" w:type="dxa"/>
            <w:vAlign w:val="bottom"/>
            <w:vMerge w:val="continue"/>
          </w:tcPr>
          <w:p>
            <w:pPr>
              <w:spacing w:after="0"/>
              <w:rPr>
                <w:sz w:val="21"/>
                <w:szCs w:val="21"/>
                <w:color w:val="auto"/>
              </w:rPr>
            </w:pPr>
          </w:p>
        </w:tc>
        <w:tc>
          <w:tcPr>
            <w:tcW w:w="300" w:type="dxa"/>
            <w:vAlign w:val="bottom"/>
          </w:tcPr>
          <w:p>
            <w:pPr>
              <w:spacing w:after="0"/>
              <w:rPr>
                <w:sz w:val="21"/>
                <w:szCs w:val="21"/>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46,875</w:t>
            </w:r>
          </w:p>
        </w:tc>
        <w:tc>
          <w:tcPr>
            <w:tcW w:w="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45,814</w:t>
            </w:r>
          </w:p>
        </w:tc>
        <w:tc>
          <w:tcPr>
            <w:tcW w:w="420" w:type="dxa"/>
            <w:vAlign w:val="bottom"/>
          </w:tcPr>
          <w:p>
            <w:pPr>
              <w:spacing w:after="0"/>
              <w:rPr>
                <w:sz w:val="21"/>
                <w:szCs w:val="21"/>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51,784</w:t>
            </w:r>
          </w:p>
        </w:tc>
        <w:tc>
          <w:tcPr>
            <w:tcW w:w="0" w:type="dxa"/>
            <w:vAlign w:val="bottom"/>
          </w:tcPr>
          <w:p>
            <w:pPr>
              <w:spacing w:after="0"/>
              <w:rPr>
                <w:sz w:val="1"/>
                <w:szCs w:val="1"/>
                <w:color w:val="auto"/>
              </w:rPr>
            </w:pPr>
          </w:p>
        </w:tc>
      </w:tr>
      <w:tr>
        <w:trPr>
          <w:trHeight w:val="210"/>
        </w:trPr>
        <w:tc>
          <w:tcPr>
            <w:tcW w:w="6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expenses</w:t>
            </w:r>
          </w:p>
        </w:tc>
        <w:tc>
          <w:tcPr>
            <w:tcW w:w="300" w:type="dxa"/>
            <w:vAlign w:val="bottom"/>
            <w:tcBorders>
              <w:top w:val="single" w:sz="8" w:color="auto"/>
              <w:bottom w:val="single" w:sz="8" w:color="auto"/>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56,314</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80,929</w:t>
            </w:r>
          </w:p>
        </w:tc>
        <w:tc>
          <w:tcPr>
            <w:tcW w:w="28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69,874</w:t>
            </w: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664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year</w:t>
            </w:r>
          </w:p>
        </w:tc>
        <w:tc>
          <w:tcPr>
            <w:tcW w:w="300" w:type="dxa"/>
            <w:vAlign w:val="bottom"/>
            <w:tcBorders>
              <w:bottom w:val="single" w:sz="8" w:color="auto"/>
            </w:tcBorders>
          </w:tcPr>
          <w:p>
            <w:pPr>
              <w:jc w:val="right"/>
              <w:ind w:right="142"/>
              <w:spacing w:after="0"/>
              <w:rPr>
                <w:sz w:val="20"/>
                <w:szCs w:val="20"/>
                <w:color w:val="auto"/>
              </w:rPr>
            </w:pPr>
            <w:r>
              <w:rPr>
                <w:rFonts w:ascii="Arial" w:cs="Arial" w:eastAsia="Arial" w:hAnsi="Arial"/>
                <w:sz w:val="15"/>
                <w:szCs w:val="15"/>
                <w:b w:val="1"/>
                <w:bCs w:val="1"/>
                <w:color w:val="auto"/>
                <w:w w:val="71"/>
              </w:rPr>
              <w:t>$</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81,999</w:t>
            </w:r>
          </w:p>
        </w:tc>
        <w:tc>
          <w:tcPr>
            <w:tcW w:w="2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280" w:type="dxa"/>
            <w:vAlign w:val="bottom"/>
            <w:tcBorders>
              <w:bottom w:val="single" w:sz="8" w:color="auto"/>
            </w:tcBorders>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87,045</w:t>
            </w:r>
          </w:p>
        </w:tc>
        <w:tc>
          <w:tcPr>
            <w:tcW w:w="280" w:type="dxa"/>
            <w:vAlign w:val="bottom"/>
            <w:tcBorders>
              <w:bottom w:val="single" w:sz="8" w:color="CCEEFF"/>
            </w:tcBorders>
          </w:tcPr>
          <w:p>
            <w:pPr>
              <w:spacing w:after="0"/>
              <w:rPr>
                <w:sz w:val="22"/>
                <w:szCs w:val="22"/>
                <w:color w:val="auto"/>
              </w:rPr>
            </w:pPr>
          </w:p>
        </w:tc>
        <w:tc>
          <w:tcPr>
            <w:tcW w:w="42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w w:val="79"/>
              </w:rPr>
              <w:t>$</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103,984</w:t>
            </w:r>
          </w:p>
        </w:tc>
        <w:tc>
          <w:tcPr>
            <w:tcW w:w="16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6640" w:type="dxa"/>
            <w:vAlign w:val="bottom"/>
            <w:shd w:val="clear" w:color="auto" w:fill="CCEEFF"/>
          </w:tcPr>
          <w:p>
            <w:pPr>
              <w:spacing w:after="0" w:line="196" w:lineRule="exact"/>
              <w:rPr>
                <w:sz w:val="20"/>
                <w:szCs w:val="20"/>
                <w:color w:val="auto"/>
              </w:rPr>
            </w:pPr>
            <w:r>
              <w:rPr>
                <w:rFonts w:ascii="Arial" w:cs="Arial" w:eastAsia="Arial" w:hAnsi="Arial"/>
                <w:sz w:val="18"/>
                <w:szCs w:val="18"/>
                <w:b w:val="1"/>
                <w:bCs w:val="1"/>
                <w:color w:val="auto"/>
              </w:rPr>
              <w:t>Basic earnings per share</w:t>
            </w:r>
          </w:p>
        </w:tc>
        <w:tc>
          <w:tcPr>
            <w:tcW w:w="300" w:type="dxa"/>
            <w:vAlign w:val="bottom"/>
            <w:shd w:val="clear" w:color="auto" w:fill="CCEEFF"/>
          </w:tcPr>
          <w:p>
            <w:pPr>
              <w:jc w:val="right"/>
              <w:ind w:right="142"/>
              <w:spacing w:after="0"/>
              <w:rPr>
                <w:sz w:val="20"/>
                <w:szCs w:val="20"/>
                <w:color w:val="auto"/>
              </w:rPr>
            </w:pPr>
            <w:r>
              <w:rPr>
                <w:rFonts w:ascii="Arial" w:cs="Arial" w:eastAsia="Arial" w:hAnsi="Arial"/>
                <w:sz w:val="15"/>
                <w:szCs w:val="15"/>
                <w:b w:val="1"/>
                <w:bCs w:val="1"/>
                <w:color w:val="auto"/>
                <w:w w:val="71"/>
              </w:rPr>
              <w:t>$</w:t>
            </w:r>
          </w:p>
        </w:tc>
        <w:tc>
          <w:tcPr>
            <w:tcW w:w="104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2.09</w:t>
            </w:r>
          </w:p>
        </w:tc>
        <w:tc>
          <w:tcPr>
            <w:tcW w:w="2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80" w:type="dxa"/>
            <w:vAlign w:val="bottom"/>
            <w:shd w:val="clear" w:color="auto" w:fill="CCEEFF"/>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106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2.23</w:t>
            </w:r>
          </w:p>
        </w:tc>
        <w:tc>
          <w:tcPr>
            <w:tcW w:w="280" w:type="dxa"/>
            <w:vAlign w:val="bottom"/>
            <w:shd w:val="clear" w:color="auto" w:fill="CCEEFF"/>
          </w:tcPr>
          <w:p>
            <w:pPr>
              <w:spacing w:after="0"/>
              <w:rPr>
                <w:sz w:val="17"/>
                <w:szCs w:val="17"/>
                <w:color w:val="auto"/>
              </w:rPr>
            </w:pPr>
          </w:p>
        </w:tc>
        <w:tc>
          <w:tcPr>
            <w:tcW w:w="420" w:type="dxa"/>
            <w:vAlign w:val="bottom"/>
            <w:shd w:val="clear" w:color="auto" w:fill="CCEEFF"/>
          </w:tcPr>
          <w:p>
            <w:pPr>
              <w:jc w:val="right"/>
              <w:ind w:right="230"/>
              <w:spacing w:after="0" w:line="196" w:lineRule="exact"/>
              <w:rPr>
                <w:sz w:val="20"/>
                <w:szCs w:val="20"/>
                <w:color w:val="auto"/>
              </w:rPr>
            </w:pPr>
            <w:r>
              <w:rPr>
                <w:rFonts w:ascii="Arial" w:cs="Arial" w:eastAsia="Arial" w:hAnsi="Arial"/>
                <w:sz w:val="18"/>
                <w:szCs w:val="18"/>
                <w:b w:val="1"/>
                <w:bCs w:val="1"/>
                <w:color w:val="auto"/>
                <w:w w:val="79"/>
              </w:rPr>
              <w:t>$</w:t>
            </w:r>
          </w:p>
        </w:tc>
        <w:tc>
          <w:tcPr>
            <w:tcW w:w="94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2.67</w:t>
            </w: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640" w:type="dxa"/>
            <w:vAlign w:val="bottom"/>
          </w:tcPr>
          <w:p>
            <w:pPr>
              <w:spacing w:after="0"/>
              <w:rPr>
                <w:sz w:val="20"/>
                <w:szCs w:val="20"/>
                <w:color w:val="auto"/>
              </w:rPr>
            </w:pPr>
            <w:r>
              <w:rPr>
                <w:rFonts w:ascii="Arial" w:cs="Arial" w:eastAsia="Arial" w:hAnsi="Arial"/>
                <w:sz w:val="18"/>
                <w:szCs w:val="18"/>
                <w:color w:val="auto"/>
              </w:rPr>
              <w:t>Diluted earnings per share</w:t>
            </w:r>
          </w:p>
        </w:tc>
        <w:tc>
          <w:tcPr>
            <w:tcW w:w="300" w:type="dxa"/>
            <w:vAlign w:val="bottom"/>
          </w:tcPr>
          <w:p>
            <w:pPr>
              <w:jc w:val="right"/>
              <w:ind w:right="142"/>
              <w:spacing w:after="0"/>
              <w:rPr>
                <w:sz w:val="20"/>
                <w:szCs w:val="20"/>
                <w:color w:val="auto"/>
              </w:rPr>
            </w:pPr>
            <w:r>
              <w:rPr>
                <w:rFonts w:ascii="Arial" w:cs="Arial" w:eastAsia="Arial" w:hAnsi="Arial"/>
                <w:sz w:val="15"/>
                <w:szCs w:val="15"/>
                <w:color w:val="auto"/>
                <w:w w:val="71"/>
              </w:rPr>
              <w:t>$</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2.08</w:t>
            </w:r>
          </w:p>
        </w:tc>
        <w:tc>
          <w:tcPr>
            <w:tcW w:w="360" w:type="dxa"/>
            <w:vAlign w:val="bottom"/>
            <w:gridSpan w:val="2"/>
          </w:tcPr>
          <w:p>
            <w:pPr>
              <w:jc w:val="right"/>
              <w:ind w:right="125"/>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2.22</w:t>
            </w:r>
          </w:p>
        </w:tc>
        <w:tc>
          <w:tcPr>
            <w:tcW w:w="420" w:type="dxa"/>
            <w:vAlign w:val="bottom"/>
          </w:tcPr>
          <w:p>
            <w:pPr>
              <w:jc w:val="right"/>
              <w:ind w:right="230"/>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2.66</w:t>
            </w:r>
          </w:p>
        </w:tc>
        <w:tc>
          <w:tcPr>
            <w:tcW w:w="0" w:type="dxa"/>
            <w:vAlign w:val="bottom"/>
          </w:tcPr>
          <w:p>
            <w:pPr>
              <w:spacing w:after="0"/>
              <w:rPr>
                <w:sz w:val="1"/>
                <w:szCs w:val="1"/>
                <w:color w:val="auto"/>
              </w:rPr>
            </w:pPr>
          </w:p>
        </w:tc>
      </w:tr>
      <w:tr>
        <w:trPr>
          <w:trHeight w:val="216"/>
        </w:trPr>
        <w:tc>
          <w:tcPr>
            <w:tcW w:w="664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basic shares</w:t>
            </w:r>
          </w:p>
        </w:tc>
        <w:tc>
          <w:tcPr>
            <w:tcW w:w="3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39,311</w:t>
            </w:r>
          </w:p>
        </w:tc>
        <w:tc>
          <w:tcPr>
            <w:tcW w:w="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39,085</w:t>
            </w:r>
          </w:p>
        </w:tc>
        <w:tc>
          <w:tcPr>
            <w:tcW w:w="4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38,925</w:t>
            </w:r>
          </w:p>
        </w:tc>
        <w:tc>
          <w:tcPr>
            <w:tcW w:w="0" w:type="dxa"/>
            <w:vAlign w:val="bottom"/>
          </w:tcPr>
          <w:p>
            <w:pPr>
              <w:spacing w:after="0"/>
              <w:rPr>
                <w:sz w:val="1"/>
                <w:szCs w:val="1"/>
                <w:color w:val="auto"/>
              </w:rPr>
            </w:pPr>
          </w:p>
        </w:tc>
      </w:tr>
      <w:tr>
        <w:trPr>
          <w:trHeight w:val="216"/>
        </w:trPr>
        <w:tc>
          <w:tcPr>
            <w:tcW w:w="6640" w:type="dxa"/>
            <w:vAlign w:val="bottom"/>
          </w:tcPr>
          <w:p>
            <w:pPr>
              <w:spacing w:after="0"/>
              <w:rPr>
                <w:sz w:val="20"/>
                <w:szCs w:val="20"/>
                <w:color w:val="auto"/>
              </w:rPr>
            </w:pPr>
            <w:r>
              <w:rPr>
                <w:rFonts w:ascii="Arial" w:cs="Arial" w:eastAsia="Arial" w:hAnsi="Arial"/>
                <w:sz w:val="18"/>
                <w:szCs w:val="18"/>
                <w:color w:val="auto"/>
              </w:rPr>
              <w:t>Weighted average diluted shares</w:t>
            </w:r>
          </w:p>
        </w:tc>
        <w:tc>
          <w:tcPr>
            <w:tcW w:w="300" w:type="dxa"/>
            <w:vAlign w:val="bottom"/>
          </w:tcPr>
          <w:p>
            <w:pPr>
              <w:spacing w:after="0"/>
              <w:rPr>
                <w:sz w:val="18"/>
                <w:szCs w:val="18"/>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39,329</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39,210</w:t>
            </w:r>
          </w:p>
        </w:tc>
        <w:tc>
          <w:tcPr>
            <w:tcW w:w="42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39,113</w:t>
            </w:r>
          </w:p>
        </w:tc>
        <w:tc>
          <w:tcPr>
            <w:tcW w:w="0" w:type="dxa"/>
            <w:vAlign w:val="bottom"/>
          </w:tcPr>
          <w:p>
            <w:pPr>
              <w:spacing w:after="0"/>
              <w:rPr>
                <w:sz w:val="1"/>
                <w:szCs w:val="1"/>
                <w:color w:val="auto"/>
              </w:rPr>
            </w:pPr>
          </w:p>
        </w:tc>
      </w:tr>
      <w:tr>
        <w:trPr>
          <w:trHeight w:val="257"/>
        </w:trPr>
        <w:tc>
          <w:tcPr>
            <w:tcW w:w="66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total assets </w:t>
            </w:r>
            <w:r>
              <w:rPr>
                <w:rFonts w:ascii="Arial" w:cs="Arial" w:eastAsia="Arial" w:hAnsi="Arial"/>
                <w:sz w:val="29"/>
                <w:szCs w:val="29"/>
                <w:color w:val="auto"/>
                <w:vertAlign w:val="superscript"/>
              </w:rPr>
              <w:t>(3)</w:t>
            </w:r>
          </w:p>
        </w:tc>
        <w:tc>
          <w:tcPr>
            <w:tcW w:w="30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1.27%</w:t>
            </w:r>
          </w:p>
        </w:tc>
        <w:tc>
          <w:tcPr>
            <w:tcW w:w="8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1.16%</w:t>
            </w:r>
          </w:p>
        </w:tc>
        <w:tc>
          <w:tcPr>
            <w:tcW w:w="42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1.32%</w:t>
            </w:r>
          </w:p>
        </w:tc>
        <w:tc>
          <w:tcPr>
            <w:tcW w:w="0" w:type="dxa"/>
            <w:vAlign w:val="bottom"/>
          </w:tcPr>
          <w:p>
            <w:pPr>
              <w:spacing w:after="0"/>
              <w:rPr>
                <w:sz w:val="1"/>
                <w:szCs w:val="1"/>
                <w:color w:val="auto"/>
              </w:rPr>
            </w:pPr>
          </w:p>
        </w:tc>
      </w:tr>
      <w:tr>
        <w:trPr>
          <w:trHeight w:val="390"/>
        </w:trPr>
        <w:tc>
          <w:tcPr>
            <w:tcW w:w="6640" w:type="dxa"/>
            <w:vAlign w:val="bottom"/>
          </w:tcPr>
          <w:p>
            <w:pPr>
              <w:spacing w:after="0"/>
              <w:rPr>
                <w:sz w:val="20"/>
                <w:szCs w:val="20"/>
                <w:color w:val="auto"/>
              </w:rPr>
            </w:pPr>
            <w:r>
              <w:rPr>
                <w:rFonts w:ascii="Arial" w:cs="Arial" w:eastAsia="Arial" w:hAnsi="Arial"/>
                <w:sz w:val="18"/>
                <w:szCs w:val="18"/>
                <w:color w:val="auto"/>
              </w:rPr>
              <w:t xml:space="preserve">Return on average total stockholders’ equity </w:t>
            </w:r>
            <w:r>
              <w:rPr>
                <w:rFonts w:ascii="Arial" w:cs="Arial" w:eastAsia="Arial" w:hAnsi="Arial"/>
                <w:sz w:val="30"/>
                <w:szCs w:val="30"/>
                <w:color w:val="auto"/>
                <w:vertAlign w:val="superscript"/>
              </w:rPr>
              <w:t>(4)</w:t>
            </w:r>
          </w:p>
        </w:tc>
        <w:tc>
          <w:tcPr>
            <w:tcW w:w="300" w:type="dxa"/>
            <w:vAlign w:val="bottom"/>
          </w:tcPr>
          <w:p>
            <w:pPr>
              <w:spacing w:after="0"/>
              <w:rPr>
                <w:sz w:val="24"/>
                <w:szCs w:val="24"/>
                <w:color w:val="auto"/>
              </w:rPr>
            </w:pPr>
          </w:p>
        </w:tc>
        <w:tc>
          <w:tcPr>
            <w:tcW w:w="1260" w:type="dxa"/>
            <w:vAlign w:val="bottom"/>
            <w:gridSpan w:val="2"/>
          </w:tcPr>
          <w:p>
            <w:pPr>
              <w:jc w:val="right"/>
              <w:ind w:right="60"/>
              <w:spacing w:after="0"/>
              <w:rPr>
                <w:sz w:val="20"/>
                <w:szCs w:val="20"/>
                <w:color w:val="auto"/>
              </w:rPr>
            </w:pPr>
            <w:r>
              <w:rPr>
                <w:rFonts w:ascii="Arial" w:cs="Arial" w:eastAsia="Arial" w:hAnsi="Arial"/>
                <w:sz w:val="18"/>
                <w:szCs w:val="18"/>
                <w:color w:val="auto"/>
              </w:rPr>
              <w:t>8.02%</w:t>
            </w:r>
          </w:p>
        </w:tc>
        <w:tc>
          <w:tcPr>
            <w:tcW w:w="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8.76%</w:t>
            </w:r>
          </w:p>
        </w:tc>
        <w:tc>
          <w:tcPr>
            <w:tcW w:w="420" w:type="dxa"/>
            <w:vAlign w:val="bottom"/>
          </w:tcPr>
          <w:p>
            <w:pPr>
              <w:spacing w:after="0"/>
              <w:rPr>
                <w:sz w:val="24"/>
                <w:szCs w:val="24"/>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10.95%</w:t>
            </w:r>
          </w:p>
        </w:tc>
        <w:tc>
          <w:tcPr>
            <w:tcW w:w="0" w:type="dxa"/>
            <w:vAlign w:val="bottom"/>
          </w:tcPr>
          <w:p>
            <w:pPr>
              <w:spacing w:after="0"/>
              <w:rPr>
                <w:sz w:val="1"/>
                <w:szCs w:val="1"/>
                <w:color w:val="auto"/>
              </w:rPr>
            </w:pPr>
          </w:p>
        </w:tc>
      </w:tr>
    </w:tbl>
    <w:p>
      <w:pPr>
        <w:spacing w:after="0" w:line="55" w:lineRule="exact"/>
        <w:rPr>
          <w:sz w:val="20"/>
          <w:szCs w:val="20"/>
          <w:color w:val="auto"/>
        </w:rPr>
      </w:pPr>
    </w:p>
    <w:p>
      <w:pPr>
        <w:ind w:left="340" w:right="20" w:hanging="332"/>
        <w:spacing w:after="0" w:line="194" w:lineRule="auto"/>
        <w:tabs>
          <w:tab w:leader="none" w:pos="340" w:val="left"/>
        </w:tabs>
        <w:numPr>
          <w:ilvl w:val="0"/>
          <w:numId w:val="33"/>
        </w:numPr>
        <w:rPr>
          <w:rFonts w:ascii="Arial" w:cs="Arial" w:eastAsia="Arial" w:hAnsi="Arial"/>
          <w:sz w:val="30"/>
          <w:szCs w:val="30"/>
          <w:color w:val="auto"/>
          <w:vertAlign w:val="superscript"/>
        </w:rPr>
      </w:pPr>
      <w:r>
        <w:rPr>
          <w:rFonts w:ascii="Arial" w:cs="Arial" w:eastAsia="Arial" w:hAnsi="Arial"/>
          <w:sz w:val="18"/>
          <w:szCs w:val="18"/>
          <w:color w:val="auto"/>
        </w:rPr>
        <w:t>Includes the net gain (loss) on investment funds recorded in 2016 and 2015 as gain (loss) on financial instruments at fair value through profit or loss. See Item 18, “Financial Statements,” note 22.</w:t>
      </w:r>
    </w:p>
    <w:p>
      <w:pPr>
        <w:jc w:val="both"/>
        <w:ind w:left="340" w:hanging="332"/>
        <w:spacing w:after="0" w:line="243" w:lineRule="auto"/>
        <w:tabs>
          <w:tab w:leader="none" w:pos="340" w:val="left"/>
        </w:tabs>
        <w:numPr>
          <w:ilvl w:val="0"/>
          <w:numId w:val="33"/>
        </w:numPr>
        <w:rPr>
          <w:rFonts w:ascii="Arial" w:cs="Arial" w:eastAsia="Arial" w:hAnsi="Arial"/>
          <w:sz w:val="26"/>
          <w:szCs w:val="26"/>
          <w:color w:val="auto"/>
          <w:vertAlign w:val="superscript"/>
        </w:rPr>
      </w:pPr>
      <w:r>
        <w:rPr>
          <w:rFonts w:ascii="Arial" w:cs="Arial" w:eastAsia="Arial" w:hAnsi="Arial"/>
          <w:sz w:val="16"/>
          <w:szCs w:val="16"/>
          <w:color w:val="auto"/>
        </w:rPr>
        <w:t>Operating expenses, which are presented as part of total expenses in the Bank’s consolidated statements of profit or loss, does not include the effects of impairment loss or recovery from expected credit losses on loans at amortized cost, investment securities, and loan commitments and financial guarantee contracts, as the Bank believes such items, which are based on management estimates and are related to the ECL of the Bank’s Credit Portfolio, may distort trend analysis. See Item 5.A., “Operating and Financial Review and Prospects—Operating Results—Operating Expenses.”</w:t>
      </w:r>
    </w:p>
    <w:p>
      <w:pPr>
        <w:spacing w:after="0" w:line="2" w:lineRule="exact"/>
        <w:rPr>
          <w:rFonts w:ascii="Arial" w:cs="Arial" w:eastAsia="Arial" w:hAnsi="Arial"/>
          <w:sz w:val="26"/>
          <w:szCs w:val="26"/>
          <w:color w:val="auto"/>
          <w:vertAlign w:val="superscript"/>
        </w:rPr>
      </w:pPr>
    </w:p>
    <w:p>
      <w:pPr>
        <w:ind w:left="340" w:hanging="332"/>
        <w:spacing w:after="0" w:line="180" w:lineRule="auto"/>
        <w:tabs>
          <w:tab w:leader="none" w:pos="340" w:val="left"/>
        </w:tabs>
        <w:numPr>
          <w:ilvl w:val="0"/>
          <w:numId w:val="33"/>
        </w:numPr>
        <w:rPr>
          <w:rFonts w:ascii="Arial" w:cs="Arial" w:eastAsia="Arial" w:hAnsi="Arial"/>
          <w:sz w:val="25"/>
          <w:szCs w:val="25"/>
          <w:color w:val="auto"/>
          <w:vertAlign w:val="superscript"/>
        </w:rPr>
      </w:pPr>
      <w:r>
        <w:rPr>
          <w:rFonts w:ascii="Arial" w:cs="Arial" w:eastAsia="Arial" w:hAnsi="Arial"/>
          <w:sz w:val="16"/>
          <w:szCs w:val="16"/>
          <w:color w:val="auto"/>
        </w:rPr>
        <w:t>Average total assets calculated on the basis of unaudited average balances.</w:t>
      </w:r>
    </w:p>
    <w:p>
      <w:pPr>
        <w:spacing w:after="0" w:line="2" w:lineRule="exact"/>
        <w:rPr>
          <w:rFonts w:ascii="Arial" w:cs="Arial" w:eastAsia="Arial" w:hAnsi="Arial"/>
          <w:sz w:val="25"/>
          <w:szCs w:val="25"/>
          <w:color w:val="auto"/>
          <w:vertAlign w:val="superscript"/>
        </w:rPr>
      </w:pPr>
    </w:p>
    <w:p>
      <w:pPr>
        <w:ind w:left="340" w:hanging="332"/>
        <w:spacing w:after="0" w:line="186" w:lineRule="auto"/>
        <w:tabs>
          <w:tab w:leader="none" w:pos="340" w:val="left"/>
        </w:tabs>
        <w:numPr>
          <w:ilvl w:val="0"/>
          <w:numId w:val="33"/>
        </w:numPr>
        <w:rPr>
          <w:rFonts w:ascii="Arial" w:cs="Arial" w:eastAsia="Arial" w:hAnsi="Arial"/>
          <w:sz w:val="24"/>
          <w:szCs w:val="24"/>
          <w:color w:val="auto"/>
          <w:vertAlign w:val="superscript"/>
        </w:rPr>
      </w:pPr>
      <w:r>
        <w:rPr>
          <w:rFonts w:ascii="Arial" w:cs="Arial" w:eastAsia="Arial" w:hAnsi="Arial"/>
          <w:sz w:val="15"/>
          <w:szCs w:val="15"/>
          <w:color w:val="auto"/>
        </w:rPr>
        <w:t>Average total stockholders’ equity calculated on the basis of unaudited average balances.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4" w:name="page45"/>
    <w:bookmarkEnd w:id="44"/>
    <w:p>
      <w:pPr>
        <w:spacing w:after="0"/>
        <w:rPr>
          <w:sz w:val="20"/>
          <w:szCs w:val="20"/>
          <w:color w:val="auto"/>
        </w:rPr>
      </w:pPr>
      <w:r>
        <w:rPr>
          <w:rFonts w:ascii="Arial" w:cs="Arial" w:eastAsia="Arial" w:hAnsi="Arial"/>
          <w:sz w:val="18"/>
          <w:szCs w:val="18"/>
          <w:b w:val="1"/>
          <w:bCs w:val="1"/>
          <w:i w:val="1"/>
          <w:iCs w:val="1"/>
          <w:color w:val="auto"/>
        </w:rPr>
        <w:t>Profit for the year</w:t>
      </w:r>
    </w:p>
    <w:p>
      <w:pPr>
        <w:spacing w:after="0" w:line="225"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The Bank’s profit for the year 2017 totaled $82.0 million, compared to $87.0 million in 2016. The $5.0 million, or 6%, decrease was mostly attributable to: (i) lower net interest income from reduced average loan balances and narrower lending spreads, as the Bank mitigated lending risk and diversified its portfolio mix, as well as shortened the average tenor of its portfolio, and (ii) non-recurring personnel-change related expenses, resulting in $3.2 million in charges for 2017, both of which were mostly offset by the positive effects of: (i) improved credit quality reflected in lower impairment loss from ECL, (ii) strong annual growth in fee income from its letters of credit business and structuring / syndication activity, (iii) the absence of non-core trading losses, as the Bank completely divested from its participation in investment funds during 2016, and (iv) a decrease in recurring operating expenses (excluding personnel-change related expenses), which reflected the Bank’s focus on efficiency through technology, processes and structural improvements.</w:t>
      </w:r>
    </w:p>
    <w:p>
      <w:pPr>
        <w:spacing w:after="0" w:line="167"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Profit for the year 2016 totaled $87.0 million, compared to $104.0 million in 2015. The $16.9 million, or 16%, decrease was primarily attributable to: (i) higher impairment loss from ECL on loans, as the Bank recorded individually assessed lifetime ECL for certain exposures with increased credit risk undergoing restructuring and recovery efforts, along with (ii) a $9.5 million adverse swing in non-core trading results from the Bank’s former participation in the investment funds, and (iii) lower fees and commissions, mainly due to reduced activity in letters of credit, financial guarantees and credit commitments, as well as slightly lower fees from the loan structuring and syndication business in the context of a significant volume decrease in the relevant Latin American debt capital markets during the year. These factors were partially offset by (i) higher net interest income mostly driven by increased financial margins that helped offset the effect of reduced average loan balances, primarily from the Bank’s efforts to reduce certain country, industry and client risk concentrations, and (ii) a 12% decrease in operating expenses from both lower performance-based variable compensation expense and cost saving activities in other expense categories.</w:t>
      </w:r>
    </w:p>
    <w:p>
      <w:pPr>
        <w:spacing w:after="0" w:line="19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Business Segment Analysis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Bank’s activities are managed and executed in two business segments: Commercial and Treasury.</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14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net interest income represents the main driver of profits for the year. Interest income is generated by interest-earning assets which include loans, financial instruments at FVTPL, securities at FVOCI and investment securities at amortized cost. Interest expense is allocated to interest-earning assets on a matched-funded basis, net of risk adjusted capital allocated by business segment. The operating expense allocation methodology assigns overhead expenses based on resource consumption by business segment. The following table summarizes the Bank’s profits, both by business segment and on a consolidated basis for the periods indicated:</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95" w:right="239" w:bottom="1440" w:gutter="0" w:footer="0" w:header="0"/>
        </w:sectPr>
      </w:pPr>
    </w:p>
    <w:bookmarkStart w:id="45" w:name="page46"/>
    <w:bookmarkEnd w:id="45"/>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67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3140" w:type="dxa"/>
            <w:vAlign w:val="bottom"/>
            <w:tcBorders>
              <w:bottom w:val="single" w:sz="8" w:color="auto"/>
            </w:tcBorders>
            <w:gridSpan w:val="8"/>
          </w:tcPr>
          <w:p>
            <w:pPr>
              <w:jc w:val="right"/>
              <w:spacing w:after="0"/>
              <w:rPr>
                <w:sz w:val="20"/>
                <w:szCs w:val="20"/>
                <w:color w:val="auto"/>
              </w:rPr>
            </w:pPr>
            <w:r>
              <w:rPr>
                <w:rFonts w:ascii="Arial" w:cs="Arial" w:eastAsia="Arial" w:hAnsi="Arial"/>
                <w:sz w:val="18"/>
                <w:szCs w:val="18"/>
                <w:b w:val="1"/>
                <w:bCs w:val="1"/>
                <w:color w:val="auto"/>
              </w:rPr>
              <w:t>For the Year Ended December 31,</w:t>
            </w:r>
          </w:p>
        </w:tc>
        <w:tc>
          <w:tcPr>
            <w:tcW w:w="8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7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1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4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4"/>
              </w:rPr>
              <w:t>2015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940" w:type="dxa"/>
            <w:vAlign w:val="bottom"/>
            <w:gridSpan w:val="9"/>
          </w:tcPr>
          <w:p>
            <w:pPr>
              <w:jc w:val="right"/>
              <w:ind w:right="650"/>
              <w:spacing w:after="0"/>
              <w:rPr>
                <w:sz w:val="20"/>
                <w:szCs w:val="20"/>
                <w:color w:val="auto"/>
              </w:rPr>
            </w:pPr>
            <w:r>
              <w:rPr>
                <w:rFonts w:ascii="Arial" w:cs="Arial" w:eastAsia="Arial" w:hAnsi="Arial"/>
                <w:sz w:val="18"/>
                <w:szCs w:val="18"/>
                <w:b w:val="1"/>
                <w:bCs w:val="1"/>
                <w:color w:val="auto"/>
              </w:rPr>
              <w:t>(in $ thousands, except percentages)</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COMMERCIAL:</w:t>
            </w:r>
          </w:p>
        </w:tc>
        <w:tc>
          <w:tcPr>
            <w:tcW w:w="3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2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640" w:type="dxa"/>
            <w:vAlign w:val="bottom"/>
            <w:gridSpan w:val="2"/>
          </w:tcPr>
          <w:p>
            <w:pPr>
              <w:jc w:val="right"/>
              <w:ind w:right="125"/>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120,581</w:t>
            </w:r>
          </w:p>
        </w:tc>
        <w:tc>
          <w:tcPr>
            <w:tcW w:w="360" w:type="dxa"/>
            <w:vAlign w:val="bottom"/>
            <w:gridSpan w:val="2"/>
          </w:tcPr>
          <w:p>
            <w:pPr>
              <w:jc w:val="right"/>
              <w:ind w:right="105"/>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140,375</w:t>
            </w:r>
          </w:p>
        </w:tc>
        <w:tc>
          <w:tcPr>
            <w:tcW w:w="520" w:type="dxa"/>
            <w:vAlign w:val="bottom"/>
            <w:gridSpan w:val="2"/>
          </w:tcPr>
          <w:p>
            <w:pPr>
              <w:jc w:val="right"/>
              <w:ind w:right="27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127,161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other income</w:t>
            </w:r>
          </w:p>
        </w:tc>
        <w:tc>
          <w:tcPr>
            <w:tcW w:w="3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18,926</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16,333</w:t>
            </w:r>
          </w:p>
        </w:tc>
        <w:tc>
          <w:tcPr>
            <w:tcW w:w="6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21,492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20" w:type="dxa"/>
            <w:vAlign w:val="bottom"/>
          </w:tcPr>
          <w:p>
            <w:pPr>
              <w:ind w:left="160"/>
              <w:spacing w:after="0"/>
              <w:rPr>
                <w:sz w:val="20"/>
                <w:szCs w:val="20"/>
                <w:color w:val="auto"/>
              </w:rPr>
            </w:pPr>
            <w:r>
              <w:rPr>
                <w:rFonts w:ascii="Arial" w:cs="Arial" w:eastAsia="Arial" w:hAnsi="Arial"/>
                <w:sz w:val="18"/>
                <w:szCs w:val="18"/>
                <w:color w:val="auto"/>
              </w:rPr>
              <w:t>Total income</w:t>
            </w:r>
          </w:p>
        </w:tc>
        <w:tc>
          <w:tcPr>
            <w:tcW w:w="36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139,507</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156,708</w:t>
            </w: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148,653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72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w w:val="95"/>
              </w:rPr>
              <w:t>Impairment loss from expected credit losses on loans, loan commitments and financial</w:t>
            </w:r>
          </w:p>
        </w:tc>
        <w:tc>
          <w:tcPr>
            <w:tcW w:w="3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guarantees contracts</w:t>
            </w:r>
          </w:p>
        </w:tc>
        <w:tc>
          <w:tcPr>
            <w:tcW w:w="36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(9,928)</w:t>
            </w:r>
          </w:p>
        </w:tc>
        <w:tc>
          <w:tcPr>
            <w:tcW w:w="1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(35,112)</w:t>
            </w:r>
          </w:p>
        </w:tc>
        <w:tc>
          <w:tcPr>
            <w:tcW w:w="6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(12,800)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720" w:type="dxa"/>
            <w:vAlign w:val="bottom"/>
          </w:tcPr>
          <w:p>
            <w:pPr>
              <w:ind w:left="160"/>
              <w:spacing w:after="0"/>
              <w:rPr>
                <w:sz w:val="20"/>
                <w:szCs w:val="20"/>
                <w:color w:val="auto"/>
              </w:rPr>
            </w:pPr>
            <w:r>
              <w:rPr>
                <w:rFonts w:ascii="Arial" w:cs="Arial" w:eastAsia="Arial" w:hAnsi="Arial"/>
                <w:sz w:val="18"/>
                <w:szCs w:val="18"/>
                <w:color w:val="auto"/>
              </w:rPr>
              <w:t>Expenses, less impairment loss from expected credit losses</w:t>
            </w:r>
          </w:p>
        </w:tc>
        <w:tc>
          <w:tcPr>
            <w:tcW w:w="3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(35,916)</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(34,598)</w:t>
            </w:r>
          </w:p>
        </w:tc>
        <w:tc>
          <w:tcPr>
            <w:tcW w:w="6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900" w:type="dxa"/>
            <w:vAlign w:val="bottom"/>
            <w:gridSpan w:val="2"/>
          </w:tcPr>
          <w:p>
            <w:pPr>
              <w:jc w:val="right"/>
              <w:ind w:right="40"/>
              <w:spacing w:after="0"/>
              <w:rPr>
                <w:sz w:val="20"/>
                <w:szCs w:val="20"/>
                <w:color w:val="auto"/>
              </w:rPr>
            </w:pPr>
            <w:r>
              <w:rPr>
                <w:rFonts w:ascii="Arial" w:cs="Arial" w:eastAsia="Arial" w:hAnsi="Arial"/>
                <w:sz w:val="18"/>
                <w:szCs w:val="18"/>
                <w:color w:val="auto"/>
              </w:rPr>
              <w:t>(40,429)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2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b w:val="1"/>
                <w:bCs w:val="1"/>
                <w:color w:val="auto"/>
              </w:rPr>
              <w:t>Profit for the year</w:t>
            </w:r>
          </w:p>
        </w:tc>
        <w:tc>
          <w:tcPr>
            <w:tcW w:w="36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93,663</w:t>
            </w: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86,998</w:t>
            </w: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460" w:type="dxa"/>
            <w:vAlign w:val="bottom"/>
            <w:tcBorders>
              <w:top w:val="single" w:sz="8" w:color="auto"/>
            </w:tcBorders>
            <w:shd w:val="clear" w:color="auto" w:fill="CCEEFF"/>
          </w:tcPr>
          <w:p>
            <w:pPr>
              <w:jc w:val="right"/>
              <w:ind w:right="27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95,424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7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7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TREASURY:</w:t>
            </w:r>
          </w:p>
        </w:tc>
        <w:tc>
          <w:tcPr>
            <w:tcW w:w="3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2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640" w:type="dxa"/>
            <w:vAlign w:val="bottom"/>
            <w:gridSpan w:val="2"/>
          </w:tcPr>
          <w:p>
            <w:pPr>
              <w:jc w:val="right"/>
              <w:ind w:right="125"/>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(766)</w:t>
            </w:r>
          </w:p>
        </w:tc>
        <w:tc>
          <w:tcPr>
            <w:tcW w:w="360" w:type="dxa"/>
            <w:vAlign w:val="bottom"/>
            <w:gridSpan w:val="2"/>
          </w:tcPr>
          <w:p>
            <w:pPr>
              <w:jc w:val="right"/>
              <w:ind w:right="105"/>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14,834</w:t>
            </w:r>
          </w:p>
        </w:tc>
        <w:tc>
          <w:tcPr>
            <w:tcW w:w="520" w:type="dxa"/>
            <w:vAlign w:val="bottom"/>
            <w:gridSpan w:val="2"/>
          </w:tcPr>
          <w:p>
            <w:pPr>
              <w:jc w:val="right"/>
              <w:ind w:right="27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18,318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other income</w:t>
            </w:r>
          </w:p>
        </w:tc>
        <w:tc>
          <w:tcPr>
            <w:tcW w:w="3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(428)</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(3,568)</w:t>
            </w:r>
          </w:p>
        </w:tc>
        <w:tc>
          <w:tcPr>
            <w:tcW w:w="6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6,887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20" w:type="dxa"/>
            <w:vAlign w:val="bottom"/>
          </w:tcPr>
          <w:p>
            <w:pPr>
              <w:ind w:left="160"/>
              <w:spacing w:after="0"/>
              <w:rPr>
                <w:sz w:val="20"/>
                <w:szCs w:val="20"/>
                <w:color w:val="auto"/>
              </w:rPr>
            </w:pPr>
            <w:r>
              <w:rPr>
                <w:rFonts w:ascii="Arial" w:cs="Arial" w:eastAsia="Arial" w:hAnsi="Arial"/>
                <w:sz w:val="18"/>
                <w:szCs w:val="18"/>
                <w:color w:val="auto"/>
              </w:rPr>
              <w:t>Total income</w:t>
            </w:r>
          </w:p>
        </w:tc>
        <w:tc>
          <w:tcPr>
            <w:tcW w:w="36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(1,194)</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11,266</w:t>
            </w: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25,205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Recovery (impairment loss) from expected credit losses on investment securities</w:t>
            </w:r>
          </w:p>
        </w:tc>
        <w:tc>
          <w:tcPr>
            <w:tcW w:w="3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489</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w:t>
            </w:r>
          </w:p>
        </w:tc>
        <w:tc>
          <w:tcPr>
            <w:tcW w:w="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(5,290)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720" w:type="dxa"/>
            <w:vAlign w:val="bottom"/>
          </w:tcPr>
          <w:p>
            <w:pPr>
              <w:ind w:left="160"/>
              <w:spacing w:after="0"/>
              <w:rPr>
                <w:sz w:val="20"/>
                <w:szCs w:val="20"/>
                <w:color w:val="auto"/>
              </w:rPr>
            </w:pPr>
            <w:r>
              <w:rPr>
                <w:rFonts w:ascii="Arial" w:cs="Arial" w:eastAsia="Arial" w:hAnsi="Arial"/>
                <w:sz w:val="18"/>
                <w:szCs w:val="18"/>
                <w:color w:val="auto"/>
              </w:rPr>
              <w:t>Expenses, less impairment loss from expected credit losses</w:t>
            </w:r>
          </w:p>
        </w:tc>
        <w:tc>
          <w:tcPr>
            <w:tcW w:w="3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(10,959)</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(11,216)</w:t>
            </w:r>
          </w:p>
        </w:tc>
        <w:tc>
          <w:tcPr>
            <w:tcW w:w="6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900" w:type="dxa"/>
            <w:vAlign w:val="bottom"/>
            <w:gridSpan w:val="2"/>
          </w:tcPr>
          <w:p>
            <w:pPr>
              <w:jc w:val="right"/>
              <w:ind w:right="40"/>
              <w:spacing w:after="0"/>
              <w:rPr>
                <w:sz w:val="20"/>
                <w:szCs w:val="20"/>
                <w:color w:val="auto"/>
              </w:rPr>
            </w:pPr>
            <w:r>
              <w:rPr>
                <w:rFonts w:ascii="Arial" w:cs="Arial" w:eastAsia="Arial" w:hAnsi="Arial"/>
                <w:sz w:val="18"/>
                <w:szCs w:val="18"/>
                <w:color w:val="auto"/>
              </w:rPr>
              <w:t>(11,355)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2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b w:val="1"/>
                <w:bCs w:val="1"/>
                <w:color w:val="auto"/>
              </w:rPr>
              <w:t>Profit for the year</w:t>
            </w:r>
          </w:p>
        </w:tc>
        <w:tc>
          <w:tcPr>
            <w:tcW w:w="36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(11,664)</w:t>
            </w: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w:t>
            </w: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460" w:type="dxa"/>
            <w:vAlign w:val="bottom"/>
            <w:tcBorders>
              <w:top w:val="single" w:sz="8" w:color="auto"/>
            </w:tcBorders>
            <w:shd w:val="clear" w:color="auto" w:fill="CCEEFF"/>
          </w:tcPr>
          <w:p>
            <w:pPr>
              <w:jc w:val="right"/>
              <w:ind w:right="27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8,560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7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7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COMBINED BUSINESS SEGMENT TOTAL:</w:t>
            </w:r>
          </w:p>
        </w:tc>
        <w:tc>
          <w:tcPr>
            <w:tcW w:w="3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2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640" w:type="dxa"/>
            <w:vAlign w:val="bottom"/>
            <w:gridSpan w:val="2"/>
          </w:tcPr>
          <w:p>
            <w:pPr>
              <w:jc w:val="right"/>
              <w:ind w:right="125"/>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119,815</w:t>
            </w:r>
          </w:p>
        </w:tc>
        <w:tc>
          <w:tcPr>
            <w:tcW w:w="360" w:type="dxa"/>
            <w:vAlign w:val="bottom"/>
            <w:gridSpan w:val="2"/>
          </w:tcPr>
          <w:p>
            <w:pPr>
              <w:jc w:val="right"/>
              <w:ind w:right="105"/>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155,209</w:t>
            </w:r>
          </w:p>
        </w:tc>
        <w:tc>
          <w:tcPr>
            <w:tcW w:w="520" w:type="dxa"/>
            <w:vAlign w:val="bottom"/>
            <w:gridSpan w:val="2"/>
          </w:tcPr>
          <w:p>
            <w:pPr>
              <w:jc w:val="right"/>
              <w:ind w:right="27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145,479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other income</w:t>
            </w:r>
          </w:p>
        </w:tc>
        <w:tc>
          <w:tcPr>
            <w:tcW w:w="3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18,498</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12,765</w:t>
            </w:r>
          </w:p>
        </w:tc>
        <w:tc>
          <w:tcPr>
            <w:tcW w:w="6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28,379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20" w:type="dxa"/>
            <w:vAlign w:val="bottom"/>
          </w:tcPr>
          <w:p>
            <w:pPr>
              <w:ind w:left="160"/>
              <w:spacing w:after="0"/>
              <w:rPr>
                <w:sz w:val="20"/>
                <w:szCs w:val="20"/>
                <w:color w:val="auto"/>
              </w:rPr>
            </w:pPr>
            <w:r>
              <w:rPr>
                <w:rFonts w:ascii="Arial" w:cs="Arial" w:eastAsia="Arial" w:hAnsi="Arial"/>
                <w:sz w:val="18"/>
                <w:szCs w:val="18"/>
                <w:color w:val="auto"/>
              </w:rPr>
              <w:t>Total income</w:t>
            </w:r>
          </w:p>
        </w:tc>
        <w:tc>
          <w:tcPr>
            <w:tcW w:w="36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138,313</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167,974</w:t>
            </w: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173,858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72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w w:val="95"/>
              </w:rPr>
              <w:t>Impairment loss from expected credit losses on loans, loan commitments and financial</w:t>
            </w:r>
          </w:p>
        </w:tc>
        <w:tc>
          <w:tcPr>
            <w:tcW w:w="3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guarantees contracts</w:t>
            </w:r>
          </w:p>
        </w:tc>
        <w:tc>
          <w:tcPr>
            <w:tcW w:w="36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(9,928)</w:t>
            </w:r>
          </w:p>
        </w:tc>
        <w:tc>
          <w:tcPr>
            <w:tcW w:w="1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(35,112)</w:t>
            </w:r>
          </w:p>
        </w:tc>
        <w:tc>
          <w:tcPr>
            <w:tcW w:w="6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(12,800)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20" w:type="dxa"/>
            <w:vAlign w:val="bottom"/>
          </w:tcPr>
          <w:p>
            <w:pPr>
              <w:ind w:left="160"/>
              <w:spacing w:after="0"/>
              <w:rPr>
                <w:sz w:val="20"/>
                <w:szCs w:val="20"/>
                <w:color w:val="auto"/>
              </w:rPr>
            </w:pPr>
            <w:r>
              <w:rPr>
                <w:rFonts w:ascii="Arial" w:cs="Arial" w:eastAsia="Arial" w:hAnsi="Arial"/>
                <w:sz w:val="18"/>
                <w:szCs w:val="18"/>
                <w:color w:val="auto"/>
              </w:rPr>
              <w:t>Recovery (impairment loss) from expected credit losses on investment securities</w:t>
            </w:r>
          </w:p>
        </w:tc>
        <w:tc>
          <w:tcPr>
            <w:tcW w:w="3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489</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(3)</w:t>
            </w: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900" w:type="dxa"/>
            <w:vAlign w:val="bottom"/>
            <w:gridSpan w:val="2"/>
          </w:tcPr>
          <w:p>
            <w:pPr>
              <w:jc w:val="right"/>
              <w:ind w:right="40"/>
              <w:spacing w:after="0"/>
              <w:rPr>
                <w:sz w:val="20"/>
                <w:szCs w:val="20"/>
                <w:color w:val="auto"/>
              </w:rPr>
            </w:pPr>
            <w:r>
              <w:rPr>
                <w:rFonts w:ascii="Arial" w:cs="Arial" w:eastAsia="Arial" w:hAnsi="Arial"/>
                <w:sz w:val="18"/>
                <w:szCs w:val="18"/>
                <w:color w:val="auto"/>
              </w:rPr>
              <w:t>(5,290)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Expenses, less impairment loss from expected credit losses</w:t>
            </w:r>
          </w:p>
        </w:tc>
        <w:tc>
          <w:tcPr>
            <w:tcW w:w="3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(46,875)</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(45,814)</w:t>
            </w:r>
          </w:p>
        </w:tc>
        <w:tc>
          <w:tcPr>
            <w:tcW w:w="6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(51,784)</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6720" w:type="dxa"/>
            <w:vAlign w:val="bottom"/>
          </w:tcPr>
          <w:p>
            <w:pPr>
              <w:ind w:left="160"/>
              <w:spacing w:after="0"/>
              <w:rPr>
                <w:sz w:val="20"/>
                <w:szCs w:val="20"/>
                <w:color w:val="auto"/>
              </w:rPr>
            </w:pPr>
            <w:r>
              <w:rPr>
                <w:rFonts w:ascii="Arial" w:cs="Arial" w:eastAsia="Arial" w:hAnsi="Arial"/>
                <w:sz w:val="18"/>
                <w:szCs w:val="18"/>
                <w:b w:val="1"/>
                <w:bCs w:val="1"/>
                <w:color w:val="auto"/>
              </w:rPr>
              <w:t>Profit for the year</w:t>
            </w:r>
          </w:p>
        </w:tc>
        <w:tc>
          <w:tcPr>
            <w:tcW w:w="360" w:type="dxa"/>
            <w:vAlign w:val="bottom"/>
          </w:tcPr>
          <w:p>
            <w:pPr>
              <w:spacing w:after="0"/>
              <w:rPr>
                <w:sz w:val="19"/>
                <w:szCs w:val="19"/>
                <w:color w:val="auto"/>
              </w:rPr>
            </w:pPr>
          </w:p>
        </w:tc>
        <w:tc>
          <w:tcPr>
            <w:tcW w:w="280" w:type="dxa"/>
            <w:vAlign w:val="bottom"/>
            <w:tcBorders>
              <w:top w:val="single" w:sz="8" w:color="auto"/>
            </w:tcBorders>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81,999</w:t>
            </w: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60" w:type="dxa"/>
            <w:vAlign w:val="bottom"/>
            <w:tcBorders>
              <w:top w:val="single" w:sz="8" w:color="auto"/>
            </w:tcBorders>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87,045</w:t>
            </w:r>
          </w:p>
        </w:tc>
        <w:tc>
          <w:tcPr>
            <w:tcW w:w="1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460" w:type="dxa"/>
            <w:vAlign w:val="bottom"/>
            <w:tcBorders>
              <w:top w:val="single" w:sz="8" w:color="auto"/>
            </w:tcBorders>
          </w:tcPr>
          <w:p>
            <w:pPr>
              <w:jc w:val="right"/>
              <w:ind w:right="27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103,984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bl>
    <w:p>
      <w:pPr>
        <w:spacing w:after="0" w:line="183" w:lineRule="exact"/>
        <w:rPr>
          <w:sz w:val="20"/>
          <w:szCs w:val="20"/>
          <w:color w:val="auto"/>
        </w:rPr>
      </w:pPr>
    </w:p>
    <w:p>
      <w:pPr>
        <w:spacing w:after="0"/>
        <w:rPr>
          <w:sz w:val="20"/>
          <w:szCs w:val="20"/>
          <w:color w:val="auto"/>
        </w:rPr>
      </w:pPr>
      <w:r>
        <w:rPr>
          <w:rFonts w:ascii="Arial" w:cs="Arial" w:eastAsia="Arial" w:hAnsi="Arial"/>
          <w:sz w:val="18"/>
          <w:szCs w:val="18"/>
          <w:color w:val="auto"/>
        </w:rPr>
        <w:t>For further information on the Bank’s operations by business segment, see Item 18, “Financial Statements,” note 17.</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Commercial Business Segment</w:t>
      </w:r>
    </w:p>
    <w:p>
      <w:pPr>
        <w:spacing w:after="0" w:line="225"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Commercial Business Segment encompasses the Bank’s core business of financial intermediation and fee generation activities catering to corporations, financial institutions and investors in Latin America. These activities include the origination of bilateral and syndicated credits, short-term and medium-term loans, customers’ liabilities under acceptances, loan commitments and financial guarantee contracts, such as confirmed and stand-by letters of credit, and guarantees covering commercial risk. See Item 4, “Information on the Company – Business Overview – Commercial Portfolio”. Profits from the Commercial Business Segment include (i) net interest income from loans; (ii) fees and other income from the issuance, confirmation and negotiation of letters of credit, guarantees and loan commitments, and through loan structuring and syndication activities; and (iii) gain on sale of loans generated through loan intermediation activities, such as sales in the secondary market and distribution in the primary market; (iv) impairment loss from ECL on loans at amortized cost, loan commitments and financial guarantee contracts; and (v) direct and allocated operating expenses.</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8" w:right="239" w:bottom="1440" w:gutter="0" w:footer="0" w:header="0"/>
        </w:sectPr>
      </w:pPr>
    </w:p>
    <w:bookmarkStart w:id="46" w:name="page47"/>
    <w:bookmarkEnd w:id="46"/>
    <w:p>
      <w:pPr>
        <w:spacing w:after="0"/>
        <w:rPr>
          <w:sz w:val="20"/>
          <w:szCs w:val="20"/>
          <w:color w:val="auto"/>
        </w:rPr>
      </w:pPr>
      <w:r>
        <w:rPr>
          <w:rFonts w:ascii="Arial" w:cs="Arial" w:eastAsia="Arial" w:hAnsi="Arial"/>
          <w:sz w:val="18"/>
          <w:szCs w:val="18"/>
          <w:i w:val="1"/>
          <w:iCs w:val="1"/>
          <w:u w:val="single" w:color="auto"/>
          <w:color w:val="auto"/>
        </w:rPr>
        <w:t>Year 2017 vs. Year 2016</w:t>
      </w:r>
    </w:p>
    <w:p>
      <w:pPr>
        <w:spacing w:after="0" w:line="225"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The Commercial Business Segment’s profit for the year 2017 totaled $93.7 million, a $6.7 million, or 8%, increase compared to $87.0 million in 2016, mainly as a result of: (i) decreased provisions for ECL mostly attributable to finalized renegotiation agreements on selected credit exposures undergoing restructuring processes and lower requirements resulting from reduced portfolio levels, and (ii) higher fees and other income mostly from the upward trend in fee generation from the Bank’s structuring and syndication activities, with seven transactions resulting in fees of $6.6 million having closed in 2017, as well as improved activity in the letters of credit business, with commissions of $10.9 million in 2017, resulting from a more diversified letters of credit client base and the Bank’s strategy deepening its participation in the trade value chain. These positive effects were partially offset by: (i) lower net interest income and margins from reduced average loan volumes, as the Bank improved its portfolio risk profile, focused on short-term lending, and experienced pricing pressures from increased levels of U.S. dollar liquidity in key markets, which was partially offset by the increase in LIBOR-based market rates, and (ii) higher allocated operating expenses, mainly due to non-recurring personnel changes expenses incurred in 2017.</w:t>
      </w:r>
    </w:p>
    <w:p>
      <w:pPr>
        <w:spacing w:after="0" w:line="182"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As of December 31, 2017, the Commercial Portfolio totaled $6.0 billion, a $0.4 billion, or 7%, decrease compared to $6.4 billion as of December 31, 2016, as the Bank mitigated risk and diversified its portfolio mix throughout the past two years, and shortened its average tenor. Consequently, average Commercial Portfolio balances amounted to $5.9 billion in 2017, a $0.9 billion, or 14%, decrease year-over-year, compared to $6.8 billion in 2016.</w:t>
      </w:r>
    </w:p>
    <w:p>
      <w:pPr>
        <w:spacing w:after="0" w:line="166"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December 31, 2017, 81%, of the Bank’s Commercial Portfolio was scheduled to mature within one year, compared to 77% as of December 31, 2016. Trade finance operations represented 60% of the Bank’s Commercial Portfolio, compared to 66% as of December 31, 2016, while the remaining balance consisted primarily of lending to financial institutions and corporations engaged in foreign trade.</w:t>
      </w:r>
    </w:p>
    <w:p>
      <w:pPr>
        <w:spacing w:after="0" w:line="18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Commercial Business Segment’s asset quality improved with a 1.07% ratio of non-performing loans to total Loan Portfolio as of December 31, 2017, compared to 1.09% of total Loan Portfolio as of December 31, 2016, which was mostly attributable to finalized renegotiation agreements on selected credit exposures undergoing restructuring processes during the past two to three years. As a result of the improved credit quality, the coverage ratio of total allowance for ECL remained sound at 1.47% of the total Commercial Portfolio exposure as of December 31, 2017, compared to 1.73% of the total Commercial Portfolio exposure, as of December 31, 2016.</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2016 vs. Year 2015</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Commercial Business Segment’s profit for the year 2016 reached $87.0 million, an $8.4 million, or 9%, decrease compared to $95.4 million in 2015, mainly as a result of provision for higher impairment losses from ECL totaling $35.1 million, compared to $12.8 million in 2015, mainly associated with individually assessed lifetime ECL on certain exposures undergoing restructuring and recovery efforts. To a lesser extent, profits for the Commercial Business Segment were also impacted by a $5.2 million decrease in net other income, mainly due to lower fees and commissions from lesser activity in letters of credit, financial guarantees and credit commitments. These factors were partially offset by: (i) a $13.2 million, or 10%, increase in net interest income driven by higher net lending rates, which compensated for the effects of lower average lending balances (which decreased by 4% year-over-year), and (ii) a $5.8 million, or 14%, decrease in operating expenses mostly from lower performance-based variable compensation expense and cost savings in other expense categories.</w:t>
      </w:r>
    </w:p>
    <w:p>
      <w:pPr>
        <w:spacing w:after="0" w:line="19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December 31, 2016, the Commercial Portfolio stood at $6.4 billion, a $0.7 billion, or 10%, decrease compared to $7.2 billion as of December 31, 2015, as the Bank reduced certain country, industry and client risk concentrations in response to unfavorable market conditions affecting these markets, and instead focused on expanding its short-term trade finance exposures, with favorable risk-adjusted returns. The most significant portfolio reduction was in regard to credit exposures in Brazil. Efforts to reduce concentration in that market commenced several years ago, and continued throughout 2016 with a $0.5 billion portfolio reduction reducing its weight to 18% of the total Commercial Portfolio, at year-end 2016, compared to 23% at year-end 2015, and compared to a peak of 47% in 2008. Consequently, average Commercial Portfolio balances amounted to $6.8 billion in 2016, a $0.3 billion, or 5%, decrease year-over-year, compared to $7.1 billion in 2015.</w:t>
      </w:r>
    </w:p>
    <w:p>
      <w:pPr>
        <w:spacing w:after="0" w:line="200" w:lineRule="exact"/>
        <w:rPr>
          <w:sz w:val="20"/>
          <w:szCs w:val="20"/>
          <w:color w:val="auto"/>
        </w:rPr>
      </w:pPr>
    </w:p>
    <w:p>
      <w:pPr>
        <w:spacing w:after="0" w:line="20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47" w:name="page48"/>
    <w:bookmarkEnd w:id="47"/>
    <w:p>
      <w:pPr>
        <w:jc w:val="both"/>
        <w:spacing w:after="0" w:line="264" w:lineRule="auto"/>
        <w:rPr>
          <w:sz w:val="20"/>
          <w:szCs w:val="20"/>
          <w:color w:val="auto"/>
        </w:rPr>
      </w:pPr>
      <w:r>
        <w:rPr>
          <w:rFonts w:ascii="Arial" w:cs="Arial" w:eastAsia="Arial" w:hAnsi="Arial"/>
          <w:sz w:val="18"/>
          <w:szCs w:val="18"/>
          <w:color w:val="auto"/>
        </w:rPr>
        <w:t>As of December 31, 2016, 77%, of the Bank’s Commercial Portfolio was scheduled to mature within one year, compared to 72% as of December 31, 2015. Trade finance operations represented 66% of the Bank’s Commercial Portfolio, compared to 56% as of December 31, 2015, while the remaining balance consisted primarily of lending to financial institutions and corporations engaged in foreign trade.</w:t>
      </w:r>
    </w:p>
    <w:p>
      <w:pPr>
        <w:spacing w:after="0" w:line="18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Commercial Business Segment’s asset quality and portfolio risk profile remained sound as of December 31, 2016, with a 1.09% ratio of non-performing loans to total Loan Portfolio and a 1.73% coverage ratio of total allowance for ECL on loans at amortized cost, loan commitments and financial guarantee contracts to total Commercial Portfolio, compared to 0.78% and 1.33%, respectively as of December 31, 2015.</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Treasury Business Segment</w:t>
      </w:r>
    </w:p>
    <w:p>
      <w:pPr>
        <w:spacing w:after="0" w:line="225"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The Treasury Business Segment is responsible for the Bank’s funding and liquidity management, along with the management of its activities in investment securities, as well as the management of the Bank’s interest rate, liquidity, price and currency risks. Interest-earning assets managed by the Treasury Business Segment include liquidity positions in cash and cash equivalents, and financial instruments related to the investment management activities, consisting of financial instruments at FVTPL, securities at FVOCI, and investment securities at amortized cost. The Treasury Business Segment also manages the Bank’s interest-bearing liabilities which constitute its funding, mainly deposits, short- and long-term borrowings and debt.</w:t>
      </w:r>
    </w:p>
    <w:p>
      <w:pPr>
        <w:spacing w:after="0" w:line="173"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Profits from the Treasury Business Segment include net interest income derived from the above mentioned treasury assets and liabilities, and related net other income (net results from derivative financial instruments and foreign currency exchange, gain (loss) per financial instruments at FVTPL, gain (loss) on sale of securities at FVOCI, and other income), impairment loss from ECL on investment securities, and direct and allocated operating expenses. Until the Bank’s exit from its participation in investment funds in the first half 2016, the Treasury Business Segment also incorporated the Bank’s non-core results from its participation, which were shown in the other income line item “gain (loss) per financial instruments at fair value through profit or loss”.</w:t>
      </w:r>
    </w:p>
    <w:p>
      <w:pPr>
        <w:spacing w:after="0" w:line="158"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2017 vs. Year 2016</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Treasury Business Segment reported a loss of $11.7 million for the year 2017, compared to a marginal profit of $47 thousand for the year 2016, an adverse swing in results mostly attributable to an increase in funding rates on higher LIBOR-based market rates (also impacting interest-earning assets lending rates), which was partially offset by lower funding spreads, and a relatively stable funding mix source year-over-year (i.e., medium- and long-term borrowings and debt) despite higher short-term trade finance lending book, resulting on a limited gap income.</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December 31, 2017, Treasury Business Segment assets totaled $0.8 billion, a $0.4 billion, or 36%, decrease, compared to $1.2 billion as of December 31, 2016, mainly resulting from lower cash and cash equivalent balances, as the Bank returned to its historical adequate levels of prudent liquidity management.</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Investment Securities Portfolio balances of $86 million accounted for 1% of total assets as of December 31, 2017, compared to $108 million, or 2% of total assets, as of December 31, 2016, as the Bank aimed to reduce market risk. The Investment Securities Portfolio mostly consisted of readily-quoted Latin American securities, 87% of which represented sovereign or state-owned risk.</w:t>
      </w:r>
    </w:p>
    <w:p>
      <w:pPr>
        <w:spacing w:after="0" w:line="181"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On the funding side, deposit balances amounted to $2.9 billion as of December 31, 2017, representing 57% of total funding sources, compared to $2.8 billion, or 46% of total funding sources, as of December 31, 2016. Deposits placed by central banks or their designees (i.e., Class A shareholders of the Bank) represented 67% of total deposits as of December 31, 2017. Short-term borrowings and debt totaled $1.1 billion as of December 31, 2017, a 27% decrease compared to $1.5 billion as of December 31, 2016, while long-term borrowings and debt decreased 36% to $1.1 billion as of December 31, 2017, from $1.8 billion as of December 31, 2016, as the Bank continued to rely primarily on deposits to cover its short-term funding needs and increased its short-term composition of the overall funding sources, aligned with the lending book moving towards shorter tenors.</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48" w:name="page49"/>
    <w:bookmarkEnd w:id="48"/>
    <w:p>
      <w:pPr>
        <w:spacing w:after="0"/>
        <w:rPr>
          <w:sz w:val="20"/>
          <w:szCs w:val="20"/>
          <w:color w:val="auto"/>
        </w:rPr>
      </w:pPr>
      <w:r>
        <w:rPr>
          <w:rFonts w:ascii="Arial" w:cs="Arial" w:eastAsia="Arial" w:hAnsi="Arial"/>
          <w:sz w:val="18"/>
          <w:szCs w:val="18"/>
          <w:i w:val="1"/>
          <w:iCs w:val="1"/>
          <w:u w:val="single" w:color="auto"/>
          <w:color w:val="auto"/>
        </w:rPr>
        <w:t>Year 2016 vs. Year 2015</w:t>
      </w:r>
    </w:p>
    <w:p>
      <w:pPr>
        <w:spacing w:after="0" w:line="225"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The Treasury Business Segment reported a marginal profit of $47 thousand for the year 2016, compared to $8.6 million in 2015, a decrease mostly attributable to the $9.5 million adverse swing in non-core results from the Bank’s former participation in investment funds, with a $4.4 million loss recorded in 2016 compared to a $5.1 million gain in 2015. The Bank´s reduced holdings in its investment securities portfolio mainly accounted for a $3.5 million reduction in the Segment’s net interest income, which was compensated by a year-over-year reduction of impairment losses from ECL on investment securities, as the Bank recorded only marginal impairment in 2016, compared to a $5.3 million impairment in 2015.</w:t>
      </w:r>
    </w:p>
    <w:p>
      <w:pPr>
        <w:spacing w:after="0" w:line="17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December 31, 2016, Treasury Business Segment assets totaled $1.2 billion, a $0.4 billion, or 27%, decrease, compared to $1.6 billion as of December 31, 2015, resulting from lower cash and cash equivalents balances, investment securities and the final redemption of the participation in the investment funds. Securities held at FVOCI decreased to $31 million as of December 31, 2016, from $142 million as of December 31, 2015, as the Bank continued to decrease its holdings in that category to reduce market risk. Similarly, the portfolio of securities at amortized cost decreased to $78 million as of December 31, 2016, from $109 million as of December 31, 2015. Both securities portfolio consisted of readily-quoted Latin American securities, 90% of which represented multilateral, sovereign or state-owned risk.</w:t>
      </w:r>
    </w:p>
    <w:p>
      <w:pPr>
        <w:spacing w:after="0" w:line="193"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On the funding side, deposit balances remained stable at $2.8 billion as of December 31, 2016, the same level from a year ago, representing 46% of total funding sources in 2016, compared to 39% of total funding sources, as of December 31, 2015. Short-term borrowings and debt, including Repos, totaled $1.5 billion as of December 31, 2016, a 42% decrease compared to $2.5 billion as of December 31, 2015, while long-term borrowings and debt decreased 6% to $1.8 billion as of December 31, 2016, from $1.9 billion as of December 31, 2015, as the Bank relied primarily on deposits to cover its short-term funding needs, in response to the shift in the lending book mix moving toward shorter tenors, while continuing to increase overall funding stability with medium and long-term funding balances, which amounted to 29% of total funding in 2016, up from 26% in 2015.</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Net Interest Income and Margins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following table sets forth information regarding the Bank’s net interest income, net interest margin (net interest income divided by the average balance of interest-earning assets), and net interest spread (the average yield earned on interest-earning assets, less the average yield paid on interest-bearing liabilities) for the periods indicated:</w:t>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540" w:type="dxa"/>
            <w:vAlign w:val="bottom"/>
          </w:tcPr>
          <w:p>
            <w:pPr>
              <w:spacing w:after="0"/>
              <w:rPr>
                <w:sz w:val="20"/>
                <w:szCs w:val="20"/>
                <w:color w:val="auto"/>
              </w:rPr>
            </w:pPr>
          </w:p>
        </w:tc>
        <w:tc>
          <w:tcPr>
            <w:tcW w:w="2460" w:type="dxa"/>
            <w:vAlign w:val="bottom"/>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2640" w:type="dxa"/>
            <w:vAlign w:val="bottom"/>
            <w:tcBorders>
              <w:bottom w:val="single" w:sz="8" w:color="auto"/>
            </w:tcBorders>
            <w:gridSpan w:val="8"/>
          </w:tcPr>
          <w:p>
            <w:pPr>
              <w:jc w:val="center"/>
              <w:spacing w:after="0"/>
              <w:rPr>
                <w:sz w:val="20"/>
                <w:szCs w:val="20"/>
                <w:color w:val="auto"/>
              </w:rPr>
            </w:pPr>
            <w:r>
              <w:rPr>
                <w:rFonts w:ascii="Arial" w:cs="Arial" w:eastAsia="Arial" w:hAnsi="Arial"/>
                <w:sz w:val="18"/>
                <w:szCs w:val="18"/>
                <w:b w:val="1"/>
                <w:bCs w:val="1"/>
                <w:color w:val="auto"/>
                <w:w w:val="90"/>
              </w:rPr>
              <w:t>For the Year Ended December 31,</w:t>
            </w:r>
          </w:p>
        </w:tc>
        <w:tc>
          <w:tcPr>
            <w:tcW w:w="82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r>
      <w:tr>
        <w:trPr>
          <w:trHeight w:val="223"/>
        </w:trPr>
        <w:tc>
          <w:tcPr>
            <w:tcW w:w="4540" w:type="dxa"/>
            <w:vAlign w:val="bottom"/>
          </w:tcPr>
          <w:p>
            <w:pPr>
              <w:spacing w:after="0"/>
              <w:rPr>
                <w:sz w:val="19"/>
                <w:szCs w:val="19"/>
                <w:color w:val="auto"/>
              </w:rPr>
            </w:pPr>
          </w:p>
        </w:tc>
        <w:tc>
          <w:tcPr>
            <w:tcW w:w="2460" w:type="dxa"/>
            <w:vAlign w:val="bottom"/>
          </w:tcPr>
          <w:p>
            <w:pPr>
              <w:spacing w:after="0"/>
              <w:rPr>
                <w:sz w:val="19"/>
                <w:szCs w:val="19"/>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44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center"/>
              <w:ind w:right="170"/>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9"/>
              </w:rPr>
              <w:t>2015</w:t>
            </w:r>
          </w:p>
        </w:tc>
        <w:tc>
          <w:tcPr>
            <w:tcW w:w="160" w:type="dxa"/>
            <w:vAlign w:val="bottom"/>
          </w:tcPr>
          <w:p>
            <w:pPr>
              <w:spacing w:after="0"/>
              <w:rPr>
                <w:sz w:val="19"/>
                <w:szCs w:val="19"/>
                <w:color w:val="auto"/>
              </w:rPr>
            </w:pPr>
          </w:p>
        </w:tc>
      </w:tr>
      <w:tr>
        <w:trPr>
          <w:trHeight w:val="210"/>
        </w:trPr>
        <w:tc>
          <w:tcPr>
            <w:tcW w:w="454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40" w:type="dxa"/>
            <w:vAlign w:val="bottom"/>
            <w:gridSpan w:val="8"/>
          </w:tcPr>
          <w:p>
            <w:pPr>
              <w:jc w:val="center"/>
              <w:spacing w:after="0"/>
              <w:rPr>
                <w:sz w:val="20"/>
                <w:szCs w:val="20"/>
                <w:color w:val="auto"/>
              </w:rPr>
            </w:pPr>
            <w:r>
              <w:rPr>
                <w:rFonts w:ascii="Arial" w:cs="Arial" w:eastAsia="Arial" w:hAnsi="Arial"/>
                <w:sz w:val="18"/>
                <w:szCs w:val="18"/>
                <w:b w:val="1"/>
                <w:bCs w:val="1"/>
                <w:color w:val="auto"/>
                <w:w w:val="88"/>
              </w:rPr>
              <w:t>(in $ millions, except percentages)</w:t>
            </w: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454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 (loss) by Business Segment</w:t>
            </w:r>
          </w:p>
        </w:tc>
        <w:tc>
          <w:tcPr>
            <w:tcW w:w="2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4540" w:type="dxa"/>
            <w:vAlign w:val="bottom"/>
          </w:tcPr>
          <w:p>
            <w:pPr>
              <w:ind w:left="160"/>
              <w:spacing w:after="0"/>
              <w:rPr>
                <w:sz w:val="20"/>
                <w:szCs w:val="20"/>
                <w:color w:val="auto"/>
              </w:rPr>
            </w:pPr>
            <w:r>
              <w:rPr>
                <w:rFonts w:ascii="Arial" w:cs="Arial" w:eastAsia="Arial" w:hAnsi="Arial"/>
                <w:sz w:val="18"/>
                <w:szCs w:val="18"/>
                <w:color w:val="auto"/>
              </w:rPr>
              <w:t>Commercial</w:t>
            </w:r>
          </w:p>
        </w:tc>
        <w:tc>
          <w:tcPr>
            <w:tcW w:w="3260" w:type="dxa"/>
            <w:vAlign w:val="bottom"/>
            <w:gridSpan w:val="2"/>
          </w:tcPr>
          <w:p>
            <w:pPr>
              <w:jc w:val="right"/>
              <w:ind w:right="637"/>
              <w:spacing w:after="0"/>
              <w:rPr>
                <w:sz w:val="20"/>
                <w:szCs w:val="20"/>
                <w:color w:val="auto"/>
              </w:rPr>
            </w:pPr>
            <w:r>
              <w:rPr>
                <w:rFonts w:ascii="Arial" w:cs="Arial" w:eastAsia="Arial" w:hAnsi="Arial"/>
                <w:sz w:val="18"/>
                <w:szCs w:val="18"/>
                <w:color w:val="auto"/>
              </w:rPr>
              <w:t>$</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120.6</w:t>
            </w:r>
          </w:p>
        </w:tc>
        <w:tc>
          <w:tcPr>
            <w:tcW w:w="32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140.4</w:t>
            </w:r>
          </w:p>
        </w:tc>
        <w:tc>
          <w:tcPr>
            <w:tcW w:w="480" w:type="dxa"/>
            <w:vAlign w:val="bottom"/>
            <w:gridSpan w:val="2"/>
          </w:tcPr>
          <w:p>
            <w:pPr>
              <w:jc w:val="right"/>
              <w:ind w:right="265"/>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127.2</w:t>
            </w:r>
          </w:p>
        </w:tc>
      </w:tr>
      <w:tr>
        <w:trPr>
          <w:trHeight w:val="230"/>
        </w:trPr>
        <w:tc>
          <w:tcPr>
            <w:tcW w:w="45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Treasury</w:t>
            </w:r>
          </w:p>
        </w:tc>
        <w:tc>
          <w:tcPr>
            <w:tcW w:w="246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(0.8)</w:t>
            </w:r>
          </w:p>
        </w:tc>
        <w:tc>
          <w:tcPr>
            <w:tcW w:w="6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14.8</w:t>
            </w:r>
          </w:p>
        </w:tc>
        <w:tc>
          <w:tcPr>
            <w:tcW w:w="6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18.3</w:t>
            </w:r>
          </w:p>
        </w:tc>
      </w:tr>
      <w:tr>
        <w:trPr>
          <w:trHeight w:val="263"/>
        </w:trPr>
        <w:tc>
          <w:tcPr>
            <w:tcW w:w="454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Total Net Interest Income</w:t>
            </w:r>
          </w:p>
        </w:tc>
        <w:tc>
          <w:tcPr>
            <w:tcW w:w="2460" w:type="dxa"/>
            <w:vAlign w:val="bottom"/>
            <w:tcBorders>
              <w:bottom w:val="single" w:sz="8" w:color="CCEEFF"/>
            </w:tcBorders>
          </w:tcPr>
          <w:p>
            <w:pPr>
              <w:spacing w:after="0"/>
              <w:rPr>
                <w:sz w:val="22"/>
                <w:szCs w:val="22"/>
                <w:color w:val="auto"/>
              </w:rPr>
            </w:pPr>
          </w:p>
        </w:tc>
        <w:tc>
          <w:tcPr>
            <w:tcW w:w="800" w:type="dxa"/>
            <w:vAlign w:val="bottom"/>
            <w:tcBorders>
              <w:top w:val="single" w:sz="8" w:color="auto"/>
              <w:bottom w:val="single" w:sz="8" w:color="auto"/>
            </w:tcBorders>
          </w:tcPr>
          <w:p>
            <w:pPr>
              <w:jc w:val="right"/>
              <w:ind w:right="637"/>
              <w:spacing w:after="0"/>
              <w:rPr>
                <w:sz w:val="20"/>
                <w:szCs w:val="20"/>
                <w:color w:val="auto"/>
              </w:rPr>
            </w:pPr>
            <w:r>
              <w:rPr>
                <w:rFonts w:ascii="Arial" w:cs="Arial" w:eastAsia="Arial" w:hAnsi="Arial"/>
                <w:sz w:val="15"/>
                <w:szCs w:val="15"/>
                <w:b w:val="1"/>
                <w:bCs w:val="1"/>
                <w:color w:val="auto"/>
                <w:w w:val="71"/>
              </w:rPr>
              <w:t>$</w:t>
            </w: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119.8</w:t>
            </w:r>
          </w:p>
        </w:tc>
        <w:tc>
          <w:tcPr>
            <w:tcW w:w="20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6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155.2</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420" w:type="dxa"/>
            <w:vAlign w:val="bottom"/>
            <w:tcBorders>
              <w:top w:val="single" w:sz="8" w:color="auto"/>
              <w:bottom w:val="single" w:sz="8" w:color="auto"/>
            </w:tcBorders>
          </w:tcPr>
          <w:p>
            <w:pPr>
              <w:jc w:val="right"/>
              <w:ind w:right="26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145.5</w:t>
            </w:r>
          </w:p>
        </w:tc>
        <w:tc>
          <w:tcPr>
            <w:tcW w:w="160" w:type="dxa"/>
            <w:vAlign w:val="bottom"/>
            <w:tcBorders>
              <w:bottom w:val="single" w:sz="8" w:color="CCEEFF"/>
            </w:tcBorders>
          </w:tcPr>
          <w:p>
            <w:pPr>
              <w:spacing w:after="0"/>
              <w:rPr>
                <w:sz w:val="22"/>
                <w:szCs w:val="22"/>
                <w:color w:val="auto"/>
              </w:rPr>
            </w:pPr>
          </w:p>
        </w:tc>
      </w:tr>
      <w:tr>
        <w:trPr>
          <w:trHeight w:val="197"/>
        </w:trPr>
        <w:tc>
          <w:tcPr>
            <w:tcW w:w="4540" w:type="dxa"/>
            <w:vAlign w:val="bottom"/>
            <w:shd w:val="clear" w:color="auto" w:fill="CCEEFF"/>
          </w:tcPr>
          <w:p>
            <w:pPr>
              <w:ind w:left="20"/>
              <w:spacing w:after="0" w:line="196" w:lineRule="exact"/>
              <w:rPr>
                <w:sz w:val="20"/>
                <w:szCs w:val="20"/>
                <w:color w:val="auto"/>
              </w:rPr>
            </w:pPr>
            <w:r>
              <w:rPr>
                <w:rFonts w:ascii="Arial" w:cs="Arial" w:eastAsia="Arial" w:hAnsi="Arial"/>
                <w:sz w:val="18"/>
                <w:szCs w:val="18"/>
                <w:color w:val="auto"/>
              </w:rPr>
              <w:t>Net interest margin</w:t>
            </w:r>
          </w:p>
        </w:tc>
        <w:tc>
          <w:tcPr>
            <w:tcW w:w="24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640" w:type="dxa"/>
            <w:vAlign w:val="bottom"/>
            <w:gridSpan w:val="2"/>
            <w:shd w:val="clear" w:color="auto" w:fill="CCEEFF"/>
          </w:tcPr>
          <w:p>
            <w:pPr>
              <w:jc w:val="right"/>
              <w:ind w:right="60"/>
              <w:spacing w:after="0" w:line="196" w:lineRule="exact"/>
              <w:rPr>
                <w:sz w:val="20"/>
                <w:szCs w:val="20"/>
                <w:color w:val="auto"/>
              </w:rPr>
            </w:pPr>
            <w:r>
              <w:rPr>
                <w:rFonts w:ascii="Arial" w:cs="Arial" w:eastAsia="Arial" w:hAnsi="Arial"/>
                <w:sz w:val="18"/>
                <w:szCs w:val="18"/>
                <w:color w:val="auto"/>
              </w:rPr>
              <w:t>1.85%</w:t>
            </w:r>
          </w:p>
        </w:tc>
        <w:tc>
          <w:tcPr>
            <w:tcW w:w="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00" w:type="dxa"/>
            <w:vAlign w:val="bottom"/>
            <w:gridSpan w:val="2"/>
            <w:shd w:val="clear" w:color="auto" w:fill="CCEEFF"/>
          </w:tcPr>
          <w:p>
            <w:pPr>
              <w:jc w:val="right"/>
              <w:ind w:right="60"/>
              <w:spacing w:after="0" w:line="196" w:lineRule="exact"/>
              <w:rPr>
                <w:sz w:val="20"/>
                <w:szCs w:val="20"/>
                <w:color w:val="auto"/>
              </w:rPr>
            </w:pPr>
            <w:r>
              <w:rPr>
                <w:rFonts w:ascii="Arial" w:cs="Arial" w:eastAsia="Arial" w:hAnsi="Arial"/>
                <w:sz w:val="18"/>
                <w:szCs w:val="18"/>
                <w:color w:val="auto"/>
              </w:rPr>
              <w:t>2.08%</w:t>
            </w:r>
          </w:p>
        </w:tc>
        <w:tc>
          <w:tcPr>
            <w:tcW w:w="6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20"/>
              <w:spacing w:after="0" w:line="196" w:lineRule="exact"/>
              <w:rPr>
                <w:sz w:val="20"/>
                <w:szCs w:val="20"/>
                <w:color w:val="auto"/>
              </w:rPr>
            </w:pPr>
            <w:r>
              <w:rPr>
                <w:rFonts w:ascii="Arial" w:cs="Arial" w:eastAsia="Arial" w:hAnsi="Arial"/>
                <w:sz w:val="18"/>
                <w:szCs w:val="18"/>
                <w:color w:val="auto"/>
              </w:rPr>
              <w:t>1.84%</w:t>
            </w:r>
          </w:p>
        </w:tc>
      </w:tr>
      <w:tr>
        <w:trPr>
          <w:trHeight w:val="230"/>
        </w:trPr>
        <w:tc>
          <w:tcPr>
            <w:tcW w:w="4540" w:type="dxa"/>
            <w:vAlign w:val="bottom"/>
          </w:tcPr>
          <w:p>
            <w:pPr>
              <w:ind w:left="20"/>
              <w:spacing w:after="0"/>
              <w:rPr>
                <w:sz w:val="20"/>
                <w:szCs w:val="20"/>
                <w:color w:val="auto"/>
              </w:rPr>
            </w:pPr>
            <w:r>
              <w:rPr>
                <w:rFonts w:ascii="Arial" w:cs="Arial" w:eastAsia="Arial" w:hAnsi="Arial"/>
                <w:sz w:val="18"/>
                <w:szCs w:val="18"/>
                <w:color w:val="auto"/>
              </w:rPr>
              <w:t>Net interest spread</w:t>
            </w:r>
          </w:p>
        </w:tc>
        <w:tc>
          <w:tcPr>
            <w:tcW w:w="246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640" w:type="dxa"/>
            <w:vAlign w:val="bottom"/>
            <w:gridSpan w:val="2"/>
          </w:tcPr>
          <w:p>
            <w:pPr>
              <w:jc w:val="right"/>
              <w:ind w:right="60"/>
              <w:spacing w:after="0"/>
              <w:rPr>
                <w:sz w:val="20"/>
                <w:szCs w:val="20"/>
                <w:color w:val="auto"/>
              </w:rPr>
            </w:pPr>
            <w:r>
              <w:rPr>
                <w:rFonts w:ascii="Arial" w:cs="Arial" w:eastAsia="Arial" w:hAnsi="Arial"/>
                <w:sz w:val="18"/>
                <w:szCs w:val="18"/>
                <w:color w:val="auto"/>
              </w:rPr>
              <w:t>1.48%</w:t>
            </w:r>
          </w:p>
        </w:tc>
        <w:tc>
          <w:tcPr>
            <w:tcW w:w="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1.84%</w:t>
            </w:r>
          </w:p>
        </w:tc>
        <w:tc>
          <w:tcPr>
            <w:tcW w:w="6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1.68%</w:t>
            </w:r>
          </w:p>
        </w:tc>
      </w:tr>
      <w:tr>
        <w:trPr>
          <w:trHeight w:val="642"/>
        </w:trPr>
        <w:tc>
          <w:tcPr>
            <w:tcW w:w="454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tcPr>
          <w:p>
            <w:pPr>
              <w:jc w:val="right"/>
              <w:ind w:right="1090"/>
              <w:spacing w:after="0"/>
              <w:rPr>
                <w:sz w:val="20"/>
                <w:szCs w:val="20"/>
                <w:color w:val="auto"/>
              </w:rPr>
            </w:pPr>
            <w:r>
              <w:rPr>
                <w:rFonts w:ascii="Arial" w:cs="Arial" w:eastAsia="Arial" w:hAnsi="Arial"/>
                <w:sz w:val="18"/>
                <w:szCs w:val="18"/>
                <w:color w:val="auto"/>
              </w:rPr>
              <w:t>46</w:t>
            </w:r>
          </w:p>
        </w:tc>
        <w:tc>
          <w:tcPr>
            <w:tcW w:w="800" w:type="dxa"/>
            <w:vAlign w:val="bottom"/>
            <w:tcBorders>
              <w:top w:val="single" w:sz="8" w:color="auto"/>
              <w:bottom w:val="single" w:sz="8" w:color="auto"/>
            </w:tcBorders>
          </w:tcPr>
          <w:p>
            <w:pPr>
              <w:spacing w:after="0"/>
              <w:rPr>
                <w:sz w:val="24"/>
                <w:szCs w:val="24"/>
                <w:color w:val="auto"/>
              </w:rPr>
            </w:pPr>
          </w:p>
        </w:tc>
        <w:tc>
          <w:tcPr>
            <w:tcW w:w="440" w:type="dxa"/>
            <w:vAlign w:val="bottom"/>
            <w:tcBorders>
              <w:top w:val="single" w:sz="8" w:color="auto"/>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60" w:type="dxa"/>
            <w:vAlign w:val="bottom"/>
            <w:tcBorders>
              <w:top w:val="single" w:sz="8" w:color="auto"/>
              <w:bottom w:val="single" w:sz="8" w:color="auto"/>
            </w:tcBorders>
          </w:tcPr>
          <w:p>
            <w:pPr>
              <w:spacing w:after="0"/>
              <w:rPr>
                <w:sz w:val="24"/>
                <w:szCs w:val="24"/>
                <w:color w:val="auto"/>
              </w:rPr>
            </w:pPr>
          </w:p>
        </w:tc>
        <w:tc>
          <w:tcPr>
            <w:tcW w:w="980" w:type="dxa"/>
            <w:vAlign w:val="bottom"/>
            <w:tcBorders>
              <w:top w:val="single" w:sz="8" w:color="auto"/>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20" w:type="dxa"/>
            <w:vAlign w:val="bottom"/>
            <w:tcBorders>
              <w:top w:val="single" w:sz="8" w:color="auto"/>
              <w:bottom w:val="single" w:sz="8" w:color="auto"/>
            </w:tcBorders>
          </w:tcPr>
          <w:p>
            <w:pPr>
              <w:spacing w:after="0"/>
              <w:rPr>
                <w:sz w:val="24"/>
                <w:szCs w:val="24"/>
                <w:color w:val="auto"/>
              </w:rPr>
            </w:pPr>
          </w:p>
        </w:tc>
        <w:tc>
          <w:tcPr>
            <w:tcW w:w="820" w:type="dxa"/>
            <w:vAlign w:val="bottom"/>
            <w:tcBorders>
              <w:top w:val="single" w:sz="8" w:color="auto"/>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9" w:right="239" w:bottom="1440" w:gutter="0" w:footer="0" w:header="0"/>
        </w:sectPr>
      </w:pPr>
    </w:p>
    <w:bookmarkStart w:id="49" w:name="page50"/>
    <w:bookmarkEnd w:id="49"/>
    <w:p>
      <w:pPr>
        <w:spacing w:after="0"/>
        <w:rPr>
          <w:sz w:val="20"/>
          <w:szCs w:val="20"/>
          <w:color w:val="auto"/>
        </w:rPr>
      </w:pPr>
      <w:r>
        <w:rPr>
          <w:rFonts w:ascii="Arial" w:cs="Arial" w:eastAsia="Arial" w:hAnsi="Arial"/>
          <w:sz w:val="18"/>
          <w:szCs w:val="18"/>
          <w:i w:val="1"/>
          <w:iCs w:val="1"/>
          <w:color w:val="auto"/>
        </w:rPr>
        <w:t>Distribution of Assets, Liabilities and Stockholders’ Equity; Interest Rates and Differentials</w:t>
      </w:r>
    </w:p>
    <w:p>
      <w:pPr>
        <w:spacing w:after="0" w:line="225"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The following table presents the distribution of consolidated average assets, liabilities and stockholders’ equity, as well as the total dollar amounts of interest income from average interest-earning assets and the resulting yields, the dollar amounts of interest expense and average interest-bearing liabilities, and corresponding information regarding rates. Average balances have been computed on the basis of consolidated monthly average balances:</w:t>
      </w:r>
    </w:p>
    <w:p>
      <w:pPr>
        <w:spacing w:after="0" w:line="15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0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5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5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80" w:type="dxa"/>
            <w:vAlign w:val="bottom"/>
            <w:tcBorders>
              <w:bottom w:val="single" w:sz="8" w:color="auto"/>
            </w:tcBorders>
            <w:gridSpan w:val="9"/>
          </w:tcPr>
          <w:p>
            <w:pPr>
              <w:ind w:left="40"/>
              <w:spacing w:after="0"/>
              <w:rPr>
                <w:sz w:val="20"/>
                <w:szCs w:val="20"/>
                <w:color w:val="auto"/>
              </w:rPr>
            </w:pPr>
            <w:r>
              <w:rPr>
                <w:rFonts w:ascii="Arial" w:cs="Arial" w:eastAsia="Arial" w:hAnsi="Arial"/>
                <w:sz w:val="18"/>
                <w:szCs w:val="18"/>
                <w:b w:val="1"/>
                <w:bCs w:val="1"/>
                <w:color w:val="auto"/>
                <w:w w:val="98"/>
              </w:rPr>
              <w:t>For the Year ended December 31,</w:t>
            </w:r>
          </w:p>
        </w:tc>
        <w:tc>
          <w:tcPr>
            <w:tcW w:w="180" w:type="dxa"/>
            <w:vAlign w:val="bottom"/>
            <w:tcBorders>
              <w:bottom w:val="single" w:sz="8" w:color="auto"/>
            </w:tcBorders>
          </w:tcPr>
          <w:p>
            <w:pPr>
              <w:spacing w:after="0"/>
              <w:rPr>
                <w:sz w:val="20"/>
                <w:szCs w:val="20"/>
                <w:color w:val="auto"/>
              </w:rPr>
            </w:pPr>
          </w:p>
        </w:tc>
        <w:tc>
          <w:tcPr>
            <w:tcW w:w="5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5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0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5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99"/>
              </w:rPr>
              <w:t>2017</w:t>
            </w:r>
          </w:p>
        </w:tc>
        <w:tc>
          <w:tcPr>
            <w:tcW w:w="120" w:type="dxa"/>
            <w:vAlign w:val="bottom"/>
            <w:tcBorders>
              <w:bottom w:val="single" w:sz="8" w:color="auto"/>
            </w:tcBorders>
          </w:tcPr>
          <w:p>
            <w:pPr>
              <w:spacing w:after="0"/>
              <w:rPr>
                <w:sz w:val="19"/>
                <w:szCs w:val="19"/>
                <w:color w:val="auto"/>
              </w:rPr>
            </w:pPr>
          </w:p>
        </w:tc>
        <w:tc>
          <w:tcPr>
            <w:tcW w:w="8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4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54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94"/>
              </w:rPr>
              <w:t>2016</w:t>
            </w:r>
          </w:p>
        </w:tc>
        <w:tc>
          <w:tcPr>
            <w:tcW w:w="100" w:type="dxa"/>
            <w:vAlign w:val="bottom"/>
            <w:tcBorders>
              <w:bottom w:val="single" w:sz="8" w:color="auto"/>
            </w:tcBorders>
          </w:tcPr>
          <w:p>
            <w:pPr>
              <w:spacing w:after="0"/>
              <w:rPr>
                <w:sz w:val="19"/>
                <w:szCs w:val="19"/>
                <w:color w:val="auto"/>
              </w:rPr>
            </w:pPr>
          </w:p>
        </w:tc>
        <w:tc>
          <w:tcPr>
            <w:tcW w:w="840" w:type="dxa"/>
            <w:vAlign w:val="bottom"/>
            <w:tcBorders>
              <w:bottom w:val="single" w:sz="8" w:color="auto"/>
            </w:tcBorders>
          </w:tcPr>
          <w:p>
            <w:pPr>
              <w:spacing w:after="0"/>
              <w:rPr>
                <w:sz w:val="19"/>
                <w:szCs w:val="19"/>
                <w:color w:val="auto"/>
              </w:rPr>
            </w:pPr>
          </w:p>
        </w:tc>
        <w:tc>
          <w:tcPr>
            <w:tcW w:w="30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5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99"/>
              </w:rPr>
              <w:t>2015</w:t>
            </w:r>
          </w:p>
        </w:tc>
        <w:tc>
          <w:tcPr>
            <w:tcW w:w="1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1"/>
        </w:trPr>
        <w:tc>
          <w:tcPr>
            <w:tcW w:w="3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20" w:type="dxa"/>
            <w:vAlign w:val="bottom"/>
            <w:gridSpan w:val="3"/>
          </w:tcPr>
          <w:p>
            <w:pPr>
              <w:ind w:left="20"/>
              <w:spacing w:after="0" w:line="191" w:lineRule="exact"/>
              <w:rPr>
                <w:sz w:val="20"/>
                <w:szCs w:val="20"/>
                <w:color w:val="auto"/>
              </w:rPr>
            </w:pPr>
            <w:r>
              <w:rPr>
                <w:rFonts w:ascii="Arial" w:cs="Arial" w:eastAsia="Arial" w:hAnsi="Arial"/>
                <w:sz w:val="18"/>
                <w:szCs w:val="18"/>
                <w:b w:val="1"/>
                <w:bCs w:val="1"/>
                <w:color w:val="auto"/>
              </w:rPr>
              <w:t>Average</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ind w:left="160"/>
              <w:spacing w:after="0" w:line="191" w:lineRule="exact"/>
              <w:rPr>
                <w:sz w:val="20"/>
                <w:szCs w:val="20"/>
                <w:color w:val="auto"/>
              </w:rPr>
            </w:pPr>
            <w:r>
              <w:rPr>
                <w:rFonts w:ascii="Arial" w:cs="Arial" w:eastAsia="Arial" w:hAnsi="Arial"/>
                <w:sz w:val="18"/>
                <w:szCs w:val="18"/>
                <w:b w:val="1"/>
                <w:bCs w:val="1"/>
                <w:color w:val="auto"/>
                <w:w w:val="92"/>
              </w:rPr>
              <w:t>Average</w:t>
            </w: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900" w:type="dxa"/>
            <w:vAlign w:val="bottom"/>
            <w:gridSpan w:val="3"/>
          </w:tcPr>
          <w:p>
            <w:pPr>
              <w:jc w:val="right"/>
              <w:ind w:right="240"/>
              <w:spacing w:after="0" w:line="191" w:lineRule="exact"/>
              <w:rPr>
                <w:sz w:val="20"/>
                <w:szCs w:val="20"/>
                <w:color w:val="auto"/>
              </w:rPr>
            </w:pPr>
            <w:r>
              <w:rPr>
                <w:rFonts w:ascii="Arial" w:cs="Arial" w:eastAsia="Arial" w:hAnsi="Arial"/>
                <w:sz w:val="18"/>
                <w:szCs w:val="18"/>
                <w:b w:val="1"/>
                <w:bCs w:val="1"/>
                <w:color w:val="auto"/>
                <w:w w:val="90"/>
              </w:rPr>
              <w:t>Average</w:t>
            </w:r>
          </w:p>
        </w:tc>
        <w:tc>
          <w:tcPr>
            <w:tcW w:w="14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ind w:left="160"/>
              <w:spacing w:after="0" w:line="191" w:lineRule="exact"/>
              <w:rPr>
                <w:sz w:val="20"/>
                <w:szCs w:val="20"/>
                <w:color w:val="auto"/>
              </w:rPr>
            </w:pPr>
            <w:r>
              <w:rPr>
                <w:rFonts w:ascii="Arial" w:cs="Arial" w:eastAsia="Arial" w:hAnsi="Arial"/>
                <w:sz w:val="18"/>
                <w:szCs w:val="18"/>
                <w:b w:val="1"/>
                <w:bCs w:val="1"/>
                <w:color w:val="auto"/>
                <w:w w:val="92"/>
              </w:rPr>
              <w:t>Average</w:t>
            </w:r>
          </w:p>
        </w:tc>
        <w:tc>
          <w:tcPr>
            <w:tcW w:w="300" w:type="dxa"/>
            <w:vAlign w:val="bottom"/>
          </w:tcPr>
          <w:p>
            <w:pPr>
              <w:spacing w:after="0"/>
              <w:rPr>
                <w:sz w:val="16"/>
                <w:szCs w:val="16"/>
                <w:color w:val="auto"/>
              </w:rPr>
            </w:pPr>
          </w:p>
        </w:tc>
        <w:tc>
          <w:tcPr>
            <w:tcW w:w="820" w:type="dxa"/>
            <w:vAlign w:val="bottom"/>
            <w:gridSpan w:val="3"/>
          </w:tcPr>
          <w:p>
            <w:pPr>
              <w:ind w:left="20"/>
              <w:spacing w:after="0" w:line="191" w:lineRule="exact"/>
              <w:rPr>
                <w:sz w:val="20"/>
                <w:szCs w:val="20"/>
                <w:color w:val="auto"/>
              </w:rPr>
            </w:pPr>
            <w:r>
              <w:rPr>
                <w:rFonts w:ascii="Arial" w:cs="Arial" w:eastAsia="Arial" w:hAnsi="Arial"/>
                <w:sz w:val="18"/>
                <w:szCs w:val="18"/>
                <w:b w:val="1"/>
                <w:bCs w:val="1"/>
                <w:color w:val="auto"/>
              </w:rPr>
              <w:t>Average</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7"/>
              </w:rPr>
              <w:t>Average</w:t>
            </w: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100" w:type="dxa"/>
            <w:vAlign w:val="bottom"/>
            <w:gridSpan w:val="2"/>
          </w:tcPr>
          <w:p>
            <w:pPr>
              <w:ind w:left="1060"/>
              <w:spacing w:after="0"/>
              <w:rPr>
                <w:sz w:val="20"/>
                <w:szCs w:val="20"/>
                <w:color w:val="auto"/>
              </w:rPr>
            </w:pPr>
            <w:r>
              <w:rPr>
                <w:rFonts w:ascii="Arial" w:cs="Arial" w:eastAsia="Arial" w:hAnsi="Arial"/>
                <w:sz w:val="18"/>
                <w:szCs w:val="18"/>
                <w:b w:val="1"/>
                <w:bCs w:val="1"/>
                <w:color w:val="auto"/>
              </w:rPr>
              <w:t>Description</w:t>
            </w:r>
          </w:p>
        </w:tc>
        <w:tc>
          <w:tcPr>
            <w:tcW w:w="820" w:type="dxa"/>
            <w:vAlign w:val="bottom"/>
            <w:gridSpan w:val="3"/>
          </w:tcPr>
          <w:p>
            <w:pPr>
              <w:ind w:left="40"/>
              <w:spacing w:after="0"/>
              <w:rPr>
                <w:sz w:val="20"/>
                <w:szCs w:val="20"/>
                <w:color w:val="auto"/>
              </w:rPr>
            </w:pPr>
            <w:r>
              <w:rPr>
                <w:rFonts w:ascii="Arial" w:cs="Arial" w:eastAsia="Arial" w:hAnsi="Arial"/>
                <w:sz w:val="18"/>
                <w:szCs w:val="18"/>
                <w:b w:val="1"/>
                <w:bCs w:val="1"/>
                <w:color w:val="auto"/>
              </w:rPr>
              <w:t>balance</w:t>
            </w:r>
          </w:p>
        </w:tc>
        <w:tc>
          <w:tcPr>
            <w:tcW w:w="80" w:type="dxa"/>
            <w:vAlign w:val="bottom"/>
          </w:tcPr>
          <w:p>
            <w:pPr>
              <w:spacing w:after="0"/>
              <w:rPr>
                <w:sz w:val="20"/>
                <w:szCs w:val="20"/>
                <w:color w:val="auto"/>
              </w:rPr>
            </w:pPr>
          </w:p>
        </w:tc>
        <w:tc>
          <w:tcPr>
            <w:tcW w:w="780" w:type="dxa"/>
            <w:vAlign w:val="bottom"/>
            <w:gridSpan w:val="3"/>
          </w:tcPr>
          <w:p>
            <w:pPr>
              <w:jc w:val="right"/>
              <w:ind w:right="160"/>
              <w:spacing w:after="0"/>
              <w:rPr>
                <w:sz w:val="20"/>
                <w:szCs w:val="20"/>
                <w:color w:val="auto"/>
              </w:rPr>
            </w:pPr>
            <w:r>
              <w:rPr>
                <w:rFonts w:ascii="Arial" w:cs="Arial" w:eastAsia="Arial" w:hAnsi="Arial"/>
                <w:sz w:val="18"/>
                <w:szCs w:val="18"/>
                <w:b w:val="1"/>
                <w:bCs w:val="1"/>
                <w:color w:val="auto"/>
                <w:w w:val="92"/>
              </w:rPr>
              <w:t>Interest</w:t>
            </w:r>
          </w:p>
        </w:tc>
        <w:tc>
          <w:tcPr>
            <w:tcW w:w="1060" w:type="dxa"/>
            <w:vAlign w:val="bottom"/>
            <w:gridSpan w:val="2"/>
          </w:tcPr>
          <w:p>
            <w:pPr>
              <w:ind w:left="100"/>
              <w:spacing w:after="0"/>
              <w:rPr>
                <w:sz w:val="20"/>
                <w:szCs w:val="20"/>
                <w:color w:val="auto"/>
              </w:rPr>
            </w:pPr>
            <w:r>
              <w:rPr>
                <w:rFonts w:ascii="Arial" w:cs="Arial" w:eastAsia="Arial" w:hAnsi="Arial"/>
                <w:sz w:val="18"/>
                <w:szCs w:val="18"/>
                <w:b w:val="1"/>
                <w:bCs w:val="1"/>
                <w:color w:val="auto"/>
              </w:rPr>
              <w:t>yield/rate</w:t>
            </w:r>
          </w:p>
        </w:tc>
        <w:tc>
          <w:tcPr>
            <w:tcW w:w="60" w:type="dxa"/>
            <w:vAlign w:val="bottom"/>
          </w:tcPr>
          <w:p>
            <w:pPr>
              <w:spacing w:after="0"/>
              <w:rPr>
                <w:sz w:val="20"/>
                <w:szCs w:val="20"/>
                <w:color w:val="auto"/>
              </w:rPr>
            </w:pPr>
          </w:p>
        </w:tc>
        <w:tc>
          <w:tcPr>
            <w:tcW w:w="900" w:type="dxa"/>
            <w:vAlign w:val="bottom"/>
            <w:gridSpan w:val="3"/>
          </w:tcPr>
          <w:p>
            <w:pPr>
              <w:jc w:val="right"/>
              <w:ind w:right="260"/>
              <w:spacing w:after="0"/>
              <w:rPr>
                <w:sz w:val="20"/>
                <w:szCs w:val="20"/>
                <w:color w:val="auto"/>
              </w:rPr>
            </w:pPr>
            <w:r>
              <w:rPr>
                <w:rFonts w:ascii="Arial" w:cs="Arial" w:eastAsia="Arial" w:hAnsi="Arial"/>
                <w:sz w:val="18"/>
                <w:szCs w:val="18"/>
                <w:b w:val="1"/>
                <w:bCs w:val="1"/>
                <w:color w:val="auto"/>
                <w:w w:val="92"/>
              </w:rPr>
              <w:t>balance</w:t>
            </w:r>
          </w:p>
        </w:tc>
        <w:tc>
          <w:tcPr>
            <w:tcW w:w="780" w:type="dxa"/>
            <w:vAlign w:val="bottom"/>
            <w:gridSpan w:val="3"/>
          </w:tcPr>
          <w:p>
            <w:pPr>
              <w:ind w:left="40"/>
              <w:spacing w:after="0"/>
              <w:rPr>
                <w:sz w:val="20"/>
                <w:szCs w:val="20"/>
                <w:color w:val="auto"/>
              </w:rPr>
            </w:pPr>
            <w:r>
              <w:rPr>
                <w:rFonts w:ascii="Arial" w:cs="Arial" w:eastAsia="Arial" w:hAnsi="Arial"/>
                <w:sz w:val="18"/>
                <w:szCs w:val="18"/>
                <w:b w:val="1"/>
                <w:bCs w:val="1"/>
                <w:color w:val="auto"/>
              </w:rPr>
              <w:t>Interest</w:t>
            </w:r>
          </w:p>
        </w:tc>
        <w:tc>
          <w:tcPr>
            <w:tcW w:w="1140" w:type="dxa"/>
            <w:vAlign w:val="bottom"/>
            <w:gridSpan w:val="2"/>
          </w:tcPr>
          <w:p>
            <w:pPr>
              <w:ind w:left="120"/>
              <w:spacing w:after="0"/>
              <w:rPr>
                <w:sz w:val="20"/>
                <w:szCs w:val="20"/>
                <w:color w:val="auto"/>
              </w:rPr>
            </w:pPr>
            <w:r>
              <w:rPr>
                <w:rFonts w:ascii="Arial" w:cs="Arial" w:eastAsia="Arial" w:hAnsi="Arial"/>
                <w:sz w:val="18"/>
                <w:szCs w:val="18"/>
                <w:b w:val="1"/>
                <w:bCs w:val="1"/>
                <w:color w:val="auto"/>
              </w:rPr>
              <w:t>yield/rate</w:t>
            </w:r>
          </w:p>
        </w:tc>
        <w:tc>
          <w:tcPr>
            <w:tcW w:w="820" w:type="dxa"/>
            <w:vAlign w:val="bottom"/>
            <w:gridSpan w:val="3"/>
          </w:tcPr>
          <w:p>
            <w:pPr>
              <w:ind w:left="40"/>
              <w:spacing w:after="0"/>
              <w:rPr>
                <w:sz w:val="20"/>
                <w:szCs w:val="20"/>
                <w:color w:val="auto"/>
              </w:rPr>
            </w:pPr>
            <w:r>
              <w:rPr>
                <w:rFonts w:ascii="Arial" w:cs="Arial" w:eastAsia="Arial" w:hAnsi="Arial"/>
                <w:sz w:val="18"/>
                <w:szCs w:val="18"/>
                <w:b w:val="1"/>
                <w:bCs w:val="1"/>
                <w:color w:val="auto"/>
              </w:rPr>
              <w:t>balance</w:t>
            </w:r>
          </w:p>
        </w:tc>
        <w:tc>
          <w:tcPr>
            <w:tcW w:w="80" w:type="dxa"/>
            <w:vAlign w:val="bottom"/>
          </w:tcPr>
          <w:p>
            <w:pPr>
              <w:spacing w:after="0"/>
              <w:rPr>
                <w:sz w:val="20"/>
                <w:szCs w:val="20"/>
                <w:color w:val="auto"/>
              </w:rPr>
            </w:pPr>
          </w:p>
        </w:tc>
        <w:tc>
          <w:tcPr>
            <w:tcW w:w="780" w:type="dxa"/>
            <w:vAlign w:val="bottom"/>
            <w:gridSpan w:val="3"/>
          </w:tcPr>
          <w:p>
            <w:pPr>
              <w:jc w:val="right"/>
              <w:ind w:right="160"/>
              <w:spacing w:after="0"/>
              <w:rPr>
                <w:sz w:val="20"/>
                <w:szCs w:val="20"/>
                <w:color w:val="auto"/>
              </w:rPr>
            </w:pPr>
            <w:r>
              <w:rPr>
                <w:rFonts w:ascii="Arial" w:cs="Arial" w:eastAsia="Arial" w:hAnsi="Arial"/>
                <w:sz w:val="18"/>
                <w:szCs w:val="18"/>
                <w:b w:val="1"/>
                <w:bCs w:val="1"/>
                <w:color w:val="auto"/>
                <w:w w:val="92"/>
              </w:rPr>
              <w:t>Interest</w:t>
            </w:r>
          </w:p>
        </w:tc>
        <w:tc>
          <w:tcPr>
            <w:tcW w:w="102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3"/>
              </w:rPr>
              <w:t>yield/rate</w:t>
            </w:r>
          </w:p>
        </w:tc>
        <w:tc>
          <w:tcPr>
            <w:tcW w:w="0" w:type="dxa"/>
            <w:vAlign w:val="bottom"/>
          </w:tcPr>
          <w:p>
            <w:pPr>
              <w:spacing w:after="0"/>
              <w:rPr>
                <w:sz w:val="1"/>
                <w:szCs w:val="1"/>
                <w:color w:val="auto"/>
              </w:rPr>
            </w:pPr>
          </w:p>
        </w:tc>
      </w:tr>
      <w:tr>
        <w:trPr>
          <w:trHeight w:val="210"/>
        </w:trPr>
        <w:tc>
          <w:tcPr>
            <w:tcW w:w="30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54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3940" w:type="dxa"/>
            <w:vAlign w:val="bottom"/>
            <w:tcBorders>
              <w:top w:val="single" w:sz="8" w:color="auto"/>
            </w:tcBorders>
            <w:gridSpan w:val="11"/>
          </w:tcPr>
          <w:p>
            <w:pPr>
              <w:ind w:left="620"/>
              <w:spacing w:after="0"/>
              <w:rPr>
                <w:sz w:val="20"/>
                <w:szCs w:val="20"/>
                <w:color w:val="auto"/>
              </w:rPr>
            </w:pPr>
            <w:r>
              <w:rPr>
                <w:rFonts w:ascii="Arial" w:cs="Arial" w:eastAsia="Arial" w:hAnsi="Arial"/>
                <w:sz w:val="18"/>
                <w:szCs w:val="18"/>
                <w:b w:val="1"/>
                <w:bCs w:val="1"/>
                <w:color w:val="auto"/>
              </w:rPr>
              <w:t>(in $ millions, except percentages)</w:t>
            </w:r>
          </w:p>
        </w:tc>
        <w:tc>
          <w:tcPr>
            <w:tcW w:w="18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5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Interest-Earning Assets</w:t>
            </w:r>
          </w:p>
        </w:tc>
        <w:tc>
          <w:tcPr>
            <w:tcW w:w="18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00" w:type="dxa"/>
            <w:vAlign w:val="bottom"/>
            <w:gridSpan w:val="2"/>
          </w:tcPr>
          <w:p>
            <w:pPr>
              <w:spacing w:after="0"/>
              <w:rPr>
                <w:sz w:val="20"/>
                <w:szCs w:val="20"/>
                <w:color w:val="auto"/>
              </w:rPr>
            </w:pPr>
            <w:r>
              <w:rPr>
                <w:rFonts w:ascii="Arial" w:cs="Arial" w:eastAsia="Arial" w:hAnsi="Arial"/>
                <w:sz w:val="18"/>
                <w:szCs w:val="18"/>
                <w:color w:val="auto"/>
              </w:rPr>
              <w:t>Interest bearing deposits with banks</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909</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10.3</w:t>
            </w:r>
          </w:p>
        </w:tc>
        <w:tc>
          <w:tcPr>
            <w:tcW w:w="1060" w:type="dxa"/>
            <w:vAlign w:val="bottom"/>
            <w:gridSpan w:val="2"/>
          </w:tcPr>
          <w:p>
            <w:pPr>
              <w:ind w:left="520"/>
              <w:spacing w:after="0"/>
              <w:rPr>
                <w:sz w:val="20"/>
                <w:szCs w:val="20"/>
                <w:color w:val="auto"/>
              </w:rPr>
            </w:pPr>
            <w:r>
              <w:rPr>
                <w:rFonts w:ascii="Arial" w:cs="Arial" w:eastAsia="Arial" w:hAnsi="Arial"/>
                <w:sz w:val="18"/>
                <w:szCs w:val="18"/>
                <w:color w:val="auto"/>
              </w:rPr>
              <w:t>1.11%</w:t>
            </w:r>
          </w:p>
        </w:tc>
        <w:tc>
          <w:tcPr>
            <w:tcW w:w="26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845</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540" w:type="dxa"/>
            <w:vAlign w:val="bottom"/>
          </w:tcPr>
          <w:p>
            <w:pPr>
              <w:jc w:val="right"/>
              <w:spacing w:after="0"/>
              <w:rPr>
                <w:sz w:val="20"/>
                <w:szCs w:val="20"/>
                <w:color w:val="auto"/>
              </w:rPr>
            </w:pPr>
            <w:r>
              <w:rPr>
                <w:rFonts w:ascii="Arial" w:cs="Arial" w:eastAsia="Arial" w:hAnsi="Arial"/>
                <w:sz w:val="18"/>
                <w:szCs w:val="18"/>
                <w:color w:val="auto"/>
              </w:rPr>
              <w:t>4.5</w:t>
            </w:r>
          </w:p>
        </w:tc>
        <w:tc>
          <w:tcPr>
            <w:tcW w:w="100" w:type="dxa"/>
            <w:vAlign w:val="bottom"/>
          </w:tcPr>
          <w:p>
            <w:pPr>
              <w:spacing w:after="0"/>
              <w:rPr>
                <w:sz w:val="18"/>
                <w:szCs w:val="18"/>
                <w:color w:val="auto"/>
              </w:rPr>
            </w:pPr>
          </w:p>
        </w:tc>
        <w:tc>
          <w:tcPr>
            <w:tcW w:w="1140" w:type="dxa"/>
            <w:vAlign w:val="bottom"/>
            <w:gridSpan w:val="2"/>
          </w:tcPr>
          <w:p>
            <w:pPr>
              <w:ind w:left="520"/>
              <w:spacing w:after="0"/>
              <w:rPr>
                <w:sz w:val="20"/>
                <w:szCs w:val="20"/>
                <w:color w:val="auto"/>
              </w:rPr>
            </w:pPr>
            <w:r>
              <w:rPr>
                <w:rFonts w:ascii="Arial" w:cs="Arial" w:eastAsia="Arial" w:hAnsi="Arial"/>
                <w:sz w:val="18"/>
                <w:szCs w:val="18"/>
                <w:color w:val="auto"/>
              </w:rPr>
              <w:t>0.52%</w:t>
            </w:r>
          </w:p>
        </w:tc>
        <w:tc>
          <w:tcPr>
            <w:tcW w:w="180" w:type="dxa"/>
            <w:vAlign w:val="bottom"/>
          </w:tcPr>
          <w:p>
            <w:pPr>
              <w:jc w:val="right"/>
              <w:ind w:right="22"/>
              <w:spacing w:after="0"/>
              <w:rPr>
                <w:sz w:val="20"/>
                <w:szCs w:val="20"/>
                <w:color w:val="auto"/>
              </w:rPr>
            </w:pPr>
            <w:r>
              <w:rPr>
                <w:rFonts w:ascii="Arial" w:cs="Arial" w:eastAsia="Arial" w:hAnsi="Arial"/>
                <w:sz w:val="15"/>
                <w:szCs w:val="15"/>
                <w:color w:val="auto"/>
                <w:w w:val="71"/>
              </w:rPr>
              <w:t>$</w:t>
            </w: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819</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2.1</w:t>
            </w:r>
          </w:p>
        </w:tc>
        <w:tc>
          <w:tcPr>
            <w:tcW w:w="1020" w:type="dxa"/>
            <w:vAlign w:val="bottom"/>
            <w:gridSpan w:val="3"/>
          </w:tcPr>
          <w:p>
            <w:pPr>
              <w:ind w:left="520"/>
              <w:spacing w:after="0"/>
              <w:rPr>
                <w:sz w:val="20"/>
                <w:szCs w:val="20"/>
                <w:color w:val="auto"/>
              </w:rPr>
            </w:pPr>
            <w:r>
              <w:rPr>
                <w:rFonts w:ascii="Arial" w:cs="Arial" w:eastAsia="Arial" w:hAnsi="Arial"/>
                <w:sz w:val="18"/>
                <w:szCs w:val="18"/>
                <w:color w:val="auto"/>
                <w:w w:val="93"/>
              </w:rPr>
              <w:t>0.25%</w:t>
            </w:r>
          </w:p>
        </w:tc>
        <w:tc>
          <w:tcPr>
            <w:tcW w:w="0" w:type="dxa"/>
            <w:vAlign w:val="bottom"/>
          </w:tcPr>
          <w:p>
            <w:pPr>
              <w:spacing w:after="0"/>
              <w:rPr>
                <w:sz w:val="1"/>
                <w:szCs w:val="1"/>
                <w:color w:val="auto"/>
              </w:rPr>
            </w:pPr>
          </w:p>
        </w:tc>
      </w:tr>
      <w:tr>
        <w:trPr>
          <w:trHeight w:val="216"/>
        </w:trPr>
        <w:tc>
          <w:tcPr>
            <w:tcW w:w="31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Financial instruments at FVTPL</w:t>
            </w:r>
          </w:p>
        </w:tc>
        <w:tc>
          <w:tcPr>
            <w:tcW w:w="18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w:t>
            </w:r>
          </w:p>
        </w:tc>
        <w:tc>
          <w:tcPr>
            <w:tcW w:w="106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0.00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0.00%</w:t>
            </w:r>
          </w:p>
        </w:tc>
        <w:tc>
          <w:tcPr>
            <w:tcW w:w="18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56</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w:t>
            </w:r>
          </w:p>
        </w:tc>
        <w:tc>
          <w:tcPr>
            <w:tcW w:w="102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r>
        <w:trPr>
          <w:trHeight w:val="257"/>
        </w:trPr>
        <w:tc>
          <w:tcPr>
            <w:tcW w:w="310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Securities at FVOCI </w:t>
            </w:r>
            <w:r>
              <w:rPr>
                <w:rFonts w:ascii="Arial" w:cs="Arial" w:eastAsia="Arial" w:hAnsi="Arial"/>
                <w:sz w:val="29"/>
                <w:szCs w:val="29"/>
                <w:color w:val="auto"/>
                <w:vertAlign w:val="superscript"/>
              </w:rPr>
              <w:t>(1)</w:t>
            </w:r>
          </w:p>
        </w:tc>
        <w:tc>
          <w:tcPr>
            <w:tcW w:w="180" w:type="dxa"/>
            <w:vAlign w:val="bottom"/>
          </w:tcPr>
          <w:p>
            <w:pPr>
              <w:spacing w:after="0"/>
              <w:rPr>
                <w:sz w:val="22"/>
                <w:szCs w:val="22"/>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19</w:t>
            </w:r>
          </w:p>
        </w:tc>
        <w:tc>
          <w:tcPr>
            <w:tcW w:w="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0.5</w:t>
            </w:r>
          </w:p>
        </w:tc>
        <w:tc>
          <w:tcPr>
            <w:tcW w:w="1060" w:type="dxa"/>
            <w:vAlign w:val="bottom"/>
            <w:gridSpan w:val="2"/>
          </w:tcPr>
          <w:p>
            <w:pPr>
              <w:ind w:left="520"/>
              <w:spacing w:after="0"/>
              <w:rPr>
                <w:sz w:val="20"/>
                <w:szCs w:val="20"/>
                <w:color w:val="auto"/>
              </w:rPr>
            </w:pPr>
            <w:r>
              <w:rPr>
                <w:rFonts w:ascii="Arial" w:cs="Arial" w:eastAsia="Arial" w:hAnsi="Arial"/>
                <w:sz w:val="18"/>
                <w:szCs w:val="18"/>
                <w:color w:val="auto"/>
              </w:rPr>
              <w:t>2.80</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480" w:type="dxa"/>
            <w:vAlign w:val="bottom"/>
          </w:tcPr>
          <w:p>
            <w:pPr>
              <w:jc w:val="right"/>
              <w:spacing w:after="0"/>
              <w:rPr>
                <w:sz w:val="20"/>
                <w:szCs w:val="20"/>
                <w:color w:val="auto"/>
              </w:rPr>
            </w:pPr>
            <w:r>
              <w:rPr>
                <w:rFonts w:ascii="Arial" w:cs="Arial" w:eastAsia="Arial" w:hAnsi="Arial"/>
                <w:sz w:val="18"/>
                <w:szCs w:val="18"/>
                <w:color w:val="auto"/>
              </w:rPr>
              <w:t>98</w:t>
            </w:r>
          </w:p>
        </w:tc>
        <w:tc>
          <w:tcPr>
            <w:tcW w:w="22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2.2</w:t>
            </w:r>
          </w:p>
        </w:tc>
        <w:tc>
          <w:tcPr>
            <w:tcW w:w="100" w:type="dxa"/>
            <w:vAlign w:val="bottom"/>
          </w:tcPr>
          <w:p>
            <w:pPr>
              <w:spacing w:after="0"/>
              <w:rPr>
                <w:sz w:val="22"/>
                <w:szCs w:val="22"/>
                <w:color w:val="auto"/>
              </w:rPr>
            </w:pPr>
          </w:p>
        </w:tc>
        <w:tc>
          <w:tcPr>
            <w:tcW w:w="1140" w:type="dxa"/>
            <w:vAlign w:val="bottom"/>
            <w:gridSpan w:val="2"/>
          </w:tcPr>
          <w:p>
            <w:pPr>
              <w:ind w:left="520"/>
              <w:spacing w:after="0"/>
              <w:rPr>
                <w:sz w:val="20"/>
                <w:szCs w:val="20"/>
                <w:color w:val="auto"/>
              </w:rPr>
            </w:pPr>
            <w:r>
              <w:rPr>
                <w:rFonts w:ascii="Arial" w:cs="Arial" w:eastAsia="Arial" w:hAnsi="Arial"/>
                <w:sz w:val="18"/>
                <w:szCs w:val="18"/>
                <w:color w:val="auto"/>
              </w:rPr>
              <w:t>2.27%</w:t>
            </w:r>
          </w:p>
        </w:tc>
        <w:tc>
          <w:tcPr>
            <w:tcW w:w="180" w:type="dxa"/>
            <w:vAlign w:val="bottom"/>
          </w:tcPr>
          <w:p>
            <w:pPr>
              <w:spacing w:after="0"/>
              <w:rPr>
                <w:sz w:val="22"/>
                <w:szCs w:val="22"/>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253</w:t>
            </w:r>
          </w:p>
        </w:tc>
        <w:tc>
          <w:tcPr>
            <w:tcW w:w="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6.0</w:t>
            </w:r>
          </w:p>
        </w:tc>
        <w:tc>
          <w:tcPr>
            <w:tcW w:w="1020" w:type="dxa"/>
            <w:vAlign w:val="bottom"/>
            <w:gridSpan w:val="3"/>
          </w:tcPr>
          <w:p>
            <w:pPr>
              <w:ind w:left="520"/>
              <w:spacing w:after="0"/>
              <w:rPr>
                <w:sz w:val="20"/>
                <w:szCs w:val="20"/>
                <w:color w:val="auto"/>
              </w:rPr>
            </w:pPr>
            <w:r>
              <w:rPr>
                <w:rFonts w:ascii="Arial" w:cs="Arial" w:eastAsia="Arial" w:hAnsi="Arial"/>
                <w:sz w:val="18"/>
                <w:szCs w:val="18"/>
                <w:color w:val="auto"/>
                <w:w w:val="93"/>
              </w:rPr>
              <w:t>2.35%</w:t>
            </w:r>
          </w:p>
        </w:tc>
        <w:tc>
          <w:tcPr>
            <w:tcW w:w="0" w:type="dxa"/>
            <w:vAlign w:val="bottom"/>
          </w:tcPr>
          <w:p>
            <w:pPr>
              <w:spacing w:after="0"/>
              <w:rPr>
                <w:sz w:val="1"/>
                <w:szCs w:val="1"/>
                <w:color w:val="auto"/>
              </w:rPr>
            </w:pPr>
          </w:p>
        </w:tc>
      </w:tr>
      <w:tr>
        <w:trPr>
          <w:trHeight w:val="257"/>
        </w:trPr>
        <w:tc>
          <w:tcPr>
            <w:tcW w:w="310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(2)</w:t>
            </w:r>
          </w:p>
        </w:tc>
        <w:tc>
          <w:tcPr>
            <w:tcW w:w="180" w:type="dxa"/>
            <w:vAlign w:val="bottom"/>
            <w:shd w:val="clear" w:color="auto" w:fill="CCEEFF"/>
          </w:tcPr>
          <w:p>
            <w:pPr>
              <w:spacing w:after="0"/>
              <w:rPr>
                <w:sz w:val="22"/>
                <w:szCs w:val="22"/>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68</w:t>
            </w:r>
          </w:p>
        </w:tc>
        <w:tc>
          <w:tcPr>
            <w:tcW w:w="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w:t>
            </w:r>
          </w:p>
        </w:tc>
        <w:tc>
          <w:tcPr>
            <w:tcW w:w="106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2.84</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w:t>
            </w:r>
          </w:p>
        </w:tc>
        <w:tc>
          <w:tcPr>
            <w:tcW w:w="22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10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2.75%</w:t>
            </w:r>
          </w:p>
        </w:tc>
        <w:tc>
          <w:tcPr>
            <w:tcW w:w="180" w:type="dxa"/>
            <w:vAlign w:val="bottom"/>
            <w:shd w:val="clear" w:color="auto" w:fill="CCEEFF"/>
          </w:tcPr>
          <w:p>
            <w:pPr>
              <w:spacing w:after="0"/>
              <w:rPr>
                <w:sz w:val="22"/>
                <w:szCs w:val="22"/>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83</w:t>
            </w:r>
          </w:p>
        </w:tc>
        <w:tc>
          <w:tcPr>
            <w:tcW w:w="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w:t>
            </w:r>
          </w:p>
        </w:tc>
        <w:tc>
          <w:tcPr>
            <w:tcW w:w="102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w w:val="93"/>
              </w:rPr>
              <w:t>2.83%</w:t>
            </w:r>
          </w:p>
        </w:tc>
        <w:tc>
          <w:tcPr>
            <w:tcW w:w="0" w:type="dxa"/>
            <w:vAlign w:val="bottom"/>
          </w:tcPr>
          <w:p>
            <w:pPr>
              <w:spacing w:after="0"/>
              <w:rPr>
                <w:sz w:val="1"/>
                <w:szCs w:val="1"/>
                <w:color w:val="auto"/>
              </w:rPr>
            </w:pPr>
          </w:p>
        </w:tc>
      </w:tr>
      <w:tr>
        <w:trPr>
          <w:trHeight w:val="230"/>
        </w:trPr>
        <w:tc>
          <w:tcPr>
            <w:tcW w:w="3100" w:type="dxa"/>
            <w:vAlign w:val="bottom"/>
            <w:gridSpan w:val="2"/>
          </w:tcPr>
          <w:p>
            <w:pPr>
              <w:spacing w:after="0"/>
              <w:rPr>
                <w:sz w:val="20"/>
                <w:szCs w:val="20"/>
                <w:color w:val="auto"/>
              </w:rPr>
            </w:pPr>
            <w:r>
              <w:rPr>
                <w:rFonts w:ascii="Arial" w:cs="Arial" w:eastAsia="Arial" w:hAnsi="Arial"/>
                <w:sz w:val="18"/>
                <w:szCs w:val="18"/>
                <w:color w:val="auto"/>
              </w:rPr>
              <w:t>Loans, net of unearned interest</w:t>
            </w:r>
          </w:p>
        </w:tc>
        <w:tc>
          <w:tcPr>
            <w:tcW w:w="180" w:type="dxa"/>
            <w:vAlign w:val="bottom"/>
          </w:tcPr>
          <w:p>
            <w:pPr>
              <w:spacing w:after="0"/>
              <w:rPr>
                <w:sz w:val="19"/>
                <w:szCs w:val="19"/>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5,498</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213.3</w:t>
            </w:r>
          </w:p>
        </w:tc>
        <w:tc>
          <w:tcPr>
            <w:tcW w:w="1060" w:type="dxa"/>
            <w:vAlign w:val="bottom"/>
            <w:gridSpan w:val="2"/>
          </w:tcPr>
          <w:p>
            <w:pPr>
              <w:ind w:left="520"/>
              <w:spacing w:after="0"/>
              <w:rPr>
                <w:sz w:val="20"/>
                <w:szCs w:val="20"/>
                <w:color w:val="auto"/>
              </w:rPr>
            </w:pPr>
            <w:r>
              <w:rPr>
                <w:rFonts w:ascii="Arial" w:cs="Arial" w:eastAsia="Arial" w:hAnsi="Arial"/>
                <w:sz w:val="18"/>
                <w:szCs w:val="18"/>
                <w:color w:val="auto"/>
              </w:rPr>
              <w:t>3.83</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6,421</w:t>
            </w:r>
          </w:p>
        </w:tc>
        <w:tc>
          <w:tcPr>
            <w:tcW w:w="140" w:type="dxa"/>
            <w:vAlign w:val="bottom"/>
          </w:tcPr>
          <w:p>
            <w:pPr>
              <w:spacing w:after="0"/>
              <w:rPr>
                <w:sz w:val="19"/>
                <w:szCs w:val="19"/>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236.4</w:t>
            </w:r>
          </w:p>
        </w:tc>
        <w:tc>
          <w:tcPr>
            <w:tcW w:w="100" w:type="dxa"/>
            <w:vAlign w:val="bottom"/>
          </w:tcPr>
          <w:p>
            <w:pPr>
              <w:spacing w:after="0"/>
              <w:rPr>
                <w:sz w:val="19"/>
                <w:szCs w:val="19"/>
                <w:color w:val="auto"/>
              </w:rPr>
            </w:pPr>
          </w:p>
        </w:tc>
        <w:tc>
          <w:tcPr>
            <w:tcW w:w="1140" w:type="dxa"/>
            <w:vAlign w:val="bottom"/>
            <w:gridSpan w:val="2"/>
          </w:tcPr>
          <w:p>
            <w:pPr>
              <w:ind w:left="520"/>
              <w:spacing w:after="0"/>
              <w:rPr>
                <w:sz w:val="20"/>
                <w:szCs w:val="20"/>
                <w:color w:val="auto"/>
              </w:rPr>
            </w:pPr>
            <w:r>
              <w:rPr>
                <w:rFonts w:ascii="Arial" w:cs="Arial" w:eastAsia="Arial" w:hAnsi="Arial"/>
                <w:sz w:val="18"/>
                <w:szCs w:val="18"/>
                <w:color w:val="auto"/>
              </w:rPr>
              <w:t>3.62%</w:t>
            </w:r>
          </w:p>
        </w:tc>
        <w:tc>
          <w:tcPr>
            <w:tcW w:w="180" w:type="dxa"/>
            <w:vAlign w:val="bottom"/>
          </w:tcPr>
          <w:p>
            <w:pPr>
              <w:spacing w:after="0"/>
              <w:rPr>
                <w:sz w:val="19"/>
                <w:szCs w:val="19"/>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6,688</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209.9</w:t>
            </w:r>
          </w:p>
        </w:tc>
        <w:tc>
          <w:tcPr>
            <w:tcW w:w="1020" w:type="dxa"/>
            <w:vAlign w:val="bottom"/>
            <w:gridSpan w:val="3"/>
          </w:tcPr>
          <w:p>
            <w:pPr>
              <w:ind w:left="520"/>
              <w:spacing w:after="0"/>
              <w:rPr>
                <w:sz w:val="20"/>
                <w:szCs w:val="20"/>
                <w:color w:val="auto"/>
              </w:rPr>
            </w:pPr>
            <w:r>
              <w:rPr>
                <w:rFonts w:ascii="Arial" w:cs="Arial" w:eastAsia="Arial" w:hAnsi="Arial"/>
                <w:sz w:val="18"/>
                <w:szCs w:val="18"/>
                <w:color w:val="auto"/>
                <w:w w:val="93"/>
              </w:rPr>
              <w:t>3.09%</w:t>
            </w:r>
          </w:p>
        </w:tc>
        <w:tc>
          <w:tcPr>
            <w:tcW w:w="0" w:type="dxa"/>
            <w:vAlign w:val="bottom"/>
          </w:tcPr>
          <w:p>
            <w:pPr>
              <w:spacing w:after="0"/>
              <w:rPr>
                <w:sz w:val="1"/>
                <w:szCs w:val="1"/>
                <w:color w:val="auto"/>
              </w:rPr>
            </w:pPr>
          </w:p>
        </w:tc>
      </w:tr>
      <w:tr>
        <w:trPr>
          <w:trHeight w:val="223"/>
        </w:trPr>
        <w:tc>
          <w:tcPr>
            <w:tcW w:w="31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interest-earning assets</w:t>
            </w: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6,494</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226.1</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CCEEFF"/>
              <w:bottom w:val="single" w:sz="8" w:color="CCEEFF"/>
            </w:tcBorders>
            <w:gridSpan w:val="2"/>
            <w:shd w:val="clear" w:color="auto" w:fill="CCEEFF"/>
          </w:tcPr>
          <w:p>
            <w:pPr>
              <w:ind w:left="520"/>
              <w:spacing w:after="0" w:line="223" w:lineRule="exact"/>
              <w:rPr>
                <w:sz w:val="20"/>
                <w:szCs w:val="20"/>
                <w:color w:val="auto"/>
              </w:rPr>
            </w:pPr>
            <w:r>
              <w:rPr>
                <w:rFonts w:ascii="Arial" w:cs="Arial" w:eastAsia="Arial" w:hAnsi="Arial"/>
                <w:sz w:val="14"/>
                <w:szCs w:val="14"/>
                <w:b w:val="1"/>
                <w:bCs w:val="1"/>
                <w:color w:val="auto"/>
              </w:rPr>
              <w:t>3.43</w:t>
            </w:r>
            <w:r>
              <w:rPr>
                <w:rFonts w:ascii="Arial" w:cs="Arial" w:eastAsia="Arial" w:hAnsi="Arial"/>
                <w:sz w:val="25"/>
                <w:szCs w:val="25"/>
                <w:b w:val="1"/>
                <w:bCs w:val="1"/>
                <w:color w:val="auto"/>
                <w:vertAlign w:val="superscript"/>
              </w:rPr>
              <w:t>%</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245.9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CCEEFF"/>
              <w:bottom w:val="single" w:sz="8" w:color="CCEEFF"/>
            </w:tcBorders>
            <w:gridSpan w:val="2"/>
            <w:shd w:val="clear" w:color="auto" w:fill="CCEEFF"/>
          </w:tcPr>
          <w:p>
            <w:pPr>
              <w:ind w:left="520"/>
              <w:spacing w:after="0" w:line="223" w:lineRule="exact"/>
              <w:rPr>
                <w:sz w:val="20"/>
                <w:szCs w:val="20"/>
                <w:color w:val="auto"/>
              </w:rPr>
            </w:pPr>
            <w:r>
              <w:rPr>
                <w:rFonts w:ascii="Arial" w:cs="Arial" w:eastAsia="Arial" w:hAnsi="Arial"/>
                <w:sz w:val="14"/>
                <w:szCs w:val="14"/>
                <w:b w:val="1"/>
                <w:bCs w:val="1"/>
                <w:color w:val="auto"/>
              </w:rPr>
              <w:t>3.23</w:t>
            </w:r>
            <w:r>
              <w:rPr>
                <w:rFonts w:ascii="Arial" w:cs="Arial" w:eastAsia="Arial" w:hAnsi="Arial"/>
                <w:sz w:val="25"/>
                <w:szCs w:val="25"/>
                <w:b w:val="1"/>
                <w:bCs w:val="1"/>
                <w:color w:val="auto"/>
                <w:vertAlign w:val="superscript"/>
              </w:rPr>
              <w:t>%</w:t>
            </w:r>
          </w:p>
        </w:tc>
        <w:tc>
          <w:tcPr>
            <w:tcW w:w="180" w:type="dxa"/>
            <w:vAlign w:val="bottom"/>
            <w:tcBorders>
              <w:top w:val="single" w:sz="8" w:color="auto"/>
              <w:bottom w:val="single" w:sz="8" w:color="auto"/>
            </w:tcBorders>
            <w:shd w:val="clear" w:color="auto" w:fill="CCEEFF"/>
          </w:tcPr>
          <w:p>
            <w:pPr>
              <w:jc w:val="right"/>
              <w:ind w:right="22"/>
              <w:spacing w:after="0"/>
              <w:rPr>
                <w:sz w:val="20"/>
                <w:szCs w:val="20"/>
                <w:color w:val="auto"/>
              </w:rPr>
            </w:pPr>
            <w:r>
              <w:rPr>
                <w:rFonts w:ascii="Arial" w:cs="Arial" w:eastAsia="Arial" w:hAnsi="Arial"/>
                <w:sz w:val="15"/>
                <w:szCs w:val="15"/>
                <w:b w:val="1"/>
                <w:bCs w:val="1"/>
                <w:color w:val="auto"/>
                <w:w w:val="71"/>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7,899</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220.3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CCEEFF"/>
              <w:bottom w:val="single" w:sz="8" w:color="CCEEFF"/>
            </w:tcBorders>
            <w:gridSpan w:val="3"/>
            <w:shd w:val="clear" w:color="auto" w:fill="CCEEFF"/>
          </w:tcPr>
          <w:p>
            <w:pPr>
              <w:ind w:left="520"/>
              <w:spacing w:after="0" w:line="223" w:lineRule="exact"/>
              <w:rPr>
                <w:sz w:val="20"/>
                <w:szCs w:val="20"/>
                <w:color w:val="auto"/>
              </w:rPr>
            </w:pPr>
            <w:r>
              <w:rPr>
                <w:rFonts w:ascii="Arial" w:cs="Arial" w:eastAsia="Arial" w:hAnsi="Arial"/>
                <w:sz w:val="14"/>
                <w:szCs w:val="14"/>
                <w:b w:val="1"/>
                <w:bCs w:val="1"/>
                <w:color w:val="auto"/>
              </w:rPr>
              <w:t>2.75</w:t>
            </w:r>
            <w:r>
              <w:rPr>
                <w:rFonts w:ascii="Arial" w:cs="Arial" w:eastAsia="Arial" w:hAnsi="Arial"/>
                <w:sz w:val="25"/>
                <w:szCs w:val="25"/>
                <w:b w:val="1"/>
                <w:bCs w:val="1"/>
                <w:color w:val="auto"/>
                <w:vertAlign w:val="superscript"/>
              </w:rPr>
              <w:t>%</w:t>
            </w:r>
          </w:p>
        </w:tc>
        <w:tc>
          <w:tcPr>
            <w:tcW w:w="0" w:type="dxa"/>
            <w:vAlign w:val="bottom"/>
          </w:tcPr>
          <w:p>
            <w:pPr>
              <w:spacing w:after="0"/>
              <w:rPr>
                <w:sz w:val="1"/>
                <w:szCs w:val="1"/>
                <w:color w:val="auto"/>
              </w:rPr>
            </w:pPr>
          </w:p>
        </w:tc>
      </w:tr>
      <w:tr>
        <w:trPr>
          <w:trHeight w:val="20"/>
        </w:trPr>
        <w:tc>
          <w:tcPr>
            <w:tcW w:w="3100" w:type="dxa"/>
            <w:vAlign w:val="bottom"/>
            <w:gridSpan w:val="2"/>
            <w:vMerge w:val="restart"/>
          </w:tcPr>
          <w:p>
            <w:pPr>
              <w:spacing w:after="0"/>
              <w:rPr>
                <w:sz w:val="20"/>
                <w:szCs w:val="20"/>
                <w:color w:val="auto"/>
              </w:rPr>
            </w:pPr>
            <w:r>
              <w:rPr>
                <w:rFonts w:ascii="Arial" w:cs="Arial" w:eastAsia="Arial" w:hAnsi="Arial"/>
                <w:sz w:val="18"/>
                <w:szCs w:val="18"/>
                <w:color w:val="auto"/>
              </w:rPr>
              <w:t>Allowance for ECL on loans</w:t>
            </w:r>
          </w:p>
        </w:tc>
        <w:tc>
          <w:tcPr>
            <w:tcW w:w="1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100" w:type="dxa"/>
            <w:vAlign w:val="bottom"/>
            <w:gridSpan w:val="2"/>
            <w:vMerge w:val="continue"/>
          </w:tcPr>
          <w:p>
            <w:pPr>
              <w:spacing w:after="0"/>
              <w:rPr>
                <w:sz w:val="17"/>
                <w:szCs w:val="17"/>
                <w:color w:val="auto"/>
              </w:rPr>
            </w:pPr>
          </w:p>
        </w:tc>
        <w:tc>
          <w:tcPr>
            <w:tcW w:w="180" w:type="dxa"/>
            <w:vAlign w:val="bottom"/>
          </w:tcPr>
          <w:p>
            <w:pPr>
              <w:spacing w:after="0"/>
              <w:rPr>
                <w:sz w:val="17"/>
                <w:szCs w:val="17"/>
                <w:color w:val="auto"/>
              </w:rPr>
            </w:pPr>
          </w:p>
        </w:tc>
        <w:tc>
          <w:tcPr>
            <w:tcW w:w="500" w:type="dxa"/>
            <w:vAlign w:val="bottom"/>
          </w:tcPr>
          <w:p>
            <w:pPr>
              <w:jc w:val="right"/>
              <w:spacing w:after="0" w:line="196" w:lineRule="exact"/>
              <w:rPr>
                <w:sz w:val="20"/>
                <w:szCs w:val="20"/>
                <w:color w:val="auto"/>
              </w:rPr>
            </w:pPr>
            <w:r>
              <w:rPr>
                <w:rFonts w:ascii="Arial" w:cs="Arial" w:eastAsia="Arial" w:hAnsi="Arial"/>
                <w:sz w:val="18"/>
                <w:szCs w:val="18"/>
                <w:color w:val="auto"/>
              </w:rPr>
              <w:t>(110)</w:t>
            </w:r>
          </w:p>
        </w:tc>
        <w:tc>
          <w:tcPr>
            <w:tcW w:w="1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80" w:type="dxa"/>
            <w:vAlign w:val="bottom"/>
          </w:tcPr>
          <w:p>
            <w:pPr>
              <w:jc w:val="right"/>
              <w:spacing w:after="0" w:line="196" w:lineRule="exact"/>
              <w:rPr>
                <w:sz w:val="20"/>
                <w:szCs w:val="20"/>
                <w:color w:val="auto"/>
              </w:rPr>
            </w:pPr>
            <w:r>
              <w:rPr>
                <w:rFonts w:ascii="Arial" w:cs="Arial" w:eastAsia="Arial" w:hAnsi="Arial"/>
                <w:sz w:val="18"/>
                <w:szCs w:val="18"/>
                <w:color w:val="auto"/>
              </w:rPr>
              <w:t>(96)</w:t>
            </w:r>
          </w:p>
        </w:tc>
        <w:tc>
          <w:tcPr>
            <w:tcW w:w="220" w:type="dxa"/>
            <w:vAlign w:val="bottom"/>
            <w:vMerge w:val="continue"/>
          </w:tcPr>
          <w:p>
            <w:pPr>
              <w:spacing w:after="0"/>
              <w:rPr>
                <w:sz w:val="17"/>
                <w:szCs w:val="17"/>
                <w:color w:val="auto"/>
              </w:rPr>
            </w:pPr>
          </w:p>
        </w:tc>
        <w:tc>
          <w:tcPr>
            <w:tcW w:w="14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500" w:type="dxa"/>
            <w:vAlign w:val="bottom"/>
          </w:tcPr>
          <w:p>
            <w:pPr>
              <w:jc w:val="right"/>
              <w:spacing w:after="0" w:line="196" w:lineRule="exact"/>
              <w:rPr>
                <w:sz w:val="20"/>
                <w:szCs w:val="20"/>
                <w:color w:val="auto"/>
              </w:rPr>
            </w:pPr>
            <w:r>
              <w:rPr>
                <w:rFonts w:ascii="Arial" w:cs="Arial" w:eastAsia="Arial" w:hAnsi="Arial"/>
                <w:sz w:val="18"/>
                <w:szCs w:val="18"/>
                <w:color w:val="auto"/>
              </w:rPr>
              <w:t>(83)</w:t>
            </w:r>
          </w:p>
        </w:tc>
        <w:tc>
          <w:tcPr>
            <w:tcW w:w="1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1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Non-interest-earning and other assets</w:t>
            </w:r>
          </w:p>
        </w:tc>
        <w:tc>
          <w:tcPr>
            <w:tcW w:w="180" w:type="dxa"/>
            <w:vAlign w:val="bottom"/>
            <w:shd w:val="clear" w:color="auto" w:fill="CCEEFF"/>
          </w:tcPr>
          <w:p>
            <w:pPr>
              <w:spacing w:after="0"/>
              <w:rPr>
                <w:sz w:val="19"/>
                <w:szCs w:val="19"/>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84</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w:t>
            </w:r>
          </w:p>
        </w:tc>
        <w:tc>
          <w:tcPr>
            <w:tcW w:w="2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4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85</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100" w:type="dxa"/>
            <w:vAlign w:val="bottom"/>
            <w:tcBorders>
              <w:bottom w:val="single" w:sz="8" w:color="CCEEFF"/>
            </w:tcBorders>
            <w:gridSpan w:val="2"/>
          </w:tcPr>
          <w:p>
            <w:pPr>
              <w:ind w:left="260"/>
              <w:spacing w:after="0"/>
              <w:rPr>
                <w:sz w:val="20"/>
                <w:szCs w:val="20"/>
                <w:color w:val="auto"/>
              </w:rPr>
            </w:pPr>
            <w:r>
              <w:rPr>
                <w:rFonts w:ascii="Arial" w:cs="Arial" w:eastAsia="Arial" w:hAnsi="Arial"/>
                <w:sz w:val="18"/>
                <w:szCs w:val="18"/>
                <w:b w:val="1"/>
                <w:bCs w:val="1"/>
                <w:color w:val="auto"/>
              </w:rPr>
              <w:t>Total Assets</w:t>
            </w: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6,468</w:t>
            </w:r>
          </w:p>
        </w:tc>
        <w:tc>
          <w:tcPr>
            <w:tcW w:w="14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54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840" w:type="dxa"/>
            <w:vAlign w:val="bottom"/>
            <w:tcBorders>
              <w:bottom w:val="single" w:sz="8" w:color="CCEEFF"/>
            </w:tcBorders>
          </w:tcPr>
          <w:p>
            <w:pPr>
              <w:spacing w:after="0"/>
              <w:rPr>
                <w:sz w:val="22"/>
                <w:szCs w:val="22"/>
                <w:color w:val="auto"/>
              </w:rPr>
            </w:pP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0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7,479</w:t>
            </w:r>
          </w:p>
        </w:tc>
        <w:tc>
          <w:tcPr>
            <w:tcW w:w="22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54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840" w:type="dxa"/>
            <w:vAlign w:val="bottom"/>
            <w:tcBorders>
              <w:bottom w:val="single" w:sz="8" w:color="CCEEFF"/>
            </w:tcBorders>
          </w:tcPr>
          <w:p>
            <w:pPr>
              <w:spacing w:after="0"/>
              <w:rPr>
                <w:sz w:val="22"/>
                <w:szCs w:val="22"/>
                <w:color w:val="auto"/>
              </w:rPr>
            </w:pPr>
          </w:p>
        </w:tc>
        <w:tc>
          <w:tcPr>
            <w:tcW w:w="30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ind w:right="22"/>
              <w:spacing w:after="0"/>
              <w:rPr>
                <w:sz w:val="20"/>
                <w:szCs w:val="20"/>
                <w:color w:val="auto"/>
              </w:rPr>
            </w:pPr>
            <w:r>
              <w:rPr>
                <w:rFonts w:ascii="Arial" w:cs="Arial" w:eastAsia="Arial" w:hAnsi="Arial"/>
                <w:sz w:val="15"/>
                <w:szCs w:val="15"/>
                <w:b w:val="1"/>
                <w:bCs w:val="1"/>
                <w:color w:val="auto"/>
                <w:w w:val="71"/>
              </w:rPr>
              <w:t>$</w:t>
            </w:r>
          </w:p>
        </w:tc>
        <w:tc>
          <w:tcPr>
            <w:tcW w:w="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7,901</w:t>
            </w:r>
          </w:p>
        </w:tc>
        <w:tc>
          <w:tcPr>
            <w:tcW w:w="14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54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740" w:type="dxa"/>
            <w:vAlign w:val="bottom"/>
            <w:tcBorders>
              <w:bottom w:val="single" w:sz="8" w:color="CCEEFF"/>
            </w:tcBorders>
          </w:tcPr>
          <w:p>
            <w:pPr>
              <w:spacing w:after="0"/>
              <w:rPr>
                <w:sz w:val="22"/>
                <w:szCs w:val="22"/>
                <w:color w:val="auto"/>
              </w:rPr>
            </w:pP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100" w:type="dxa"/>
            <w:vAlign w:val="bottom"/>
            <w:gridSpan w:val="2"/>
            <w:shd w:val="clear" w:color="auto" w:fill="CCEEFF"/>
          </w:tcPr>
          <w:p>
            <w:pPr>
              <w:spacing w:after="0" w:line="196" w:lineRule="exact"/>
              <w:rPr>
                <w:sz w:val="20"/>
                <w:szCs w:val="20"/>
                <w:color w:val="auto"/>
              </w:rPr>
            </w:pPr>
            <w:r>
              <w:rPr>
                <w:rFonts w:ascii="Arial" w:cs="Arial" w:eastAsia="Arial" w:hAnsi="Arial"/>
                <w:sz w:val="18"/>
                <w:szCs w:val="18"/>
                <w:b w:val="1"/>
                <w:bCs w:val="1"/>
                <w:color w:val="auto"/>
              </w:rPr>
              <w:t>Interest-Bearing Liabilities</w:t>
            </w:r>
          </w:p>
        </w:tc>
        <w:tc>
          <w:tcPr>
            <w:tcW w:w="18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100" w:type="dxa"/>
            <w:vAlign w:val="bottom"/>
            <w:gridSpan w:val="2"/>
          </w:tcPr>
          <w:p>
            <w:pPr>
              <w:ind w:left="220"/>
              <w:spacing w:after="0"/>
              <w:rPr>
                <w:sz w:val="20"/>
                <w:szCs w:val="20"/>
                <w:color w:val="auto"/>
              </w:rPr>
            </w:pPr>
            <w:r>
              <w:rPr>
                <w:rFonts w:ascii="Arial" w:cs="Arial" w:eastAsia="Arial" w:hAnsi="Arial"/>
                <w:sz w:val="18"/>
                <w:szCs w:val="18"/>
                <w:color w:val="auto"/>
              </w:rPr>
              <w:t>Demand deposits</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132</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1.1</w:t>
            </w:r>
          </w:p>
        </w:tc>
        <w:tc>
          <w:tcPr>
            <w:tcW w:w="1060" w:type="dxa"/>
            <w:vAlign w:val="bottom"/>
            <w:gridSpan w:val="2"/>
          </w:tcPr>
          <w:p>
            <w:pPr>
              <w:ind w:left="520"/>
              <w:spacing w:after="0"/>
              <w:rPr>
                <w:sz w:val="20"/>
                <w:szCs w:val="20"/>
                <w:color w:val="auto"/>
              </w:rPr>
            </w:pPr>
            <w:r>
              <w:rPr>
                <w:rFonts w:ascii="Arial" w:cs="Arial" w:eastAsia="Arial" w:hAnsi="Arial"/>
                <w:sz w:val="18"/>
                <w:szCs w:val="18"/>
                <w:color w:val="auto"/>
              </w:rPr>
              <w:t>0.87%</w:t>
            </w:r>
          </w:p>
        </w:tc>
        <w:tc>
          <w:tcPr>
            <w:tcW w:w="26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173</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540" w:type="dxa"/>
            <w:vAlign w:val="bottom"/>
          </w:tcPr>
          <w:p>
            <w:pPr>
              <w:jc w:val="right"/>
              <w:spacing w:after="0"/>
              <w:rPr>
                <w:sz w:val="20"/>
                <w:szCs w:val="20"/>
                <w:color w:val="auto"/>
              </w:rPr>
            </w:pPr>
            <w:r>
              <w:rPr>
                <w:rFonts w:ascii="Arial" w:cs="Arial" w:eastAsia="Arial" w:hAnsi="Arial"/>
                <w:sz w:val="18"/>
                <w:szCs w:val="18"/>
                <w:color w:val="auto"/>
              </w:rPr>
              <w:t>0.5</w:t>
            </w:r>
          </w:p>
        </w:tc>
        <w:tc>
          <w:tcPr>
            <w:tcW w:w="100" w:type="dxa"/>
            <w:vAlign w:val="bottom"/>
          </w:tcPr>
          <w:p>
            <w:pPr>
              <w:spacing w:after="0"/>
              <w:rPr>
                <w:sz w:val="18"/>
                <w:szCs w:val="18"/>
                <w:color w:val="auto"/>
              </w:rPr>
            </w:pPr>
          </w:p>
        </w:tc>
        <w:tc>
          <w:tcPr>
            <w:tcW w:w="1140" w:type="dxa"/>
            <w:vAlign w:val="bottom"/>
            <w:gridSpan w:val="2"/>
          </w:tcPr>
          <w:p>
            <w:pPr>
              <w:ind w:left="520"/>
              <w:spacing w:after="0"/>
              <w:rPr>
                <w:sz w:val="20"/>
                <w:szCs w:val="20"/>
                <w:color w:val="auto"/>
              </w:rPr>
            </w:pPr>
            <w:r>
              <w:rPr>
                <w:rFonts w:ascii="Arial" w:cs="Arial" w:eastAsia="Arial" w:hAnsi="Arial"/>
                <w:sz w:val="18"/>
                <w:szCs w:val="18"/>
                <w:color w:val="auto"/>
              </w:rPr>
              <w:t>0.33%</w:t>
            </w:r>
          </w:p>
        </w:tc>
        <w:tc>
          <w:tcPr>
            <w:tcW w:w="180" w:type="dxa"/>
            <w:vAlign w:val="bottom"/>
          </w:tcPr>
          <w:p>
            <w:pPr>
              <w:jc w:val="right"/>
              <w:ind w:right="22"/>
              <w:spacing w:after="0"/>
              <w:rPr>
                <w:sz w:val="20"/>
                <w:szCs w:val="20"/>
                <w:color w:val="auto"/>
              </w:rPr>
            </w:pPr>
            <w:r>
              <w:rPr>
                <w:rFonts w:ascii="Arial" w:cs="Arial" w:eastAsia="Arial" w:hAnsi="Arial"/>
                <w:sz w:val="15"/>
                <w:szCs w:val="15"/>
                <w:color w:val="auto"/>
                <w:w w:val="71"/>
              </w:rPr>
              <w:t>$</w:t>
            </w: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142</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0.2</w:t>
            </w:r>
          </w:p>
        </w:tc>
        <w:tc>
          <w:tcPr>
            <w:tcW w:w="1020" w:type="dxa"/>
            <w:vAlign w:val="bottom"/>
            <w:gridSpan w:val="3"/>
          </w:tcPr>
          <w:p>
            <w:pPr>
              <w:ind w:left="520"/>
              <w:spacing w:after="0"/>
              <w:rPr>
                <w:sz w:val="20"/>
                <w:szCs w:val="20"/>
                <w:color w:val="auto"/>
              </w:rPr>
            </w:pPr>
            <w:r>
              <w:rPr>
                <w:rFonts w:ascii="Arial" w:cs="Arial" w:eastAsia="Arial" w:hAnsi="Arial"/>
                <w:sz w:val="18"/>
                <w:szCs w:val="18"/>
                <w:color w:val="auto"/>
                <w:w w:val="93"/>
              </w:rPr>
              <w:t>0.12%</w:t>
            </w:r>
          </w:p>
        </w:tc>
        <w:tc>
          <w:tcPr>
            <w:tcW w:w="0" w:type="dxa"/>
            <w:vAlign w:val="bottom"/>
          </w:tcPr>
          <w:p>
            <w:pPr>
              <w:spacing w:after="0"/>
              <w:rPr>
                <w:sz w:val="1"/>
                <w:szCs w:val="1"/>
                <w:color w:val="auto"/>
              </w:rPr>
            </w:pPr>
          </w:p>
        </w:tc>
      </w:tr>
      <w:tr>
        <w:trPr>
          <w:trHeight w:val="230"/>
        </w:trPr>
        <w:tc>
          <w:tcPr>
            <w:tcW w:w="3100" w:type="dxa"/>
            <w:vAlign w:val="bottom"/>
            <w:gridSpan w:val="2"/>
            <w:shd w:val="clear" w:color="auto" w:fill="CCEEFF"/>
          </w:tcPr>
          <w:p>
            <w:pPr>
              <w:ind w:left="220"/>
              <w:spacing w:after="0"/>
              <w:rPr>
                <w:sz w:val="20"/>
                <w:szCs w:val="20"/>
                <w:color w:val="auto"/>
              </w:rPr>
            </w:pPr>
            <w:r>
              <w:rPr>
                <w:rFonts w:ascii="Arial" w:cs="Arial" w:eastAsia="Arial" w:hAnsi="Arial"/>
                <w:sz w:val="18"/>
                <w:szCs w:val="18"/>
                <w:color w:val="auto"/>
              </w:rPr>
              <w:t>Time deposits</w:t>
            </w:r>
          </w:p>
        </w:tc>
        <w:tc>
          <w:tcPr>
            <w:tcW w:w="180" w:type="dxa"/>
            <w:vAlign w:val="bottom"/>
            <w:shd w:val="clear" w:color="auto" w:fill="CCEEFF"/>
          </w:tcPr>
          <w:p>
            <w:pPr>
              <w:spacing w:after="0"/>
              <w:rPr>
                <w:sz w:val="19"/>
                <w:szCs w:val="19"/>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3,044</w:t>
            </w:r>
          </w:p>
        </w:tc>
        <w:tc>
          <w:tcPr>
            <w:tcW w:w="1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41.7</w:t>
            </w:r>
          </w:p>
        </w:tc>
        <w:tc>
          <w:tcPr>
            <w:tcW w:w="106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1.35%</w:t>
            </w: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2,907</w:t>
            </w:r>
          </w:p>
        </w:tc>
        <w:tc>
          <w:tcPr>
            <w:tcW w:w="140" w:type="dxa"/>
            <w:vAlign w:val="bottom"/>
            <w:shd w:val="clear" w:color="auto" w:fill="CCEEFF"/>
          </w:tcPr>
          <w:p>
            <w:pPr>
              <w:spacing w:after="0"/>
              <w:rPr>
                <w:sz w:val="19"/>
                <w:szCs w:val="19"/>
                <w:color w:val="auto"/>
              </w:rPr>
            </w:pP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19.6</w:t>
            </w:r>
          </w:p>
        </w:tc>
        <w:tc>
          <w:tcPr>
            <w:tcW w:w="114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0.66%</w:t>
            </w:r>
          </w:p>
        </w:tc>
        <w:tc>
          <w:tcPr>
            <w:tcW w:w="180" w:type="dxa"/>
            <w:vAlign w:val="bottom"/>
            <w:shd w:val="clear" w:color="auto" w:fill="CCEEFF"/>
          </w:tcPr>
          <w:p>
            <w:pPr>
              <w:spacing w:after="0"/>
              <w:rPr>
                <w:sz w:val="19"/>
                <w:szCs w:val="19"/>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2,655</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11.6</w:t>
            </w:r>
          </w:p>
        </w:tc>
        <w:tc>
          <w:tcPr>
            <w:tcW w:w="102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w w:val="93"/>
              </w:rPr>
              <w:t>0.43%</w:t>
            </w:r>
          </w:p>
        </w:tc>
        <w:tc>
          <w:tcPr>
            <w:tcW w:w="0" w:type="dxa"/>
            <w:vAlign w:val="bottom"/>
          </w:tcPr>
          <w:p>
            <w:pPr>
              <w:spacing w:after="0"/>
              <w:rPr>
                <w:sz w:val="1"/>
                <w:szCs w:val="1"/>
                <w:color w:val="auto"/>
              </w:rPr>
            </w:pPr>
          </w:p>
        </w:tc>
      </w:tr>
      <w:tr>
        <w:trPr>
          <w:trHeight w:val="20"/>
        </w:trPr>
        <w:tc>
          <w:tcPr>
            <w:tcW w:w="3100" w:type="dxa"/>
            <w:vAlign w:val="bottom"/>
            <w:gridSpan w:val="2"/>
            <w:vMerge w:val="restart"/>
          </w:tcPr>
          <w:p>
            <w:pPr>
              <w:spacing w:after="0" w:line="256" w:lineRule="exact"/>
              <w:rPr>
                <w:sz w:val="20"/>
                <w:szCs w:val="20"/>
                <w:color w:val="auto"/>
              </w:rPr>
            </w:pPr>
            <w:r>
              <w:rPr>
                <w:rFonts w:ascii="Arial" w:cs="Arial" w:eastAsia="Arial" w:hAnsi="Arial"/>
                <w:sz w:val="18"/>
                <w:szCs w:val="18"/>
                <w:color w:val="auto"/>
              </w:rPr>
              <w:t xml:space="preserve">Deposits </w:t>
            </w:r>
            <w:r>
              <w:rPr>
                <w:rFonts w:ascii="Arial" w:cs="Arial" w:eastAsia="Arial" w:hAnsi="Arial"/>
                <w:sz w:val="29"/>
                <w:szCs w:val="29"/>
                <w:color w:val="auto"/>
                <w:vertAlign w:val="superscript"/>
              </w:rPr>
              <w:t>(3)</w:t>
            </w:r>
          </w:p>
        </w:tc>
        <w:tc>
          <w:tcPr>
            <w:tcW w:w="18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100" w:type="dxa"/>
            <w:vAlign w:val="bottom"/>
            <w:gridSpan w:val="2"/>
            <w:vMerge w:val="continue"/>
          </w:tcPr>
          <w:p>
            <w:pPr>
              <w:spacing w:after="0"/>
              <w:rPr>
                <w:sz w:val="20"/>
                <w:szCs w:val="20"/>
                <w:color w:val="auto"/>
              </w:rPr>
            </w:pPr>
          </w:p>
        </w:tc>
        <w:tc>
          <w:tcPr>
            <w:tcW w:w="180" w:type="dxa"/>
            <w:vAlign w:val="bottom"/>
          </w:tcPr>
          <w:p>
            <w:pPr>
              <w:spacing w:after="0"/>
              <w:rPr>
                <w:sz w:val="20"/>
                <w:szCs w:val="20"/>
                <w:color w:val="auto"/>
              </w:rPr>
            </w:pPr>
          </w:p>
        </w:tc>
        <w:tc>
          <w:tcPr>
            <w:tcW w:w="500" w:type="dxa"/>
            <w:vAlign w:val="bottom"/>
          </w:tcPr>
          <w:p>
            <w:pPr>
              <w:jc w:val="right"/>
              <w:spacing w:after="0"/>
              <w:rPr>
                <w:sz w:val="20"/>
                <w:szCs w:val="20"/>
                <w:color w:val="auto"/>
              </w:rPr>
            </w:pPr>
            <w:r>
              <w:rPr>
                <w:rFonts w:ascii="Arial" w:cs="Arial" w:eastAsia="Arial" w:hAnsi="Arial"/>
                <w:sz w:val="18"/>
                <w:szCs w:val="18"/>
                <w:color w:val="auto"/>
              </w:rPr>
              <w:t>3,176</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42.8</w:t>
            </w:r>
          </w:p>
        </w:tc>
        <w:tc>
          <w:tcPr>
            <w:tcW w:w="1060" w:type="dxa"/>
            <w:vAlign w:val="bottom"/>
            <w:gridSpan w:val="2"/>
          </w:tcPr>
          <w:p>
            <w:pPr>
              <w:ind w:left="520"/>
              <w:spacing w:after="0"/>
              <w:rPr>
                <w:sz w:val="20"/>
                <w:szCs w:val="20"/>
                <w:color w:val="auto"/>
              </w:rPr>
            </w:pPr>
            <w:r>
              <w:rPr>
                <w:rFonts w:ascii="Arial" w:cs="Arial" w:eastAsia="Arial" w:hAnsi="Arial"/>
                <w:sz w:val="18"/>
                <w:szCs w:val="18"/>
                <w:color w:val="auto"/>
              </w:rPr>
              <w:t>1.33%</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3,080</w:t>
            </w:r>
          </w:p>
        </w:tc>
        <w:tc>
          <w:tcPr>
            <w:tcW w:w="140" w:type="dxa"/>
            <w:vAlign w:val="bottom"/>
          </w:tcPr>
          <w:p>
            <w:pPr>
              <w:spacing w:after="0"/>
              <w:rPr>
                <w:sz w:val="20"/>
                <w:szCs w:val="20"/>
                <w:color w:val="auto"/>
              </w:rPr>
            </w:pPr>
          </w:p>
        </w:tc>
        <w:tc>
          <w:tcPr>
            <w:tcW w:w="640" w:type="dxa"/>
            <w:vAlign w:val="bottom"/>
            <w:gridSpan w:val="2"/>
          </w:tcPr>
          <w:p>
            <w:pPr>
              <w:jc w:val="right"/>
              <w:ind w:right="100"/>
              <w:spacing w:after="0"/>
              <w:rPr>
                <w:sz w:val="20"/>
                <w:szCs w:val="20"/>
                <w:color w:val="auto"/>
              </w:rPr>
            </w:pPr>
            <w:r>
              <w:rPr>
                <w:rFonts w:ascii="Arial" w:cs="Arial" w:eastAsia="Arial" w:hAnsi="Arial"/>
                <w:sz w:val="18"/>
                <w:szCs w:val="18"/>
                <w:color w:val="auto"/>
              </w:rPr>
              <w:t>20.1</w:t>
            </w:r>
          </w:p>
        </w:tc>
        <w:tc>
          <w:tcPr>
            <w:tcW w:w="1140" w:type="dxa"/>
            <w:vAlign w:val="bottom"/>
            <w:gridSpan w:val="2"/>
          </w:tcPr>
          <w:p>
            <w:pPr>
              <w:ind w:left="520"/>
              <w:spacing w:after="0"/>
              <w:rPr>
                <w:sz w:val="20"/>
                <w:szCs w:val="20"/>
                <w:color w:val="auto"/>
              </w:rPr>
            </w:pPr>
            <w:r>
              <w:rPr>
                <w:rFonts w:ascii="Arial" w:cs="Arial" w:eastAsia="Arial" w:hAnsi="Arial"/>
                <w:sz w:val="18"/>
                <w:szCs w:val="18"/>
                <w:color w:val="auto"/>
              </w:rPr>
              <w:t>0.64%</w:t>
            </w:r>
          </w:p>
        </w:tc>
        <w:tc>
          <w:tcPr>
            <w:tcW w:w="180" w:type="dxa"/>
            <w:vAlign w:val="bottom"/>
          </w:tcPr>
          <w:p>
            <w:pPr>
              <w:spacing w:after="0"/>
              <w:rPr>
                <w:sz w:val="20"/>
                <w:szCs w:val="20"/>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2,797</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11.8</w:t>
            </w:r>
          </w:p>
        </w:tc>
        <w:tc>
          <w:tcPr>
            <w:tcW w:w="1020" w:type="dxa"/>
            <w:vAlign w:val="bottom"/>
            <w:gridSpan w:val="3"/>
          </w:tcPr>
          <w:p>
            <w:pPr>
              <w:ind w:left="520"/>
              <w:spacing w:after="0"/>
              <w:rPr>
                <w:sz w:val="20"/>
                <w:szCs w:val="20"/>
                <w:color w:val="auto"/>
              </w:rPr>
            </w:pPr>
            <w:r>
              <w:rPr>
                <w:rFonts w:ascii="Arial" w:cs="Arial" w:eastAsia="Arial" w:hAnsi="Arial"/>
                <w:sz w:val="18"/>
                <w:szCs w:val="18"/>
                <w:color w:val="auto"/>
                <w:w w:val="93"/>
              </w:rPr>
              <w:t>0.42%</w:t>
            </w:r>
          </w:p>
        </w:tc>
        <w:tc>
          <w:tcPr>
            <w:tcW w:w="0" w:type="dxa"/>
            <w:vAlign w:val="bottom"/>
          </w:tcPr>
          <w:p>
            <w:pPr>
              <w:spacing w:after="0"/>
              <w:rPr>
                <w:sz w:val="1"/>
                <w:szCs w:val="1"/>
                <w:color w:val="auto"/>
              </w:rPr>
            </w:pPr>
          </w:p>
        </w:tc>
      </w:tr>
      <w:tr>
        <w:trPr>
          <w:trHeight w:val="202"/>
        </w:trPr>
        <w:tc>
          <w:tcPr>
            <w:tcW w:w="31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Securities sold under repurchase</w:t>
            </w:r>
          </w:p>
        </w:tc>
        <w:tc>
          <w:tcPr>
            <w:tcW w:w="18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100" w:type="dxa"/>
            <w:vAlign w:val="bottom"/>
            <w:gridSpan w:val="2"/>
            <w:shd w:val="clear" w:color="auto" w:fill="CCEEFF"/>
          </w:tcPr>
          <w:p>
            <w:pPr>
              <w:ind w:left="260"/>
              <w:spacing w:after="0"/>
              <w:rPr>
                <w:sz w:val="20"/>
                <w:szCs w:val="20"/>
                <w:color w:val="auto"/>
              </w:rPr>
            </w:pPr>
            <w:r>
              <w:rPr>
                <w:rFonts w:ascii="Arial" w:cs="Arial" w:eastAsia="Arial" w:hAnsi="Arial"/>
                <w:sz w:val="18"/>
                <w:szCs w:val="18"/>
                <w:color w:val="auto"/>
              </w:rPr>
              <w:t>agreements and short-term</w:t>
            </w:r>
          </w:p>
        </w:tc>
        <w:tc>
          <w:tcPr>
            <w:tcW w:w="18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100" w:type="dxa"/>
            <w:vAlign w:val="bottom"/>
            <w:gridSpan w:val="2"/>
            <w:shd w:val="clear" w:color="auto" w:fill="CCEEFF"/>
          </w:tcPr>
          <w:p>
            <w:pPr>
              <w:ind w:left="260"/>
              <w:spacing w:after="0"/>
              <w:rPr>
                <w:sz w:val="20"/>
                <w:szCs w:val="20"/>
                <w:color w:val="auto"/>
              </w:rPr>
            </w:pPr>
            <w:r>
              <w:rPr>
                <w:rFonts w:ascii="Arial" w:cs="Arial" w:eastAsia="Arial" w:hAnsi="Arial"/>
                <w:sz w:val="18"/>
                <w:szCs w:val="18"/>
                <w:color w:val="auto"/>
              </w:rPr>
              <w:t>borrowings and debt</w:t>
            </w:r>
          </w:p>
        </w:tc>
        <w:tc>
          <w:tcPr>
            <w:tcW w:w="180" w:type="dxa"/>
            <w:vAlign w:val="bottom"/>
            <w:shd w:val="clear" w:color="auto" w:fill="CCEEFF"/>
          </w:tcPr>
          <w:p>
            <w:pPr>
              <w:spacing w:after="0"/>
              <w:rPr>
                <w:sz w:val="20"/>
                <w:szCs w:val="20"/>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710</w:t>
            </w:r>
          </w:p>
        </w:tc>
        <w:tc>
          <w:tcPr>
            <w:tcW w:w="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12.0</w:t>
            </w:r>
          </w:p>
        </w:tc>
        <w:tc>
          <w:tcPr>
            <w:tcW w:w="106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1.66%</w:t>
            </w:r>
          </w:p>
        </w:tc>
        <w:tc>
          <w:tcPr>
            <w:tcW w:w="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1,449</w:t>
            </w:r>
          </w:p>
        </w:tc>
        <w:tc>
          <w:tcPr>
            <w:tcW w:w="140" w:type="dxa"/>
            <w:vAlign w:val="bottom"/>
            <w:shd w:val="clear" w:color="auto" w:fill="CCEEFF"/>
          </w:tcPr>
          <w:p>
            <w:pPr>
              <w:spacing w:after="0"/>
              <w:rPr>
                <w:sz w:val="20"/>
                <w:szCs w:val="20"/>
                <w:color w:val="auto"/>
              </w:rPr>
            </w:pP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16.5</w:t>
            </w:r>
          </w:p>
        </w:tc>
        <w:tc>
          <w:tcPr>
            <w:tcW w:w="1140" w:type="dxa"/>
            <w:vAlign w:val="bottom"/>
            <w:gridSpan w:val="2"/>
            <w:shd w:val="clear" w:color="auto" w:fill="CCEEFF"/>
          </w:tcPr>
          <w:p>
            <w:pPr>
              <w:ind w:left="520"/>
              <w:spacing w:after="0"/>
              <w:rPr>
                <w:sz w:val="20"/>
                <w:szCs w:val="20"/>
                <w:color w:val="auto"/>
              </w:rPr>
            </w:pPr>
            <w:r>
              <w:rPr>
                <w:rFonts w:ascii="Arial" w:cs="Arial" w:eastAsia="Arial" w:hAnsi="Arial"/>
                <w:sz w:val="18"/>
                <w:szCs w:val="18"/>
                <w:color w:val="auto"/>
              </w:rPr>
              <w:t>1.12%</w:t>
            </w:r>
          </w:p>
        </w:tc>
        <w:tc>
          <w:tcPr>
            <w:tcW w:w="180" w:type="dxa"/>
            <w:vAlign w:val="bottom"/>
            <w:shd w:val="clear" w:color="auto" w:fill="CCEEFF"/>
          </w:tcPr>
          <w:p>
            <w:pPr>
              <w:spacing w:after="0"/>
              <w:rPr>
                <w:sz w:val="20"/>
                <w:szCs w:val="20"/>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2,484</w:t>
            </w:r>
          </w:p>
        </w:tc>
        <w:tc>
          <w:tcPr>
            <w:tcW w:w="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23.0</w:t>
            </w:r>
          </w:p>
        </w:tc>
        <w:tc>
          <w:tcPr>
            <w:tcW w:w="1020" w:type="dxa"/>
            <w:vAlign w:val="bottom"/>
            <w:gridSpan w:val="3"/>
            <w:shd w:val="clear" w:color="auto" w:fill="CCEEFF"/>
          </w:tcPr>
          <w:p>
            <w:pPr>
              <w:ind w:left="520"/>
              <w:spacing w:after="0"/>
              <w:rPr>
                <w:sz w:val="20"/>
                <w:szCs w:val="20"/>
                <w:color w:val="auto"/>
              </w:rPr>
            </w:pPr>
            <w:r>
              <w:rPr>
                <w:rFonts w:ascii="Arial" w:cs="Arial" w:eastAsia="Arial" w:hAnsi="Arial"/>
                <w:sz w:val="18"/>
                <w:szCs w:val="18"/>
                <w:color w:val="auto"/>
                <w:w w:val="93"/>
              </w:rPr>
              <w:t>0.91%</w:t>
            </w:r>
          </w:p>
        </w:tc>
        <w:tc>
          <w:tcPr>
            <w:tcW w:w="0" w:type="dxa"/>
            <w:vAlign w:val="bottom"/>
          </w:tcPr>
          <w:p>
            <w:pPr>
              <w:spacing w:after="0"/>
              <w:rPr>
                <w:sz w:val="1"/>
                <w:szCs w:val="1"/>
                <w:color w:val="auto"/>
              </w:rPr>
            </w:pPr>
          </w:p>
        </w:tc>
      </w:tr>
      <w:tr>
        <w:trPr>
          <w:trHeight w:val="270"/>
        </w:trPr>
        <w:tc>
          <w:tcPr>
            <w:tcW w:w="3100" w:type="dxa"/>
            <w:vAlign w:val="bottom"/>
            <w:gridSpan w:val="2"/>
          </w:tcPr>
          <w:p>
            <w:pPr>
              <w:spacing w:after="0" w:line="269" w:lineRule="exact"/>
              <w:rPr>
                <w:sz w:val="20"/>
                <w:szCs w:val="20"/>
                <w:color w:val="auto"/>
              </w:rPr>
            </w:pPr>
            <w:r>
              <w:rPr>
                <w:rFonts w:ascii="Arial" w:cs="Arial" w:eastAsia="Arial" w:hAnsi="Arial"/>
                <w:sz w:val="18"/>
                <w:szCs w:val="18"/>
                <w:color w:val="auto"/>
                <w:w w:val="97"/>
              </w:rPr>
              <w:t xml:space="preserve">Long-term borrowings and debt, net </w:t>
            </w:r>
            <w:r>
              <w:rPr>
                <w:rFonts w:ascii="Arial" w:cs="Arial" w:eastAsia="Arial" w:hAnsi="Arial"/>
                <w:sz w:val="30"/>
                <w:szCs w:val="30"/>
                <w:color w:val="auto"/>
                <w:w w:val="97"/>
                <w:vertAlign w:val="superscript"/>
              </w:rPr>
              <w:t>(4)</w:t>
            </w:r>
          </w:p>
        </w:tc>
        <w:tc>
          <w:tcPr>
            <w:tcW w:w="180" w:type="dxa"/>
            <w:vAlign w:val="bottom"/>
          </w:tcPr>
          <w:p>
            <w:pPr>
              <w:spacing w:after="0"/>
              <w:rPr>
                <w:sz w:val="23"/>
                <w:szCs w:val="23"/>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1,478</w:t>
            </w:r>
          </w:p>
        </w:tc>
        <w:tc>
          <w:tcPr>
            <w:tcW w:w="8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51.5</w:t>
            </w:r>
          </w:p>
        </w:tc>
        <w:tc>
          <w:tcPr>
            <w:tcW w:w="1060" w:type="dxa"/>
            <w:vAlign w:val="bottom"/>
            <w:gridSpan w:val="2"/>
          </w:tcPr>
          <w:p>
            <w:pPr>
              <w:ind w:left="520"/>
              <w:spacing w:after="0"/>
              <w:rPr>
                <w:sz w:val="20"/>
                <w:szCs w:val="20"/>
                <w:color w:val="auto"/>
              </w:rPr>
            </w:pPr>
            <w:r>
              <w:rPr>
                <w:rFonts w:ascii="Arial" w:cs="Arial" w:eastAsia="Arial" w:hAnsi="Arial"/>
                <w:sz w:val="18"/>
                <w:szCs w:val="18"/>
                <w:color w:val="auto"/>
              </w:rPr>
              <w:t>3.43%</w:t>
            </w:r>
          </w:p>
        </w:tc>
        <w:tc>
          <w:tcPr>
            <w:tcW w:w="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1,874</w:t>
            </w:r>
          </w:p>
        </w:tc>
        <w:tc>
          <w:tcPr>
            <w:tcW w:w="140" w:type="dxa"/>
            <w:vAlign w:val="bottom"/>
          </w:tcPr>
          <w:p>
            <w:pPr>
              <w:spacing w:after="0"/>
              <w:rPr>
                <w:sz w:val="23"/>
                <w:szCs w:val="23"/>
                <w:color w:val="auto"/>
              </w:rPr>
            </w:pPr>
          </w:p>
        </w:tc>
        <w:tc>
          <w:tcPr>
            <w:tcW w:w="640" w:type="dxa"/>
            <w:vAlign w:val="bottom"/>
            <w:gridSpan w:val="2"/>
          </w:tcPr>
          <w:p>
            <w:pPr>
              <w:jc w:val="right"/>
              <w:ind w:right="100"/>
              <w:spacing w:after="0"/>
              <w:rPr>
                <w:sz w:val="20"/>
                <w:szCs w:val="20"/>
                <w:color w:val="auto"/>
              </w:rPr>
            </w:pPr>
            <w:r>
              <w:rPr>
                <w:rFonts w:ascii="Arial" w:cs="Arial" w:eastAsia="Arial" w:hAnsi="Arial"/>
                <w:sz w:val="18"/>
                <w:szCs w:val="18"/>
                <w:color w:val="auto"/>
              </w:rPr>
              <w:t>54.0</w:t>
            </w:r>
          </w:p>
        </w:tc>
        <w:tc>
          <w:tcPr>
            <w:tcW w:w="1140" w:type="dxa"/>
            <w:vAlign w:val="bottom"/>
            <w:gridSpan w:val="2"/>
          </w:tcPr>
          <w:p>
            <w:pPr>
              <w:ind w:left="520"/>
              <w:spacing w:after="0"/>
              <w:rPr>
                <w:sz w:val="20"/>
                <w:szCs w:val="20"/>
                <w:color w:val="auto"/>
              </w:rPr>
            </w:pPr>
            <w:r>
              <w:rPr>
                <w:rFonts w:ascii="Arial" w:cs="Arial" w:eastAsia="Arial" w:hAnsi="Arial"/>
                <w:sz w:val="18"/>
                <w:szCs w:val="18"/>
                <w:color w:val="auto"/>
              </w:rPr>
              <w:t>2.84%</w:t>
            </w:r>
          </w:p>
        </w:tc>
        <w:tc>
          <w:tcPr>
            <w:tcW w:w="180" w:type="dxa"/>
            <w:vAlign w:val="bottom"/>
          </w:tcPr>
          <w:p>
            <w:pPr>
              <w:spacing w:after="0"/>
              <w:rPr>
                <w:sz w:val="23"/>
                <w:szCs w:val="23"/>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1,584</w:t>
            </w:r>
          </w:p>
        </w:tc>
        <w:tc>
          <w:tcPr>
            <w:tcW w:w="8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40.0</w:t>
            </w:r>
          </w:p>
        </w:tc>
        <w:tc>
          <w:tcPr>
            <w:tcW w:w="1020" w:type="dxa"/>
            <w:vAlign w:val="bottom"/>
            <w:gridSpan w:val="3"/>
          </w:tcPr>
          <w:p>
            <w:pPr>
              <w:ind w:left="520"/>
              <w:spacing w:after="0"/>
              <w:rPr>
                <w:sz w:val="20"/>
                <w:szCs w:val="20"/>
                <w:color w:val="auto"/>
              </w:rPr>
            </w:pPr>
            <w:r>
              <w:rPr>
                <w:rFonts w:ascii="Arial" w:cs="Arial" w:eastAsia="Arial" w:hAnsi="Arial"/>
                <w:sz w:val="18"/>
                <w:szCs w:val="18"/>
                <w:color w:val="auto"/>
                <w:w w:val="93"/>
              </w:rPr>
              <w:t>2.49%</w:t>
            </w:r>
          </w:p>
        </w:tc>
        <w:tc>
          <w:tcPr>
            <w:tcW w:w="0" w:type="dxa"/>
            <w:vAlign w:val="bottom"/>
          </w:tcPr>
          <w:p>
            <w:pPr>
              <w:spacing w:after="0"/>
              <w:rPr>
                <w:sz w:val="1"/>
                <w:szCs w:val="1"/>
                <w:color w:val="auto"/>
              </w:rPr>
            </w:pPr>
          </w:p>
        </w:tc>
      </w:tr>
      <w:tr>
        <w:trPr>
          <w:trHeight w:val="223"/>
        </w:trPr>
        <w:tc>
          <w:tcPr>
            <w:tcW w:w="31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interest-bearing liabilities</w:t>
            </w: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5,364</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106.3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CCEEFF"/>
              <w:bottom w:val="single" w:sz="8" w:color="CCEEFF"/>
            </w:tcBorders>
            <w:gridSpan w:val="2"/>
            <w:shd w:val="clear" w:color="auto" w:fill="CCEEFF"/>
          </w:tcPr>
          <w:p>
            <w:pPr>
              <w:ind w:left="520"/>
              <w:spacing w:after="0" w:line="223" w:lineRule="exact"/>
              <w:rPr>
                <w:sz w:val="20"/>
                <w:szCs w:val="20"/>
                <w:color w:val="auto"/>
              </w:rPr>
            </w:pPr>
            <w:r>
              <w:rPr>
                <w:rFonts w:ascii="Arial" w:cs="Arial" w:eastAsia="Arial" w:hAnsi="Arial"/>
                <w:sz w:val="14"/>
                <w:szCs w:val="14"/>
                <w:b w:val="1"/>
                <w:bCs w:val="1"/>
                <w:color w:val="auto"/>
              </w:rPr>
              <w:t>1.95</w:t>
            </w:r>
            <w:r>
              <w:rPr>
                <w:rFonts w:ascii="Arial" w:cs="Arial" w:eastAsia="Arial" w:hAnsi="Arial"/>
                <w:sz w:val="25"/>
                <w:szCs w:val="25"/>
                <w:b w:val="1"/>
                <w:bCs w:val="1"/>
                <w:color w:val="auto"/>
                <w:vertAlign w:val="superscript"/>
              </w:rPr>
              <w:t>%</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6,403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90.7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CCEEFF"/>
              <w:bottom w:val="single" w:sz="8" w:color="CCEEFF"/>
            </w:tcBorders>
            <w:gridSpan w:val="2"/>
            <w:shd w:val="clear" w:color="auto" w:fill="CCEEFF"/>
          </w:tcPr>
          <w:p>
            <w:pPr>
              <w:ind w:left="520"/>
              <w:spacing w:after="0" w:line="223" w:lineRule="exact"/>
              <w:rPr>
                <w:sz w:val="20"/>
                <w:szCs w:val="20"/>
                <w:color w:val="auto"/>
              </w:rPr>
            </w:pPr>
            <w:r>
              <w:rPr>
                <w:rFonts w:ascii="Arial" w:cs="Arial" w:eastAsia="Arial" w:hAnsi="Arial"/>
                <w:sz w:val="14"/>
                <w:szCs w:val="14"/>
                <w:b w:val="1"/>
                <w:bCs w:val="1"/>
                <w:color w:val="auto"/>
              </w:rPr>
              <w:t>1.39</w:t>
            </w:r>
            <w:r>
              <w:rPr>
                <w:rFonts w:ascii="Arial" w:cs="Arial" w:eastAsia="Arial" w:hAnsi="Arial"/>
                <w:sz w:val="25"/>
                <w:szCs w:val="25"/>
                <w:b w:val="1"/>
                <w:bCs w:val="1"/>
                <w:color w:val="auto"/>
                <w:vertAlign w:val="superscript"/>
              </w:rPr>
              <w:t>%</w:t>
            </w:r>
          </w:p>
        </w:tc>
        <w:tc>
          <w:tcPr>
            <w:tcW w:w="180" w:type="dxa"/>
            <w:vAlign w:val="bottom"/>
            <w:tcBorders>
              <w:top w:val="single" w:sz="8" w:color="auto"/>
              <w:bottom w:val="single" w:sz="8" w:color="auto"/>
            </w:tcBorders>
            <w:shd w:val="clear" w:color="auto" w:fill="CCEEFF"/>
          </w:tcPr>
          <w:p>
            <w:pPr>
              <w:jc w:val="right"/>
              <w:ind w:right="22"/>
              <w:spacing w:after="0"/>
              <w:rPr>
                <w:sz w:val="20"/>
                <w:szCs w:val="20"/>
                <w:color w:val="auto"/>
              </w:rPr>
            </w:pPr>
            <w:r>
              <w:rPr>
                <w:rFonts w:ascii="Arial" w:cs="Arial" w:eastAsia="Arial" w:hAnsi="Arial"/>
                <w:sz w:val="15"/>
                <w:szCs w:val="15"/>
                <w:b w:val="1"/>
                <w:bCs w:val="1"/>
                <w:color w:val="auto"/>
                <w:w w:val="71"/>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6,865</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74.8</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CCEEFF"/>
              <w:bottom w:val="single" w:sz="8" w:color="CCEEFF"/>
            </w:tcBorders>
            <w:gridSpan w:val="3"/>
            <w:shd w:val="clear" w:color="auto" w:fill="CCEEFF"/>
          </w:tcPr>
          <w:p>
            <w:pPr>
              <w:ind w:left="520"/>
              <w:spacing w:after="0" w:line="223" w:lineRule="exact"/>
              <w:rPr>
                <w:sz w:val="20"/>
                <w:szCs w:val="20"/>
                <w:color w:val="auto"/>
              </w:rPr>
            </w:pPr>
            <w:r>
              <w:rPr>
                <w:rFonts w:ascii="Arial" w:cs="Arial" w:eastAsia="Arial" w:hAnsi="Arial"/>
                <w:sz w:val="14"/>
                <w:szCs w:val="14"/>
                <w:b w:val="1"/>
                <w:bCs w:val="1"/>
                <w:color w:val="auto"/>
              </w:rPr>
              <w:t>1.08</w:t>
            </w:r>
            <w:r>
              <w:rPr>
                <w:rFonts w:ascii="Arial" w:cs="Arial" w:eastAsia="Arial" w:hAnsi="Arial"/>
                <w:sz w:val="25"/>
                <w:szCs w:val="25"/>
                <w:b w:val="1"/>
                <w:bCs w:val="1"/>
                <w:color w:val="auto"/>
                <w:vertAlign w:val="superscript"/>
              </w:rPr>
              <w:t>%</w:t>
            </w:r>
          </w:p>
        </w:tc>
        <w:tc>
          <w:tcPr>
            <w:tcW w:w="0" w:type="dxa"/>
            <w:vAlign w:val="bottom"/>
          </w:tcPr>
          <w:p>
            <w:pPr>
              <w:spacing w:after="0"/>
              <w:rPr>
                <w:sz w:val="1"/>
                <w:szCs w:val="1"/>
                <w:color w:val="auto"/>
              </w:rPr>
            </w:pPr>
          </w:p>
        </w:tc>
      </w:tr>
      <w:tr>
        <w:trPr>
          <w:trHeight w:val="20"/>
        </w:trPr>
        <w:tc>
          <w:tcPr>
            <w:tcW w:w="3100" w:type="dxa"/>
            <w:vAlign w:val="bottom"/>
            <w:gridSpan w:val="2"/>
            <w:vMerge w:val="restart"/>
          </w:tcPr>
          <w:p>
            <w:pPr>
              <w:spacing w:after="0" w:line="195" w:lineRule="exact"/>
              <w:rPr>
                <w:sz w:val="20"/>
                <w:szCs w:val="20"/>
                <w:color w:val="auto"/>
              </w:rPr>
            </w:pPr>
            <w:r>
              <w:rPr>
                <w:rFonts w:ascii="Arial" w:cs="Arial" w:eastAsia="Arial" w:hAnsi="Arial"/>
                <w:sz w:val="18"/>
                <w:szCs w:val="18"/>
                <w:color w:val="auto"/>
                <w:w w:val="97"/>
              </w:rPr>
              <w:t>Non-interest bearing liabilities and other</w:t>
            </w:r>
          </w:p>
        </w:tc>
        <w:tc>
          <w:tcPr>
            <w:tcW w:w="1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3100" w:type="dxa"/>
            <w:vAlign w:val="bottom"/>
            <w:gridSpan w:val="2"/>
            <w:vMerge w:val="continue"/>
          </w:tcPr>
          <w:p>
            <w:pPr>
              <w:spacing w:after="0"/>
              <w:rPr>
                <w:sz w:val="13"/>
                <w:szCs w:val="13"/>
                <w:color w:val="auto"/>
              </w:rPr>
            </w:pPr>
          </w:p>
        </w:tc>
        <w:tc>
          <w:tcPr>
            <w:tcW w:w="18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44"/>
        </w:trPr>
        <w:tc>
          <w:tcPr>
            <w:tcW w:w="3100" w:type="dxa"/>
            <w:vAlign w:val="bottom"/>
            <w:gridSpan w:val="2"/>
          </w:tcPr>
          <w:p>
            <w:pPr>
              <w:ind w:left="260"/>
              <w:spacing w:after="0"/>
              <w:rPr>
                <w:sz w:val="20"/>
                <w:szCs w:val="20"/>
                <w:color w:val="auto"/>
              </w:rPr>
            </w:pPr>
            <w:r>
              <w:rPr>
                <w:rFonts w:ascii="Arial" w:cs="Arial" w:eastAsia="Arial" w:hAnsi="Arial"/>
                <w:sz w:val="18"/>
                <w:szCs w:val="18"/>
                <w:color w:val="auto"/>
              </w:rPr>
              <w:t>liabilities</w:t>
            </w:r>
          </w:p>
        </w:tc>
        <w:tc>
          <w:tcPr>
            <w:tcW w:w="180" w:type="dxa"/>
            <w:vAlign w:val="bottom"/>
          </w:tcPr>
          <w:p>
            <w:pPr>
              <w:spacing w:after="0"/>
              <w:rPr>
                <w:sz w:val="21"/>
                <w:szCs w:val="21"/>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82</w:t>
            </w:r>
          </w:p>
        </w:tc>
        <w:tc>
          <w:tcPr>
            <w:tcW w:w="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54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480" w:type="dxa"/>
            <w:vAlign w:val="bottom"/>
          </w:tcPr>
          <w:p>
            <w:pPr>
              <w:jc w:val="right"/>
              <w:spacing w:after="0"/>
              <w:rPr>
                <w:sz w:val="20"/>
                <w:szCs w:val="20"/>
                <w:color w:val="auto"/>
              </w:rPr>
            </w:pPr>
            <w:r>
              <w:rPr>
                <w:rFonts w:ascii="Arial" w:cs="Arial" w:eastAsia="Arial" w:hAnsi="Arial"/>
                <w:sz w:val="18"/>
                <w:szCs w:val="18"/>
                <w:color w:val="auto"/>
              </w:rPr>
              <w:t>83</w:t>
            </w:r>
          </w:p>
        </w:tc>
        <w:tc>
          <w:tcPr>
            <w:tcW w:w="22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5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3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86</w:t>
            </w:r>
          </w:p>
        </w:tc>
        <w:tc>
          <w:tcPr>
            <w:tcW w:w="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54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1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5,446</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5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6,486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5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CCEEFF"/>
              <w:bottom w:val="single" w:sz="8" w:color="CCEEFF"/>
            </w:tcBorders>
            <w:shd w:val="clear" w:color="auto" w:fill="CCEEFF"/>
          </w:tcPr>
          <w:p>
            <w:pPr>
              <w:spacing w:after="0"/>
              <w:rPr>
                <w:sz w:val="19"/>
                <w:szCs w:val="19"/>
                <w:color w:val="auto"/>
              </w:rPr>
            </w:pP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ind w:right="22"/>
              <w:spacing w:after="0"/>
              <w:rPr>
                <w:sz w:val="20"/>
                <w:szCs w:val="20"/>
                <w:color w:val="auto"/>
              </w:rPr>
            </w:pPr>
            <w:r>
              <w:rPr>
                <w:rFonts w:ascii="Arial" w:cs="Arial" w:eastAsia="Arial" w:hAnsi="Arial"/>
                <w:sz w:val="15"/>
                <w:szCs w:val="15"/>
                <w:b w:val="1"/>
                <w:bCs w:val="1"/>
                <w:color w:val="auto"/>
                <w:w w:val="71"/>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6,952</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5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7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100" w:type="dxa"/>
            <w:vAlign w:val="bottom"/>
            <w:gridSpan w:val="2"/>
            <w:vMerge w:val="restart"/>
          </w:tcPr>
          <w:p>
            <w:pPr>
              <w:spacing w:after="0"/>
              <w:rPr>
                <w:sz w:val="20"/>
                <w:szCs w:val="20"/>
                <w:color w:val="auto"/>
              </w:rPr>
            </w:pPr>
            <w:r>
              <w:rPr>
                <w:rFonts w:ascii="Arial" w:cs="Arial" w:eastAsia="Arial" w:hAnsi="Arial"/>
                <w:sz w:val="18"/>
                <w:szCs w:val="18"/>
                <w:color w:val="auto"/>
              </w:rPr>
              <w:t>Total Stockholders’ equity</w:t>
            </w:r>
          </w:p>
        </w:tc>
        <w:tc>
          <w:tcPr>
            <w:tcW w:w="1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100" w:type="dxa"/>
            <w:vAlign w:val="bottom"/>
            <w:tcBorders>
              <w:bottom w:val="single" w:sz="8" w:color="CCEEFF"/>
            </w:tcBorders>
            <w:gridSpan w:val="2"/>
            <w:vMerge w:val="continue"/>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5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1,022</w:t>
            </w:r>
          </w:p>
        </w:tc>
        <w:tc>
          <w:tcPr>
            <w:tcW w:w="140" w:type="dxa"/>
            <w:vAlign w:val="bottom"/>
            <w:tcBorders>
              <w:bottom w:val="single" w:sz="8" w:color="CCEEFF"/>
            </w:tcBorders>
            <w:vMerge w:val="continue"/>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540" w:type="dxa"/>
            <w:vAlign w:val="bottom"/>
            <w:tcBorders>
              <w:bottom w:val="single" w:sz="8" w:color="CCEEFF"/>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840" w:type="dxa"/>
            <w:vAlign w:val="bottom"/>
            <w:tcBorders>
              <w:bottom w:val="single" w:sz="8" w:color="CCEEFF"/>
            </w:tcBorders>
          </w:tcPr>
          <w:p>
            <w:pPr>
              <w:spacing w:after="0"/>
              <w:rPr>
                <w:sz w:val="17"/>
                <w:szCs w:val="17"/>
                <w:color w:val="auto"/>
              </w:rPr>
            </w:pPr>
          </w:p>
        </w:tc>
        <w:tc>
          <w:tcPr>
            <w:tcW w:w="22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4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993</w:t>
            </w:r>
          </w:p>
        </w:tc>
        <w:tc>
          <w:tcPr>
            <w:tcW w:w="220" w:type="dxa"/>
            <w:vAlign w:val="bottom"/>
            <w:tcBorders>
              <w:bottom w:val="single" w:sz="8" w:color="CCEEFF"/>
            </w:tcBorders>
            <w:vMerge w:val="continue"/>
          </w:tcPr>
          <w:p>
            <w:pPr>
              <w:spacing w:after="0"/>
              <w:rPr>
                <w:sz w:val="17"/>
                <w:szCs w:val="17"/>
                <w:color w:val="auto"/>
              </w:rPr>
            </w:pPr>
          </w:p>
        </w:tc>
        <w:tc>
          <w:tcPr>
            <w:tcW w:w="140" w:type="dxa"/>
            <w:vAlign w:val="bottom"/>
            <w:tcBorders>
              <w:bottom w:val="single" w:sz="8" w:color="CCEEFF"/>
            </w:tcBorders>
          </w:tcPr>
          <w:p>
            <w:pPr>
              <w:spacing w:after="0"/>
              <w:rPr>
                <w:sz w:val="17"/>
                <w:szCs w:val="17"/>
                <w:color w:val="auto"/>
              </w:rPr>
            </w:pPr>
          </w:p>
        </w:tc>
        <w:tc>
          <w:tcPr>
            <w:tcW w:w="54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840" w:type="dxa"/>
            <w:vAlign w:val="bottom"/>
            <w:tcBorders>
              <w:bottom w:val="single" w:sz="8" w:color="CCEEFF"/>
            </w:tcBorders>
          </w:tcPr>
          <w:p>
            <w:pPr>
              <w:spacing w:after="0"/>
              <w:rPr>
                <w:sz w:val="17"/>
                <w:szCs w:val="17"/>
                <w:color w:val="auto"/>
              </w:rPr>
            </w:pPr>
          </w:p>
        </w:tc>
        <w:tc>
          <w:tcPr>
            <w:tcW w:w="300" w:type="dxa"/>
            <w:vAlign w:val="bottom"/>
            <w:tcBorders>
              <w:bottom w:val="single" w:sz="8" w:color="CCEEFF"/>
            </w:tcBorders>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5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949</w:t>
            </w:r>
          </w:p>
        </w:tc>
        <w:tc>
          <w:tcPr>
            <w:tcW w:w="140" w:type="dxa"/>
            <w:vAlign w:val="bottom"/>
            <w:tcBorders>
              <w:bottom w:val="single" w:sz="8" w:color="CCEEFF"/>
            </w:tcBorders>
            <w:vMerge w:val="continue"/>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540" w:type="dxa"/>
            <w:vAlign w:val="bottom"/>
            <w:tcBorders>
              <w:bottom w:val="single" w:sz="8" w:color="CCEEFF"/>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740" w:type="dxa"/>
            <w:vAlign w:val="bottom"/>
            <w:tcBorders>
              <w:bottom w:val="single" w:sz="8" w:color="CCEEFF"/>
            </w:tcBorders>
          </w:tcPr>
          <w:p>
            <w:pPr>
              <w:spacing w:after="0"/>
              <w:rPr>
                <w:sz w:val="17"/>
                <w:szCs w:val="17"/>
                <w:color w:val="auto"/>
              </w:rPr>
            </w:pPr>
          </w:p>
        </w:tc>
        <w:tc>
          <w:tcPr>
            <w:tcW w:w="1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78"/>
        </w:trPr>
        <w:tc>
          <w:tcPr>
            <w:tcW w:w="3100" w:type="dxa"/>
            <w:vAlign w:val="bottom"/>
            <w:gridSpan w:val="2"/>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Total Liabilities and Stockholders’</w:t>
            </w:r>
          </w:p>
        </w:tc>
        <w:tc>
          <w:tcPr>
            <w:tcW w:w="18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5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8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4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5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840" w:type="dxa"/>
            <w:vAlign w:val="bottom"/>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5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100" w:type="dxa"/>
            <w:vAlign w:val="bottom"/>
            <w:gridSpan w:val="2"/>
            <w:shd w:val="clear" w:color="auto" w:fill="CCEEFF"/>
          </w:tcPr>
          <w:p>
            <w:pPr>
              <w:ind w:left="260"/>
              <w:spacing w:after="0"/>
              <w:rPr>
                <w:sz w:val="20"/>
                <w:szCs w:val="20"/>
                <w:color w:val="auto"/>
              </w:rPr>
            </w:pPr>
            <w:r>
              <w:rPr>
                <w:rFonts w:ascii="Arial" w:cs="Arial" w:eastAsia="Arial" w:hAnsi="Arial"/>
                <w:sz w:val="18"/>
                <w:szCs w:val="18"/>
                <w:b w:val="1"/>
                <w:bCs w:val="1"/>
                <w:color w:val="auto"/>
              </w:rPr>
              <w:t>Equity</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6,468</w:t>
            </w:r>
          </w:p>
        </w:tc>
        <w:tc>
          <w:tcPr>
            <w:tcW w:w="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54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260" w:type="dxa"/>
            <w:vAlign w:val="bottom"/>
            <w:gridSpan w:val="2"/>
            <w:shd w:val="clear" w:color="auto" w:fill="CCEEFF"/>
          </w:tcPr>
          <w:p>
            <w:pPr>
              <w:ind w:left="60"/>
              <w:spacing w:after="0"/>
              <w:rPr>
                <w:sz w:val="20"/>
                <w:szCs w:val="20"/>
                <w:color w:val="auto"/>
              </w:rPr>
            </w:pPr>
            <w:r>
              <w:rPr>
                <w:rFonts w:ascii="Arial" w:cs="Arial" w:eastAsia="Arial" w:hAnsi="Arial"/>
                <w:sz w:val="18"/>
                <w:szCs w:val="18"/>
                <w:b w:val="1"/>
                <w:bCs w:val="1"/>
                <w:color w:val="auto"/>
              </w:rPr>
              <w:t>$</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7,479</w:t>
            </w:r>
          </w:p>
        </w:tc>
        <w:tc>
          <w:tcPr>
            <w:tcW w:w="140" w:type="dxa"/>
            <w:vAlign w:val="bottom"/>
            <w:shd w:val="clear" w:color="auto" w:fill="CCEEFF"/>
          </w:tcPr>
          <w:p>
            <w:pPr>
              <w:spacing w:after="0"/>
              <w:rPr>
                <w:sz w:val="22"/>
                <w:szCs w:val="22"/>
                <w:color w:val="auto"/>
              </w:rPr>
            </w:pPr>
          </w:p>
        </w:tc>
        <w:tc>
          <w:tcPr>
            <w:tcW w:w="54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300" w:type="dxa"/>
            <w:vAlign w:val="bottom"/>
            <w:shd w:val="clear" w:color="auto" w:fill="CCEEFF"/>
          </w:tcPr>
          <w:p>
            <w:pPr>
              <w:spacing w:after="0"/>
              <w:rPr>
                <w:sz w:val="22"/>
                <w:szCs w:val="22"/>
                <w:color w:val="auto"/>
              </w:rPr>
            </w:pPr>
          </w:p>
        </w:tc>
        <w:tc>
          <w:tcPr>
            <w:tcW w:w="180" w:type="dxa"/>
            <w:vAlign w:val="bottom"/>
            <w:shd w:val="clear" w:color="auto" w:fill="CCEEFF"/>
          </w:tcPr>
          <w:p>
            <w:pPr>
              <w:jc w:val="right"/>
              <w:ind w:right="22"/>
              <w:spacing w:after="0"/>
              <w:rPr>
                <w:sz w:val="20"/>
                <w:szCs w:val="20"/>
                <w:color w:val="auto"/>
              </w:rPr>
            </w:pPr>
            <w:r>
              <w:rPr>
                <w:rFonts w:ascii="Arial" w:cs="Arial" w:eastAsia="Arial" w:hAnsi="Arial"/>
                <w:sz w:val="15"/>
                <w:szCs w:val="15"/>
                <w:b w:val="1"/>
                <w:bCs w:val="1"/>
                <w:color w:val="auto"/>
                <w:w w:val="71"/>
              </w:rPr>
              <w:t>$</w:t>
            </w: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7,901</w:t>
            </w:r>
          </w:p>
        </w:tc>
        <w:tc>
          <w:tcPr>
            <w:tcW w:w="8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54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7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100" w:type="dxa"/>
            <w:vAlign w:val="bottom"/>
            <w:tcBorders>
              <w:top w:val="single" w:sz="8" w:color="CCEEFF"/>
              <w:bottom w:val="single" w:sz="8" w:color="CCEEFF"/>
            </w:tcBorders>
            <w:gridSpan w:val="2"/>
            <w:vMerge w:val="restart"/>
          </w:tcPr>
          <w:p>
            <w:pPr>
              <w:spacing w:after="0"/>
              <w:rPr>
                <w:sz w:val="20"/>
                <w:szCs w:val="20"/>
                <w:color w:val="auto"/>
              </w:rPr>
            </w:pPr>
            <w:r>
              <w:rPr>
                <w:rFonts w:ascii="Arial" w:cs="Arial" w:eastAsia="Arial" w:hAnsi="Arial"/>
                <w:sz w:val="18"/>
                <w:szCs w:val="18"/>
                <w:color w:val="auto"/>
              </w:rPr>
              <w:t>Net interest spread</w:t>
            </w:r>
          </w:p>
        </w:tc>
        <w:tc>
          <w:tcPr>
            <w:tcW w:w="18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5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bottom w:val="single" w:sz="8" w:color="CCEEFF"/>
            </w:tcBorders>
            <w:gridSpan w:val="2"/>
            <w:vMerge w:val="restart"/>
          </w:tcPr>
          <w:p>
            <w:pPr>
              <w:ind w:left="520"/>
              <w:spacing w:after="0"/>
              <w:rPr>
                <w:sz w:val="20"/>
                <w:szCs w:val="20"/>
                <w:color w:val="auto"/>
              </w:rPr>
            </w:pPr>
            <w:r>
              <w:rPr>
                <w:rFonts w:ascii="Arial" w:cs="Arial" w:eastAsia="Arial" w:hAnsi="Arial"/>
                <w:sz w:val="18"/>
                <w:szCs w:val="18"/>
                <w:color w:val="auto"/>
              </w:rPr>
              <w:t>1.48%</w:t>
            </w:r>
          </w:p>
        </w:tc>
        <w:tc>
          <w:tcPr>
            <w:tcW w:w="6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5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bottom w:val="single" w:sz="8" w:color="CCEEFF"/>
            </w:tcBorders>
            <w:gridSpan w:val="2"/>
            <w:vMerge w:val="restart"/>
          </w:tcPr>
          <w:p>
            <w:pPr>
              <w:ind w:left="520"/>
              <w:spacing w:after="0"/>
              <w:rPr>
                <w:sz w:val="20"/>
                <w:szCs w:val="20"/>
                <w:color w:val="auto"/>
              </w:rPr>
            </w:pPr>
            <w:r>
              <w:rPr>
                <w:rFonts w:ascii="Arial" w:cs="Arial" w:eastAsia="Arial" w:hAnsi="Arial"/>
                <w:sz w:val="18"/>
                <w:szCs w:val="18"/>
                <w:color w:val="auto"/>
              </w:rPr>
              <w:t>1.84%</w:t>
            </w:r>
          </w:p>
        </w:tc>
        <w:tc>
          <w:tcPr>
            <w:tcW w:w="18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5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CCEEFF"/>
            </w:tcBorders>
            <w:gridSpan w:val="3"/>
            <w:vMerge w:val="restart"/>
          </w:tcPr>
          <w:p>
            <w:pPr>
              <w:ind w:left="520"/>
              <w:spacing w:after="0"/>
              <w:rPr>
                <w:sz w:val="20"/>
                <w:szCs w:val="20"/>
                <w:color w:val="auto"/>
              </w:rPr>
            </w:pPr>
            <w:r>
              <w:rPr>
                <w:rFonts w:ascii="Arial" w:cs="Arial" w:eastAsia="Arial" w:hAnsi="Arial"/>
                <w:sz w:val="18"/>
                <w:szCs w:val="18"/>
                <w:color w:val="auto"/>
                <w:w w:val="93"/>
              </w:rPr>
              <w:t>1.68%</w:t>
            </w:r>
          </w:p>
        </w:tc>
        <w:tc>
          <w:tcPr>
            <w:tcW w:w="0" w:type="dxa"/>
            <w:vAlign w:val="bottom"/>
          </w:tcPr>
          <w:p>
            <w:pPr>
              <w:spacing w:after="0" w:line="20" w:lineRule="exact"/>
              <w:rPr>
                <w:sz w:val="1"/>
                <w:szCs w:val="1"/>
                <w:color w:val="auto"/>
              </w:rPr>
            </w:pPr>
          </w:p>
        </w:tc>
      </w:tr>
      <w:tr>
        <w:trPr>
          <w:trHeight w:val="197"/>
        </w:trPr>
        <w:tc>
          <w:tcPr>
            <w:tcW w:w="3100" w:type="dxa"/>
            <w:vAlign w:val="bottom"/>
            <w:gridSpan w:val="2"/>
            <w:vMerge w:val="continue"/>
          </w:tcPr>
          <w:p>
            <w:pPr>
              <w:spacing w:after="0"/>
              <w:rPr>
                <w:sz w:val="17"/>
                <w:szCs w:val="17"/>
                <w:color w:val="auto"/>
              </w:rPr>
            </w:pPr>
          </w:p>
        </w:tc>
        <w:tc>
          <w:tcPr>
            <w:tcW w:w="18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60" w:type="dxa"/>
            <w:vAlign w:val="bottom"/>
            <w:gridSpan w:val="2"/>
            <w:vMerge w:val="continue"/>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gridSpan w:val="2"/>
            <w:vMerge w:val="continue"/>
          </w:tcPr>
          <w:p>
            <w:pPr>
              <w:spacing w:after="0"/>
              <w:rPr>
                <w:sz w:val="17"/>
                <w:szCs w:val="17"/>
                <w:color w:val="auto"/>
              </w:rPr>
            </w:pPr>
          </w:p>
        </w:tc>
        <w:tc>
          <w:tcPr>
            <w:tcW w:w="18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gridSpan w:val="3"/>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31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Net interest income and net interest</w:t>
            </w:r>
          </w:p>
        </w:tc>
        <w:tc>
          <w:tcPr>
            <w:tcW w:w="18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57"/>
        </w:trPr>
        <w:tc>
          <w:tcPr>
            <w:tcW w:w="31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margin</w:t>
            </w:r>
          </w:p>
        </w:tc>
        <w:tc>
          <w:tcPr>
            <w:tcW w:w="180" w:type="dxa"/>
            <w:vAlign w:val="bottom"/>
            <w:shd w:val="clear" w:color="auto" w:fill="CCEEFF"/>
          </w:tcPr>
          <w:p>
            <w:pPr>
              <w:spacing w:after="0"/>
              <w:rPr>
                <w:sz w:val="22"/>
                <w:szCs w:val="22"/>
                <w:color w:val="auto"/>
              </w:rPr>
            </w:pPr>
          </w:p>
        </w:tc>
        <w:tc>
          <w:tcPr>
            <w:tcW w:w="5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119.8</w:t>
            </w:r>
          </w:p>
        </w:tc>
        <w:tc>
          <w:tcPr>
            <w:tcW w:w="1060" w:type="dxa"/>
            <w:vAlign w:val="bottom"/>
            <w:gridSpan w:val="2"/>
            <w:shd w:val="clear" w:color="auto" w:fill="CCEEFF"/>
          </w:tcPr>
          <w:p>
            <w:pPr>
              <w:ind w:left="520"/>
              <w:spacing w:after="0" w:line="258" w:lineRule="exact"/>
              <w:rPr>
                <w:sz w:val="20"/>
                <w:szCs w:val="20"/>
                <w:color w:val="auto"/>
              </w:rPr>
            </w:pPr>
            <w:r>
              <w:rPr>
                <w:rFonts w:ascii="Arial" w:cs="Arial" w:eastAsia="Arial" w:hAnsi="Arial"/>
                <w:sz w:val="16"/>
                <w:szCs w:val="16"/>
                <w:color w:val="auto"/>
              </w:rPr>
              <w:t>1.85</w:t>
            </w:r>
            <w:r>
              <w:rPr>
                <w:rFonts w:ascii="Arial" w:cs="Arial" w:eastAsia="Arial" w:hAnsi="Arial"/>
                <w:sz w:val="29"/>
                <w:szCs w:val="29"/>
                <w:color w:val="auto"/>
                <w:vertAlign w:val="superscript"/>
              </w:rPr>
              <w:t>%</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4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155.2</w:t>
            </w:r>
          </w:p>
        </w:tc>
        <w:tc>
          <w:tcPr>
            <w:tcW w:w="10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ind w:left="520"/>
              <w:spacing w:after="0" w:line="258" w:lineRule="exact"/>
              <w:rPr>
                <w:sz w:val="20"/>
                <w:szCs w:val="20"/>
                <w:color w:val="auto"/>
              </w:rPr>
            </w:pPr>
            <w:r>
              <w:rPr>
                <w:rFonts w:ascii="Arial" w:cs="Arial" w:eastAsia="Arial" w:hAnsi="Arial"/>
                <w:sz w:val="16"/>
                <w:szCs w:val="16"/>
                <w:color w:val="auto"/>
              </w:rPr>
              <w:t>2.08</w:t>
            </w:r>
            <w:r>
              <w:rPr>
                <w:rFonts w:ascii="Arial" w:cs="Arial" w:eastAsia="Arial" w:hAnsi="Arial"/>
                <w:sz w:val="29"/>
                <w:szCs w:val="29"/>
                <w:color w:val="auto"/>
                <w:vertAlign w:val="superscript"/>
              </w:rPr>
              <w:t>%</w:t>
            </w:r>
          </w:p>
        </w:tc>
        <w:tc>
          <w:tcPr>
            <w:tcW w:w="180" w:type="dxa"/>
            <w:vAlign w:val="bottom"/>
            <w:shd w:val="clear" w:color="auto" w:fill="CCEEFF"/>
          </w:tcPr>
          <w:p>
            <w:pPr>
              <w:spacing w:after="0"/>
              <w:rPr>
                <w:sz w:val="22"/>
                <w:szCs w:val="22"/>
                <w:color w:val="auto"/>
              </w:rPr>
            </w:pPr>
          </w:p>
        </w:tc>
        <w:tc>
          <w:tcPr>
            <w:tcW w:w="5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145.5</w:t>
            </w:r>
          </w:p>
        </w:tc>
        <w:tc>
          <w:tcPr>
            <w:tcW w:w="1020" w:type="dxa"/>
            <w:vAlign w:val="bottom"/>
            <w:gridSpan w:val="3"/>
            <w:shd w:val="clear" w:color="auto" w:fill="CCEEFF"/>
          </w:tcPr>
          <w:p>
            <w:pPr>
              <w:ind w:left="520"/>
              <w:spacing w:after="0" w:line="258" w:lineRule="exact"/>
              <w:rPr>
                <w:sz w:val="20"/>
                <w:szCs w:val="20"/>
                <w:color w:val="auto"/>
              </w:rPr>
            </w:pPr>
            <w:r>
              <w:rPr>
                <w:rFonts w:ascii="Arial" w:cs="Arial" w:eastAsia="Arial" w:hAnsi="Arial"/>
                <w:sz w:val="16"/>
                <w:szCs w:val="16"/>
                <w:color w:val="auto"/>
                <w:w w:val="99"/>
              </w:rPr>
              <w:t>1.84</w:t>
            </w:r>
            <w:r>
              <w:rPr>
                <w:rFonts w:ascii="Arial" w:cs="Arial" w:eastAsia="Arial" w:hAnsi="Arial"/>
                <w:sz w:val="29"/>
                <w:szCs w:val="29"/>
                <w:color w:val="auto"/>
                <w:w w:val="99"/>
                <w:vertAlign w:val="superscript"/>
              </w:rPr>
              <w:t>%</w:t>
            </w:r>
          </w:p>
        </w:tc>
        <w:tc>
          <w:tcPr>
            <w:tcW w:w="0" w:type="dxa"/>
            <w:vAlign w:val="bottom"/>
          </w:tcPr>
          <w:p>
            <w:pPr>
              <w:spacing w:after="0"/>
              <w:rPr>
                <w:sz w:val="1"/>
                <w:szCs w:val="1"/>
                <w:color w:val="auto"/>
              </w:rPr>
            </w:pPr>
          </w:p>
        </w:tc>
      </w:tr>
      <w:tr>
        <w:trPr>
          <w:trHeight w:val="20"/>
        </w:trPr>
        <w:tc>
          <w:tcPr>
            <w:tcW w:w="30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5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4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5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7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line="194" w:lineRule="auto"/>
        <w:tabs>
          <w:tab w:leader="none" w:pos="340" w:val="left"/>
        </w:tabs>
        <w:numPr>
          <w:ilvl w:val="0"/>
          <w:numId w:val="34"/>
        </w:numPr>
        <w:rPr>
          <w:rFonts w:ascii="Arial" w:cs="Arial" w:eastAsia="Arial" w:hAnsi="Arial"/>
          <w:sz w:val="30"/>
          <w:szCs w:val="30"/>
          <w:color w:val="auto"/>
          <w:vertAlign w:val="superscript"/>
        </w:rPr>
      </w:pPr>
      <w:r>
        <w:rPr>
          <w:rFonts w:ascii="Arial" w:cs="Arial" w:eastAsia="Arial" w:hAnsi="Arial"/>
          <w:sz w:val="18"/>
          <w:szCs w:val="18"/>
          <w:color w:val="auto"/>
        </w:rPr>
        <w:t>The securities at FVOCI are non-taxable securities and the average yield using cost-based average balances, would have been 2.92%, 2.31% and 2.42%, for 2017, 2016 and 2015, respectively.</w:t>
      </w:r>
    </w:p>
    <w:p>
      <w:pPr>
        <w:ind w:left="340" w:hanging="332"/>
        <w:spacing w:after="0" w:line="187" w:lineRule="auto"/>
        <w:tabs>
          <w:tab w:leader="none" w:pos="340" w:val="left"/>
        </w:tabs>
        <w:numPr>
          <w:ilvl w:val="0"/>
          <w:numId w:val="34"/>
        </w:numPr>
        <w:rPr>
          <w:rFonts w:ascii="Arial" w:cs="Arial" w:eastAsia="Arial" w:hAnsi="Arial"/>
          <w:sz w:val="30"/>
          <w:szCs w:val="30"/>
          <w:color w:val="auto"/>
          <w:vertAlign w:val="superscript"/>
        </w:rPr>
      </w:pPr>
      <w:r>
        <w:rPr>
          <w:rFonts w:ascii="Arial" w:cs="Arial" w:eastAsia="Arial" w:hAnsi="Arial"/>
          <w:sz w:val="18"/>
          <w:szCs w:val="18"/>
          <w:color w:val="auto"/>
        </w:rPr>
        <w:t>The securities at amortized cost are non-taxable securities and the average yield using cost-based average balances, would have been 3.01%, 2.93% and 2.92%, for 2017, 2016 and 2015, respectively.</w:t>
      </w:r>
    </w:p>
    <w:p>
      <w:pPr>
        <w:spacing w:after="0" w:line="2" w:lineRule="exact"/>
        <w:rPr>
          <w:rFonts w:ascii="Arial" w:cs="Arial" w:eastAsia="Arial" w:hAnsi="Arial"/>
          <w:sz w:val="30"/>
          <w:szCs w:val="30"/>
          <w:color w:val="auto"/>
          <w:vertAlign w:val="superscript"/>
        </w:rPr>
      </w:pPr>
    </w:p>
    <w:p>
      <w:pPr>
        <w:ind w:left="340" w:hanging="332"/>
        <w:spacing w:after="0" w:line="180" w:lineRule="auto"/>
        <w:tabs>
          <w:tab w:leader="none" w:pos="340" w:val="left"/>
        </w:tabs>
        <w:numPr>
          <w:ilvl w:val="0"/>
          <w:numId w:val="34"/>
        </w:numPr>
        <w:rPr>
          <w:rFonts w:ascii="Arial" w:cs="Arial" w:eastAsia="Arial" w:hAnsi="Arial"/>
          <w:sz w:val="25"/>
          <w:szCs w:val="25"/>
          <w:color w:val="auto"/>
          <w:vertAlign w:val="superscript"/>
        </w:rPr>
      </w:pPr>
      <w:r>
        <w:rPr>
          <w:rFonts w:ascii="Arial" w:cs="Arial" w:eastAsia="Arial" w:hAnsi="Arial"/>
          <w:sz w:val="16"/>
          <w:szCs w:val="16"/>
          <w:color w:val="auto"/>
        </w:rPr>
        <w:t>The Bank obtains deposits in the form of demand deposits and time deposits from its central bank shareholders, commercial banks and corporations.</w:t>
      </w:r>
    </w:p>
    <w:p>
      <w:pPr>
        <w:spacing w:after="0" w:line="2" w:lineRule="exact"/>
        <w:rPr>
          <w:rFonts w:ascii="Arial" w:cs="Arial" w:eastAsia="Arial" w:hAnsi="Arial"/>
          <w:sz w:val="25"/>
          <w:szCs w:val="25"/>
          <w:color w:val="auto"/>
          <w:vertAlign w:val="superscript"/>
        </w:rPr>
      </w:pPr>
    </w:p>
    <w:p>
      <w:pPr>
        <w:ind w:left="340" w:hanging="332"/>
        <w:spacing w:after="0" w:line="186" w:lineRule="auto"/>
        <w:tabs>
          <w:tab w:leader="none" w:pos="340" w:val="left"/>
        </w:tabs>
        <w:numPr>
          <w:ilvl w:val="0"/>
          <w:numId w:val="34"/>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sz w:val="20"/>
          <w:szCs w:val="20"/>
          <w:color w:val="auto"/>
        </w:rPr>
      </w:pPr>
    </w:p>
    <w:p>
      <w:pPr>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Changes in Net Interest Income — Volume and Rate Analysis</w:t>
      </w:r>
    </w:p>
    <w:p>
      <w:pPr>
        <w:spacing w:after="0" w:line="212"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Net interest income is affected by changes in volume and changes in interest rates. Volume changes are caused by differences in the level of interest-earning assets and interest-bearing liabilities. Rate changes result from differences in yields earned on interest-earning assets and rates paid on interest-bearing liabilities. The following table sets forth a summary of the changes in net interest income of the Bank, resulting from changes in its interest-earning assets and interest-bearing liabilities’ average volume and average interest rate changes for 2017 compared to 2016 and 2016 compared to 2015. Volume and rate variances have been calculated based on average balances and average interest rates over the periods presented.</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0" w:name="page51"/>
    <w:bookmarkEnd w:id="50"/>
    <w:tbl>
      <w:tblPr>
        <w:tblLayout w:type="fixed"/>
        <w:tblInd w:w="0" w:type="dxa"/>
        <w:tblCellMar>
          <w:top w:w="0" w:type="dxa"/>
          <w:left w:w="0" w:type="dxa"/>
          <w:bottom w:w="0" w:type="dxa"/>
          <w:right w:w="0" w:type="dxa"/>
        </w:tblCellMar>
      </w:tblPr>
      <w:tr>
        <w:trPr>
          <w:trHeight w:val="234"/>
        </w:trPr>
        <w:tc>
          <w:tcPr>
            <w:tcW w:w="39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gridSpan w:val="3"/>
          </w:tcPr>
          <w:p>
            <w:pPr>
              <w:ind w:left="20"/>
              <w:spacing w:after="0"/>
              <w:rPr>
                <w:sz w:val="20"/>
                <w:szCs w:val="20"/>
                <w:color w:val="auto"/>
              </w:rPr>
            </w:pPr>
            <w:r>
              <w:rPr>
                <w:rFonts w:ascii="Arial" w:cs="Arial" w:eastAsia="Arial" w:hAnsi="Arial"/>
                <w:sz w:val="18"/>
                <w:szCs w:val="18"/>
                <w:b w:val="1"/>
                <w:bCs w:val="1"/>
                <w:color w:val="auto"/>
              </w:rPr>
              <w:t>2017 vs. 2016</w:t>
            </w:r>
          </w:p>
        </w:tc>
        <w:tc>
          <w:tcPr>
            <w:tcW w:w="8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760" w:type="dxa"/>
            <w:vAlign w:val="bottom"/>
            <w:tcBorders>
              <w:bottom w:val="single" w:sz="8" w:color="auto"/>
            </w:tcBorders>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gridSpan w:val="4"/>
          </w:tcPr>
          <w:p>
            <w:pPr>
              <w:jc w:val="right"/>
              <w:ind w:right="60"/>
              <w:spacing w:after="0"/>
              <w:rPr>
                <w:sz w:val="20"/>
                <w:szCs w:val="20"/>
                <w:color w:val="auto"/>
              </w:rPr>
            </w:pPr>
            <w:r>
              <w:rPr>
                <w:rFonts w:ascii="Arial" w:cs="Arial" w:eastAsia="Arial" w:hAnsi="Arial"/>
                <w:sz w:val="18"/>
                <w:szCs w:val="18"/>
                <w:b w:val="1"/>
                <w:bCs w:val="1"/>
                <w:color w:val="auto"/>
                <w:w w:val="92"/>
              </w:rPr>
              <w:t>2016 vs. 2015</w:t>
            </w:r>
          </w:p>
        </w:tc>
        <w:tc>
          <w:tcPr>
            <w:tcW w:w="8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50"/>
        </w:trPr>
        <w:tc>
          <w:tcPr>
            <w:tcW w:w="39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080" w:type="dxa"/>
            <w:vAlign w:val="bottom"/>
            <w:gridSpan w:val="2"/>
          </w:tcPr>
          <w:p>
            <w:pPr>
              <w:jc w:val="right"/>
              <w:ind w:right="220"/>
              <w:spacing w:after="0" w:line="251" w:lineRule="exact"/>
              <w:rPr>
                <w:sz w:val="20"/>
                <w:szCs w:val="20"/>
                <w:color w:val="auto"/>
              </w:rPr>
            </w:pPr>
            <w:r>
              <w:rPr>
                <w:rFonts w:ascii="Arial" w:cs="Arial" w:eastAsia="Arial" w:hAnsi="Arial"/>
                <w:sz w:val="18"/>
                <w:szCs w:val="18"/>
                <w:b w:val="1"/>
                <w:bCs w:val="1"/>
                <w:color w:val="auto"/>
                <w:w w:val="88"/>
              </w:rPr>
              <w:t>Volume</w:t>
            </w:r>
            <w:r>
              <w:rPr>
                <w:rFonts w:ascii="Arial" w:cs="Arial" w:eastAsia="Arial" w:hAnsi="Arial"/>
                <w:sz w:val="29"/>
                <w:szCs w:val="29"/>
                <w:b w:val="1"/>
                <w:bCs w:val="1"/>
                <w:color w:val="auto"/>
                <w:w w:val="88"/>
                <w:vertAlign w:val="superscript"/>
              </w:rPr>
              <w:t>(*)</w:t>
            </w:r>
          </w:p>
        </w:tc>
        <w:tc>
          <w:tcPr>
            <w:tcW w:w="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20" w:type="dxa"/>
            <w:vAlign w:val="bottom"/>
            <w:gridSpan w:val="2"/>
          </w:tcPr>
          <w:p>
            <w:pPr>
              <w:jc w:val="right"/>
              <w:ind w:right="340"/>
              <w:spacing w:after="0" w:line="251" w:lineRule="exact"/>
              <w:rPr>
                <w:sz w:val="20"/>
                <w:szCs w:val="20"/>
                <w:color w:val="auto"/>
              </w:rPr>
            </w:pPr>
            <w:r>
              <w:rPr>
                <w:rFonts w:ascii="Arial" w:cs="Arial" w:eastAsia="Arial" w:hAnsi="Arial"/>
                <w:sz w:val="18"/>
                <w:szCs w:val="18"/>
                <w:b w:val="1"/>
                <w:bCs w:val="1"/>
                <w:color w:val="auto"/>
                <w:w w:val="97"/>
              </w:rPr>
              <w:t>Rate</w:t>
            </w:r>
            <w:r>
              <w:rPr>
                <w:rFonts w:ascii="Arial" w:cs="Arial" w:eastAsia="Arial" w:hAnsi="Arial"/>
                <w:sz w:val="29"/>
                <w:szCs w:val="29"/>
                <w:b w:val="1"/>
                <w:bCs w:val="1"/>
                <w:color w:val="auto"/>
                <w:w w:val="97"/>
                <w:vertAlign w:val="superscript"/>
              </w:rPr>
              <w:t>(*)</w:t>
            </w:r>
          </w:p>
        </w:tc>
        <w:tc>
          <w:tcPr>
            <w:tcW w:w="80" w:type="dxa"/>
            <w:vAlign w:val="bottom"/>
          </w:tcPr>
          <w:p>
            <w:pPr>
              <w:spacing w:after="0"/>
              <w:rPr>
                <w:sz w:val="21"/>
                <w:szCs w:val="21"/>
                <w:color w:val="auto"/>
              </w:rPr>
            </w:pPr>
          </w:p>
        </w:tc>
        <w:tc>
          <w:tcPr>
            <w:tcW w:w="118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w w:val="95"/>
              </w:rPr>
              <w:t>Net Change</w:t>
            </w:r>
          </w:p>
        </w:tc>
        <w:tc>
          <w:tcPr>
            <w:tcW w:w="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60" w:type="dxa"/>
            <w:vAlign w:val="bottom"/>
            <w:gridSpan w:val="2"/>
          </w:tcPr>
          <w:p>
            <w:pPr>
              <w:jc w:val="right"/>
              <w:ind w:right="200"/>
              <w:spacing w:after="0" w:line="251" w:lineRule="exact"/>
              <w:rPr>
                <w:sz w:val="20"/>
                <w:szCs w:val="20"/>
                <w:color w:val="auto"/>
              </w:rPr>
            </w:pPr>
            <w:r>
              <w:rPr>
                <w:rFonts w:ascii="Arial" w:cs="Arial" w:eastAsia="Arial" w:hAnsi="Arial"/>
                <w:sz w:val="18"/>
                <w:szCs w:val="18"/>
                <w:b w:val="1"/>
                <w:bCs w:val="1"/>
                <w:color w:val="auto"/>
                <w:w w:val="88"/>
              </w:rPr>
              <w:t>Volume</w:t>
            </w:r>
            <w:r>
              <w:rPr>
                <w:rFonts w:ascii="Arial" w:cs="Arial" w:eastAsia="Arial" w:hAnsi="Arial"/>
                <w:sz w:val="29"/>
                <w:szCs w:val="29"/>
                <w:b w:val="1"/>
                <w:bCs w:val="1"/>
                <w:color w:val="auto"/>
                <w:w w:val="88"/>
                <w:vertAlign w:val="superscript"/>
              </w:rPr>
              <w:t>(*)</w:t>
            </w:r>
          </w:p>
        </w:tc>
        <w:tc>
          <w:tcPr>
            <w:tcW w:w="8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980" w:type="dxa"/>
            <w:vAlign w:val="bottom"/>
            <w:gridSpan w:val="2"/>
          </w:tcPr>
          <w:p>
            <w:pPr>
              <w:jc w:val="right"/>
              <w:ind w:right="300"/>
              <w:spacing w:after="0" w:line="251" w:lineRule="exact"/>
              <w:rPr>
                <w:sz w:val="20"/>
                <w:szCs w:val="20"/>
                <w:color w:val="auto"/>
              </w:rPr>
            </w:pPr>
            <w:r>
              <w:rPr>
                <w:rFonts w:ascii="Arial" w:cs="Arial" w:eastAsia="Arial" w:hAnsi="Arial"/>
                <w:sz w:val="18"/>
                <w:szCs w:val="18"/>
                <w:b w:val="1"/>
                <w:bCs w:val="1"/>
                <w:color w:val="auto"/>
                <w:w w:val="97"/>
              </w:rPr>
              <w:t>Rate</w:t>
            </w:r>
            <w:r>
              <w:rPr>
                <w:rFonts w:ascii="Arial" w:cs="Arial" w:eastAsia="Arial" w:hAnsi="Arial"/>
                <w:sz w:val="29"/>
                <w:szCs w:val="29"/>
                <w:b w:val="1"/>
                <w:bCs w:val="1"/>
                <w:color w:val="auto"/>
                <w:w w:val="97"/>
                <w:vertAlign w:val="superscript"/>
              </w:rPr>
              <w:t>(*)</w:t>
            </w:r>
          </w:p>
        </w:tc>
        <w:tc>
          <w:tcPr>
            <w:tcW w:w="80" w:type="dxa"/>
            <w:vAlign w:val="bottom"/>
          </w:tcPr>
          <w:p>
            <w:pPr>
              <w:spacing w:after="0"/>
              <w:rPr>
                <w:sz w:val="21"/>
                <w:szCs w:val="21"/>
                <w:color w:val="auto"/>
              </w:rPr>
            </w:pPr>
          </w:p>
        </w:tc>
        <w:tc>
          <w:tcPr>
            <w:tcW w:w="1120" w:type="dxa"/>
            <w:vAlign w:val="bottom"/>
            <w:gridSpan w:val="3"/>
          </w:tcPr>
          <w:p>
            <w:pPr>
              <w:jc w:val="right"/>
              <w:ind w:right="80"/>
              <w:spacing w:after="0"/>
              <w:rPr>
                <w:sz w:val="20"/>
                <w:szCs w:val="20"/>
                <w:color w:val="auto"/>
              </w:rPr>
            </w:pPr>
            <w:r>
              <w:rPr>
                <w:rFonts w:ascii="Arial" w:cs="Arial" w:eastAsia="Arial" w:hAnsi="Arial"/>
                <w:sz w:val="18"/>
                <w:szCs w:val="18"/>
                <w:b w:val="1"/>
                <w:bCs w:val="1"/>
                <w:color w:val="auto"/>
                <w:w w:val="93"/>
              </w:rPr>
              <w:t>Net Change</w:t>
            </w:r>
          </w:p>
        </w:tc>
      </w:tr>
      <w:tr>
        <w:trPr>
          <w:trHeight w:val="210"/>
        </w:trPr>
        <w:tc>
          <w:tcPr>
            <w:tcW w:w="39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860" w:type="dxa"/>
            <w:vAlign w:val="bottom"/>
            <w:tcBorders>
              <w:top w:val="single" w:sz="8" w:color="auto"/>
            </w:tcBorders>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2140" w:type="dxa"/>
            <w:vAlign w:val="bottom"/>
            <w:tcBorders>
              <w:top w:val="single" w:sz="8" w:color="auto"/>
            </w:tcBorders>
            <w:gridSpan w:val="6"/>
          </w:tcPr>
          <w:p>
            <w:pPr>
              <w:jc w:val="right"/>
              <w:ind w:right="640"/>
              <w:spacing w:after="0"/>
              <w:rPr>
                <w:sz w:val="20"/>
                <w:szCs w:val="20"/>
                <w:color w:val="auto"/>
              </w:rPr>
            </w:pPr>
            <w:r>
              <w:rPr>
                <w:rFonts w:ascii="Arial" w:cs="Arial" w:eastAsia="Arial" w:hAnsi="Arial"/>
                <w:sz w:val="18"/>
                <w:szCs w:val="18"/>
                <w:b w:val="1"/>
                <w:bCs w:val="1"/>
                <w:color w:val="auto"/>
              </w:rPr>
              <w:t>(in $ thousands)</w:t>
            </w:r>
          </w:p>
        </w:tc>
        <w:tc>
          <w:tcPr>
            <w:tcW w:w="80" w:type="dxa"/>
            <w:vAlign w:val="bottom"/>
            <w:tcBorders>
              <w:top w:val="single" w:sz="8" w:color="auto"/>
            </w:tcBorders>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Increase (decrease) in interest income</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3960" w:type="dxa"/>
            <w:vAlign w:val="bottom"/>
          </w:tcPr>
          <w:p>
            <w:pPr>
              <w:spacing w:after="0"/>
              <w:rPr>
                <w:sz w:val="20"/>
                <w:szCs w:val="20"/>
                <w:color w:val="auto"/>
              </w:rPr>
            </w:pPr>
            <w:r>
              <w:rPr>
                <w:rFonts w:ascii="Arial" w:cs="Arial" w:eastAsia="Arial" w:hAnsi="Arial"/>
                <w:sz w:val="18"/>
                <w:szCs w:val="18"/>
                <w:color w:val="auto"/>
              </w:rPr>
              <w:t>Interest bearing deposits with banks</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80"/>
              <w:spacing w:after="0"/>
              <w:rPr>
                <w:sz w:val="20"/>
                <w:szCs w:val="20"/>
                <w:color w:val="auto"/>
              </w:rPr>
            </w:pPr>
            <w:r>
              <w:rPr>
                <w:rFonts w:ascii="Arial" w:cs="Arial" w:eastAsia="Arial" w:hAnsi="Arial"/>
                <w:sz w:val="18"/>
                <w:szCs w:val="18"/>
                <w:color w:val="auto"/>
              </w:rPr>
              <w:t>715</w:t>
            </w:r>
          </w:p>
        </w:tc>
        <w:tc>
          <w:tcPr>
            <w:tcW w:w="26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5,074</w:t>
            </w:r>
          </w:p>
        </w:tc>
        <w:tc>
          <w:tcPr>
            <w:tcW w:w="36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60"/>
              <w:spacing w:after="0"/>
              <w:rPr>
                <w:sz w:val="20"/>
                <w:szCs w:val="20"/>
                <w:color w:val="auto"/>
              </w:rPr>
            </w:pPr>
            <w:r>
              <w:rPr>
                <w:rFonts w:ascii="Arial" w:cs="Arial" w:eastAsia="Arial" w:hAnsi="Arial"/>
                <w:sz w:val="18"/>
                <w:szCs w:val="18"/>
                <w:color w:val="auto"/>
              </w:rPr>
              <w:t>5,789</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60"/>
              <w:spacing w:after="0"/>
              <w:rPr>
                <w:sz w:val="20"/>
                <w:szCs w:val="20"/>
                <w:color w:val="auto"/>
              </w:rPr>
            </w:pPr>
            <w:r>
              <w:rPr>
                <w:rFonts w:ascii="Arial" w:cs="Arial" w:eastAsia="Arial" w:hAnsi="Arial"/>
                <w:sz w:val="18"/>
                <w:szCs w:val="18"/>
                <w:color w:val="auto"/>
              </w:rPr>
              <w:t>141</w:t>
            </w:r>
          </w:p>
        </w:tc>
        <w:tc>
          <w:tcPr>
            <w:tcW w:w="24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60"/>
              <w:spacing w:after="0"/>
              <w:rPr>
                <w:sz w:val="20"/>
                <w:szCs w:val="20"/>
                <w:color w:val="auto"/>
              </w:rPr>
            </w:pPr>
            <w:r>
              <w:rPr>
                <w:rFonts w:ascii="Arial" w:cs="Arial" w:eastAsia="Arial" w:hAnsi="Arial"/>
                <w:sz w:val="18"/>
                <w:szCs w:val="18"/>
                <w:color w:val="auto"/>
              </w:rPr>
              <w:t>2,281</w:t>
            </w:r>
          </w:p>
        </w:tc>
        <w:tc>
          <w:tcPr>
            <w:tcW w:w="36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2,422</w:t>
            </w:r>
          </w:p>
        </w:tc>
      </w:tr>
      <w:tr>
        <w:trPr>
          <w:trHeight w:val="216"/>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(3,171)</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629</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(2,542)</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(3,540)</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170</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(3,370)</w:t>
            </w:r>
          </w:p>
        </w:tc>
      </w:tr>
      <w:tr>
        <w:trPr>
          <w:trHeight w:val="230"/>
        </w:trPr>
        <w:tc>
          <w:tcPr>
            <w:tcW w:w="3960" w:type="dxa"/>
            <w:vAlign w:val="bottom"/>
          </w:tcPr>
          <w:p>
            <w:pPr>
              <w:spacing w:after="0"/>
              <w:rPr>
                <w:sz w:val="20"/>
                <w:szCs w:val="20"/>
                <w:color w:val="auto"/>
              </w:rPr>
            </w:pPr>
            <w:r>
              <w:rPr>
                <w:rFonts w:ascii="Arial" w:cs="Arial" w:eastAsia="Arial" w:hAnsi="Arial"/>
                <w:sz w:val="18"/>
                <w:szCs w:val="18"/>
                <w:color w:val="auto"/>
              </w:rPr>
              <w:t>Loans, net of unearned interest</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gridSpan w:val="2"/>
          </w:tcPr>
          <w:p>
            <w:pPr>
              <w:jc w:val="right"/>
              <w:ind w:right="20"/>
              <w:spacing w:after="0"/>
              <w:rPr>
                <w:sz w:val="20"/>
                <w:szCs w:val="20"/>
                <w:color w:val="auto"/>
              </w:rPr>
            </w:pPr>
            <w:r>
              <w:rPr>
                <w:rFonts w:ascii="Arial" w:cs="Arial" w:eastAsia="Arial" w:hAnsi="Arial"/>
                <w:sz w:val="18"/>
                <w:szCs w:val="18"/>
                <w:color w:val="auto"/>
              </w:rPr>
              <w:t>(36,370)</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13,304</w:t>
            </w: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00" w:type="dxa"/>
            <w:vAlign w:val="bottom"/>
            <w:gridSpan w:val="2"/>
          </w:tcPr>
          <w:p>
            <w:pPr>
              <w:jc w:val="right"/>
              <w:spacing w:after="0"/>
              <w:rPr>
                <w:sz w:val="20"/>
                <w:szCs w:val="20"/>
                <w:color w:val="auto"/>
              </w:rPr>
            </w:pPr>
            <w:r>
              <w:rPr>
                <w:rFonts w:ascii="Arial" w:cs="Arial" w:eastAsia="Arial" w:hAnsi="Arial"/>
                <w:sz w:val="18"/>
                <w:szCs w:val="18"/>
                <w:color w:val="auto"/>
              </w:rPr>
              <w:t>(23,066)</w:t>
            </w: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(10,262)</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8"/>
                <w:szCs w:val="18"/>
                <w:color w:val="auto"/>
              </w:rPr>
              <w:t>36,796</w:t>
            </w: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26,534</w:t>
            </w:r>
          </w:p>
        </w:tc>
      </w:tr>
      <w:tr>
        <w:trPr>
          <w:trHeight w:val="210"/>
        </w:trPr>
        <w:tc>
          <w:tcPr>
            <w:tcW w:w="39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increase (decrease)</w:t>
            </w: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(38,826</w:t>
            </w:r>
          </w:p>
        </w:tc>
        <w:tc>
          <w:tcPr>
            <w:tcW w:w="160" w:type="dxa"/>
            <w:vAlign w:val="bottom"/>
            <w:tcBorders>
              <w:top w:val="single" w:sz="8" w:color="CCEEFF"/>
            </w:tcBorders>
            <w:shd w:val="clear" w:color="auto" w:fill="CCEEFF"/>
          </w:tcPr>
          <w:p>
            <w:pPr>
              <w:jc w:val="right"/>
              <w:ind w:right="20"/>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19,007</w:t>
            </w:r>
          </w:p>
        </w:tc>
        <w:tc>
          <w:tcPr>
            <w:tcW w:w="1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(19,819</w:t>
            </w:r>
          </w:p>
        </w:tc>
        <w:tc>
          <w:tcPr>
            <w:tcW w:w="14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(13,661</w:t>
            </w:r>
          </w:p>
        </w:tc>
        <w:tc>
          <w:tcPr>
            <w:tcW w:w="14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39,247</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jc w:val="right"/>
              <w:ind w:right="121"/>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25,586</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3960" w:type="dxa"/>
            <w:vAlign w:val="bottom"/>
          </w:tcPr>
          <w:p>
            <w:pPr>
              <w:spacing w:after="0"/>
              <w:rPr>
                <w:sz w:val="20"/>
                <w:szCs w:val="20"/>
                <w:color w:val="auto"/>
              </w:rPr>
            </w:pPr>
            <w:r>
              <w:rPr>
                <w:rFonts w:ascii="Arial" w:cs="Arial" w:eastAsia="Arial" w:hAnsi="Arial"/>
                <w:sz w:val="18"/>
                <w:szCs w:val="18"/>
                <w:b w:val="1"/>
                <w:bCs w:val="1"/>
                <w:color w:val="auto"/>
              </w:rPr>
              <w:t>(Increase) decrease in interest expense</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(1,266)</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(21,450)</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(22,716)</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(1,867)</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(6,477)</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(8,344)</w:t>
            </w:r>
          </w:p>
        </w:tc>
      </w:tr>
      <w:tr>
        <w:trPr>
          <w:trHeight w:val="202"/>
        </w:trPr>
        <w:tc>
          <w:tcPr>
            <w:tcW w:w="3960" w:type="dxa"/>
            <w:vAlign w:val="bottom"/>
          </w:tcPr>
          <w:p>
            <w:pPr>
              <w:spacing w:after="0" w:line="201" w:lineRule="exact"/>
              <w:rPr>
                <w:sz w:val="20"/>
                <w:szCs w:val="20"/>
                <w:color w:val="auto"/>
              </w:rPr>
            </w:pPr>
            <w:r>
              <w:rPr>
                <w:rFonts w:ascii="Arial" w:cs="Arial" w:eastAsia="Arial" w:hAnsi="Arial"/>
                <w:sz w:val="18"/>
                <w:szCs w:val="18"/>
                <w:color w:val="auto"/>
                <w:w w:val="95"/>
              </w:rPr>
              <w:t>Securities  sold  under  repurchase  agreement  and</w:t>
            </w: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960" w:type="dxa"/>
            <w:vAlign w:val="bottom"/>
          </w:tcPr>
          <w:p>
            <w:pPr>
              <w:spacing w:after="0"/>
              <w:rPr>
                <w:sz w:val="20"/>
                <w:szCs w:val="20"/>
                <w:color w:val="auto"/>
              </w:rPr>
            </w:pPr>
            <w:r>
              <w:rPr>
                <w:rFonts w:ascii="Arial" w:cs="Arial" w:eastAsia="Arial" w:hAnsi="Arial"/>
                <w:sz w:val="18"/>
                <w:szCs w:val="18"/>
                <w:color w:val="auto"/>
              </w:rPr>
              <w:t>short-term borrowings and debt</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8"/>
                <w:szCs w:val="18"/>
                <w:color w:val="auto"/>
              </w:rPr>
              <w:t>12,472</w:t>
            </w: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(7,909)</w:t>
            </w:r>
          </w:p>
        </w:tc>
        <w:tc>
          <w:tcPr>
            <w:tcW w:w="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8"/>
                <w:szCs w:val="18"/>
                <w:color w:val="auto"/>
              </w:rPr>
              <w:t>4,563</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8"/>
                <w:szCs w:val="18"/>
                <w:color w:val="auto"/>
              </w:rPr>
              <w:t>11,789</w:t>
            </w:r>
          </w:p>
        </w:tc>
        <w:tc>
          <w:tcPr>
            <w:tcW w:w="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80" w:type="dxa"/>
            <w:vAlign w:val="bottom"/>
            <w:gridSpan w:val="2"/>
          </w:tcPr>
          <w:p>
            <w:pPr>
              <w:jc w:val="right"/>
              <w:spacing w:after="0"/>
              <w:rPr>
                <w:sz w:val="20"/>
                <w:szCs w:val="20"/>
                <w:color w:val="auto"/>
              </w:rPr>
            </w:pPr>
            <w:r>
              <w:rPr>
                <w:rFonts w:ascii="Arial" w:cs="Arial" w:eastAsia="Arial" w:hAnsi="Arial"/>
                <w:sz w:val="18"/>
                <w:szCs w:val="18"/>
                <w:color w:val="auto"/>
              </w:rPr>
              <w:t>(5,313)</w:t>
            </w:r>
          </w:p>
        </w:tc>
        <w:tc>
          <w:tcPr>
            <w:tcW w:w="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6,476</w:t>
            </w:r>
          </w:p>
        </w:tc>
      </w:tr>
      <w:tr>
        <w:trPr>
          <w:trHeight w:val="230"/>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13,883</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(11,305)</w:t>
            </w:r>
          </w:p>
        </w:tc>
        <w:tc>
          <w:tcPr>
            <w:tcW w:w="8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2,578</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(8,439)</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(5,549)</w:t>
            </w:r>
          </w:p>
        </w:tc>
        <w:tc>
          <w:tcPr>
            <w:tcW w:w="8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(13,988)</w:t>
            </w:r>
          </w:p>
        </w:tc>
      </w:tr>
      <w:tr>
        <w:trPr>
          <w:trHeight w:val="210"/>
        </w:trPr>
        <w:tc>
          <w:tcPr>
            <w:tcW w:w="39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(increase) decrease</w:t>
            </w:r>
          </w:p>
        </w:tc>
        <w:tc>
          <w:tcPr>
            <w:tcW w:w="60" w:type="dxa"/>
            <w:vAlign w:val="bottom"/>
            <w:tcBorders>
              <w:bottom w:val="single" w:sz="8" w:color="CCEEFF"/>
            </w:tcBorders>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25,089</w:t>
            </w:r>
          </w:p>
        </w:tc>
        <w:tc>
          <w:tcPr>
            <w:tcW w:w="16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8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(40,664</w:t>
            </w:r>
          </w:p>
        </w:tc>
        <w:tc>
          <w:tcPr>
            <w:tcW w:w="160" w:type="dxa"/>
            <w:vAlign w:val="bottom"/>
            <w:tcBorders>
              <w:bottom w:val="single" w:sz="8" w:color="CCEEFF"/>
            </w:tcBorders>
          </w:tcPr>
          <w:p>
            <w:pPr>
              <w:jc w:val="right"/>
              <w:ind w:right="20"/>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(15,575</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18"/>
                <w:szCs w:val="18"/>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1,483</w:t>
            </w:r>
          </w:p>
        </w:tc>
        <w:tc>
          <w:tcPr>
            <w:tcW w:w="14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60" w:type="dxa"/>
            <w:vAlign w:val="bottom"/>
            <w:tcBorders>
              <w:top w:val="single" w:sz="8" w:color="auto"/>
              <w:bottom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(17,339</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jc w:val="right"/>
              <w:ind w:right="121"/>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(15,856</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23"/>
        </w:trPr>
        <w:tc>
          <w:tcPr>
            <w:tcW w:w="39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Increase (decrease) in net interest income</w:t>
            </w:r>
          </w:p>
        </w:tc>
        <w:tc>
          <w:tcPr>
            <w:tcW w:w="6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(13,737</w:t>
            </w:r>
          </w:p>
        </w:tc>
        <w:tc>
          <w:tcPr>
            <w:tcW w:w="160" w:type="dxa"/>
            <w:vAlign w:val="bottom"/>
            <w:tcBorders>
              <w:bottom w:val="single" w:sz="8" w:color="CCEEFF"/>
            </w:tcBorders>
            <w:shd w:val="clear" w:color="auto" w:fill="CCEEFF"/>
          </w:tcPr>
          <w:p>
            <w:pPr>
              <w:jc w:val="right"/>
              <w:ind w:right="20"/>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(21,657</w:t>
            </w:r>
          </w:p>
        </w:tc>
        <w:tc>
          <w:tcPr>
            <w:tcW w:w="160" w:type="dxa"/>
            <w:vAlign w:val="bottom"/>
            <w:tcBorders>
              <w:bottom w:val="single" w:sz="8" w:color="CCEEFF"/>
            </w:tcBorders>
            <w:shd w:val="clear" w:color="auto" w:fill="CCEEFF"/>
          </w:tcPr>
          <w:p>
            <w:pPr>
              <w:jc w:val="right"/>
              <w:ind w:right="20"/>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shd w:val="clear" w:color="auto" w:fill="CCEEFF"/>
          </w:tcPr>
          <w:p>
            <w:pPr>
              <w:spacing w:after="0"/>
              <w:rPr>
                <w:sz w:val="19"/>
                <w:szCs w:val="19"/>
                <w:color w:val="auto"/>
              </w:rPr>
            </w:pPr>
          </w:p>
        </w:tc>
        <w:tc>
          <w:tcPr>
            <w:tcW w:w="280" w:type="dxa"/>
            <w:vAlign w:val="bottom"/>
            <w:tcBorders>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(35,394</w:t>
            </w:r>
          </w:p>
        </w:tc>
        <w:tc>
          <w:tcPr>
            <w:tcW w:w="1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(12,178</w:t>
            </w:r>
          </w:p>
        </w:tc>
        <w:tc>
          <w:tcPr>
            <w:tcW w:w="1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21,908</w:t>
            </w:r>
          </w:p>
        </w:tc>
        <w:tc>
          <w:tcPr>
            <w:tcW w:w="14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280" w:type="dxa"/>
            <w:vAlign w:val="bottom"/>
            <w:tcBorders>
              <w:bottom w:val="single" w:sz="8" w:color="auto"/>
            </w:tcBorders>
            <w:shd w:val="clear" w:color="auto" w:fill="CCEEFF"/>
          </w:tcPr>
          <w:p>
            <w:pPr>
              <w:jc w:val="right"/>
              <w:ind w:right="121"/>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9,730</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39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29" w:lineRule="exact"/>
        <w:rPr>
          <w:sz w:val="20"/>
          <w:szCs w:val="20"/>
          <w:color w:val="auto"/>
        </w:rPr>
      </w:pPr>
    </w:p>
    <w:p>
      <w:pPr>
        <w:ind w:left="260" w:right="20" w:hanging="252"/>
        <w:spacing w:after="0" w:line="207" w:lineRule="auto"/>
        <w:tabs>
          <w:tab w:leader="none" w:pos="248" w:val="left"/>
        </w:tabs>
        <w:numPr>
          <w:ilvl w:val="0"/>
          <w:numId w:val="35"/>
        </w:numPr>
        <w:rPr>
          <w:rFonts w:ascii="Arial" w:cs="Arial" w:eastAsia="Arial" w:hAnsi="Arial"/>
          <w:sz w:val="28"/>
          <w:szCs w:val="28"/>
          <w:color w:val="auto"/>
          <w:vertAlign w:val="superscript"/>
        </w:rPr>
      </w:pPr>
      <w:r>
        <w:rPr>
          <w:rFonts w:ascii="Arial" w:cs="Arial" w:eastAsia="Arial" w:hAnsi="Arial"/>
          <w:sz w:val="17"/>
          <w:szCs w:val="17"/>
          <w:color w:val="auto"/>
        </w:rPr>
        <w:t>Volume variation effect in net interest income is calculated by multiplying the difference in average volumes by the current year’s average yield. Rate variation effect in net interest income is calculated by multiplying the difference in average yield by the prior year’s average volume.</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Net Interest Income Variation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2017 vs. 2016</w:t>
      </w:r>
    </w:p>
    <w:p>
      <w:pPr>
        <w:spacing w:after="0" w:line="225"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For the year ended December 31, 2017, the Bank’s net interest income reached $119.8 million, compared to $155.2 million during the year ended December 31, 2016. The $35.4 million, or 23%, decrease in net interest income was mostly impacted by: (i) lower average loan volumes, as the Bank improved its portfolio risk profile by reducing unwanted exposures to certain countries, industries and clients, along with increasing its focus on short-term lending, and</w:t>
      </w:r>
    </w:p>
    <w:p>
      <w:pPr>
        <w:jc w:val="both"/>
        <w:ind w:firstLine="8"/>
        <w:spacing w:after="0" w:line="295" w:lineRule="auto"/>
        <w:tabs>
          <w:tab w:leader="none" w:pos="267" w:val="left"/>
        </w:tabs>
        <w:numPr>
          <w:ilvl w:val="0"/>
          <w:numId w:val="36"/>
        </w:numPr>
        <w:rPr>
          <w:rFonts w:ascii="Arial" w:cs="Arial" w:eastAsia="Arial" w:hAnsi="Arial"/>
          <w:sz w:val="16"/>
          <w:szCs w:val="16"/>
          <w:color w:val="auto"/>
        </w:rPr>
      </w:pPr>
      <w:r>
        <w:rPr>
          <w:rFonts w:ascii="Arial" w:cs="Arial" w:eastAsia="Arial" w:hAnsi="Arial"/>
          <w:sz w:val="16"/>
          <w:szCs w:val="16"/>
          <w:color w:val="auto"/>
        </w:rPr>
        <w:t>tighter lending spreads, from shortened average tenors combined with pricing pressures from increased levels of USD liquidity, while the Bank prioritized adequate risk-return pricing over volume growth. These effects were partially offset by (i) upward repricing on LIBOR-based market rates, which impacted both the earning-assets side and the financial liabilities side due to the Bank’s short-tenor interest rate gap structure, and (ii) lower spreads on its funding, as the Bank continued to benefit from the flight to quality trend among global funding sources, given the negative credit cycle in the Region.</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2016 vs. 2015</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For the year ended December 31, 2016, the Bank’s net interest income reached $155.2 million, compared to $145.5 million during the year ended December 31, 2015. The $9.7 million, or 7%, increase in net interest income was mainly driven by a 24 basis point increase in net interest margin to reach 2.08% in 2016, compared to 1.84% in 2015, as higher net lending spreads and the overall effect of increased market rates overcompensated the effects of lower average interest-earning asset balances, from the Bank’s efforts to reduce lending and investment portfolio risk concentrations.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Fees and commissions, net</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generates fee and commission income primarily from letters of credit confirmations, the issuance of guarantees covering commercial risk, credit commitments, and loan origination, structuring and syndication activities. The following table shows the components of the Bank’s fees and commissions, net, for the periods indicated:</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8" w:right="239" w:bottom="1440" w:gutter="0" w:footer="0" w:header="0"/>
        </w:sectPr>
      </w:pPr>
    </w:p>
    <w:bookmarkStart w:id="51" w:name="page52"/>
    <w:bookmarkEnd w:id="51"/>
    <w:tbl>
      <w:tblPr>
        <w:tblLayout w:type="fixed"/>
        <w:tblInd w:w="0" w:type="dxa"/>
        <w:tblCellMar>
          <w:top w:w="0" w:type="dxa"/>
          <w:left w:w="0" w:type="dxa"/>
          <w:bottom w:w="0" w:type="dxa"/>
          <w:right w:w="0" w:type="dxa"/>
        </w:tblCellMar>
      </w:tblPr>
      <w:tr>
        <w:trPr>
          <w:trHeight w:val="234"/>
        </w:trPr>
        <w:tc>
          <w:tcPr>
            <w:tcW w:w="4900" w:type="dxa"/>
            <w:vAlign w:val="bottom"/>
          </w:tcPr>
          <w:p>
            <w:pPr>
              <w:spacing w:after="0"/>
              <w:rPr>
                <w:sz w:val="20"/>
                <w:szCs w:val="20"/>
                <w:color w:val="auto"/>
              </w:rPr>
            </w:pPr>
          </w:p>
        </w:tc>
        <w:tc>
          <w:tcPr>
            <w:tcW w:w="2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420" w:type="dxa"/>
            <w:vAlign w:val="bottom"/>
            <w:gridSpan w:val="11"/>
          </w:tcPr>
          <w:p>
            <w:pPr>
              <w:ind w:left="240"/>
              <w:spacing w:after="0"/>
              <w:rPr>
                <w:sz w:val="20"/>
                <w:szCs w:val="20"/>
                <w:color w:val="auto"/>
              </w:rPr>
            </w:pPr>
            <w:r>
              <w:rPr>
                <w:rFonts w:ascii="Arial" w:cs="Arial" w:eastAsia="Arial" w:hAnsi="Arial"/>
                <w:sz w:val="18"/>
                <w:szCs w:val="18"/>
                <w:b w:val="1"/>
                <w:bCs w:val="1"/>
                <w:color w:val="auto"/>
              </w:rPr>
              <w:t>For the Year Ended December 31,</w:t>
            </w:r>
          </w:p>
        </w:tc>
      </w:tr>
      <w:tr>
        <w:trPr>
          <w:trHeight w:val="205"/>
        </w:trPr>
        <w:tc>
          <w:tcPr>
            <w:tcW w:w="4900" w:type="dxa"/>
            <w:vAlign w:val="bottom"/>
          </w:tcPr>
          <w:p>
            <w:pPr>
              <w:spacing w:after="0"/>
              <w:rPr>
                <w:sz w:val="17"/>
                <w:szCs w:val="17"/>
                <w:color w:val="auto"/>
              </w:rPr>
            </w:pPr>
          </w:p>
        </w:tc>
        <w:tc>
          <w:tcPr>
            <w:tcW w:w="2880" w:type="dxa"/>
            <w:vAlign w:val="bottom"/>
          </w:tcPr>
          <w:p>
            <w:pPr>
              <w:spacing w:after="0"/>
              <w:rPr>
                <w:sz w:val="17"/>
                <w:szCs w:val="17"/>
                <w:color w:val="auto"/>
              </w:rPr>
            </w:pPr>
          </w:p>
        </w:tc>
        <w:tc>
          <w:tcPr>
            <w:tcW w:w="22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jc w:val="right"/>
              <w:ind w:right="250"/>
              <w:spacing w:after="0" w:line="205" w:lineRule="exact"/>
              <w:rPr>
                <w:sz w:val="20"/>
                <w:szCs w:val="20"/>
                <w:color w:val="auto"/>
              </w:rPr>
            </w:pPr>
            <w:r>
              <w:rPr>
                <w:rFonts w:ascii="Arial" w:cs="Arial" w:eastAsia="Arial" w:hAnsi="Arial"/>
                <w:sz w:val="18"/>
                <w:szCs w:val="18"/>
                <w:b w:val="1"/>
                <w:bCs w:val="1"/>
                <w:color w:val="auto"/>
              </w:rPr>
              <w:t>2017</w:t>
            </w:r>
          </w:p>
        </w:tc>
        <w:tc>
          <w:tcPr>
            <w:tcW w:w="60" w:type="dxa"/>
            <w:vAlign w:val="bottom"/>
            <w:tcBorders>
              <w:top w:val="single" w:sz="8" w:color="auto"/>
            </w:tcBorders>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800" w:type="dxa"/>
            <w:vAlign w:val="bottom"/>
            <w:tcBorders>
              <w:top w:val="single" w:sz="8" w:color="auto"/>
            </w:tcBorders>
          </w:tcPr>
          <w:p>
            <w:pPr>
              <w:jc w:val="right"/>
              <w:ind w:right="230"/>
              <w:spacing w:after="0" w:line="205" w:lineRule="exact"/>
              <w:rPr>
                <w:sz w:val="20"/>
                <w:szCs w:val="20"/>
                <w:color w:val="auto"/>
              </w:rPr>
            </w:pPr>
            <w:r>
              <w:rPr>
                <w:rFonts w:ascii="Arial" w:cs="Arial" w:eastAsia="Arial" w:hAnsi="Arial"/>
                <w:sz w:val="18"/>
                <w:szCs w:val="18"/>
                <w:b w:val="1"/>
                <w:bCs w:val="1"/>
                <w:color w:val="auto"/>
              </w:rPr>
              <w:t>2016</w:t>
            </w:r>
          </w:p>
        </w:tc>
        <w:tc>
          <w:tcPr>
            <w:tcW w:w="220" w:type="dxa"/>
            <w:vAlign w:val="bottom"/>
            <w:tcBorders>
              <w:top w:val="single" w:sz="8" w:color="auto"/>
            </w:tcBorders>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jc w:val="right"/>
              <w:ind w:right="250"/>
              <w:spacing w:after="0" w:line="205" w:lineRule="exact"/>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34"/>
        </w:trPr>
        <w:tc>
          <w:tcPr>
            <w:tcW w:w="4900" w:type="dxa"/>
            <w:vAlign w:val="bottom"/>
          </w:tcPr>
          <w:p>
            <w:pPr>
              <w:spacing w:after="0"/>
              <w:rPr>
                <w:sz w:val="20"/>
                <w:szCs w:val="20"/>
                <w:color w:val="auto"/>
              </w:rPr>
            </w:pPr>
          </w:p>
        </w:tc>
        <w:tc>
          <w:tcPr>
            <w:tcW w:w="2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20" w:type="dxa"/>
            <w:vAlign w:val="bottom"/>
            <w:gridSpan w:val="4"/>
          </w:tcPr>
          <w:p>
            <w:pPr>
              <w:jc w:val="right"/>
              <w:ind w:right="140"/>
              <w:spacing w:after="0"/>
              <w:rPr>
                <w:sz w:val="20"/>
                <w:szCs w:val="20"/>
                <w:color w:val="auto"/>
              </w:rPr>
            </w:pPr>
            <w:r>
              <w:rPr>
                <w:rFonts w:ascii="Arial" w:cs="Arial" w:eastAsia="Arial" w:hAnsi="Arial"/>
                <w:sz w:val="18"/>
                <w:szCs w:val="18"/>
                <w:b w:val="1"/>
                <w:bCs w:val="1"/>
                <w:color w:val="auto"/>
                <w:w w:val="90"/>
              </w:rPr>
              <w:t>(in $ thousands)</w:t>
            </w: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6"/>
        </w:trPr>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Loans &amp; commitments, net</w:t>
            </w:r>
          </w:p>
        </w:tc>
        <w:tc>
          <w:tcPr>
            <w:tcW w:w="31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476</w:t>
            </w:r>
          </w:p>
        </w:tc>
        <w:tc>
          <w:tcPr>
            <w:tcW w:w="40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1,126</w:t>
            </w:r>
          </w:p>
        </w:tc>
        <w:tc>
          <w:tcPr>
            <w:tcW w:w="200" w:type="dxa"/>
            <w:vAlign w:val="bottom"/>
            <w:gridSpan w:val="2"/>
            <w:shd w:val="clear" w:color="auto" w:fill="CCEEFF"/>
          </w:tcPr>
          <w:p>
            <w:pPr>
              <w:jc w:val="right"/>
              <w:ind w:right="70"/>
              <w:spacing w:after="0"/>
              <w:rPr>
                <w:sz w:val="20"/>
                <w:szCs w:val="20"/>
                <w:color w:val="auto"/>
              </w:rPr>
            </w:pPr>
            <w:r>
              <w:rPr>
                <w:rFonts w:ascii="Arial" w:cs="Arial" w:eastAsia="Arial" w:hAnsi="Arial"/>
                <w:sz w:val="15"/>
                <w:szCs w:val="15"/>
                <w:color w:val="auto"/>
                <w:w w:val="71"/>
              </w:rPr>
              <w:t>$</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2,988</w:t>
            </w:r>
          </w:p>
        </w:tc>
        <w:tc>
          <w:tcPr>
            <w:tcW w:w="80" w:type="dxa"/>
            <w:vAlign w:val="bottom"/>
            <w:shd w:val="clear" w:color="auto" w:fill="CCEEFF"/>
          </w:tcPr>
          <w:p>
            <w:pPr>
              <w:spacing w:after="0"/>
              <w:rPr>
                <w:sz w:val="18"/>
                <w:szCs w:val="18"/>
                <w:color w:val="auto"/>
              </w:rPr>
            </w:pPr>
          </w:p>
        </w:tc>
      </w:tr>
      <w:tr>
        <w:trPr>
          <w:trHeight w:val="216"/>
        </w:trPr>
        <w:tc>
          <w:tcPr>
            <w:tcW w:w="4900" w:type="dxa"/>
            <w:vAlign w:val="bottom"/>
          </w:tcPr>
          <w:p>
            <w:pPr>
              <w:spacing w:after="0"/>
              <w:rPr>
                <w:sz w:val="20"/>
                <w:szCs w:val="20"/>
                <w:color w:val="auto"/>
              </w:rPr>
            </w:pPr>
            <w:r>
              <w:rPr>
                <w:rFonts w:ascii="Arial" w:cs="Arial" w:eastAsia="Arial" w:hAnsi="Arial"/>
                <w:sz w:val="18"/>
                <w:szCs w:val="18"/>
                <w:color w:val="auto"/>
              </w:rPr>
              <w:t>Letters of credit</w:t>
            </w:r>
          </w:p>
        </w:tc>
        <w:tc>
          <w:tcPr>
            <w:tcW w:w="2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10,430</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7,458</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9,332</w:t>
            </w:r>
          </w:p>
        </w:tc>
        <w:tc>
          <w:tcPr>
            <w:tcW w:w="80" w:type="dxa"/>
            <w:vAlign w:val="bottom"/>
          </w:tcPr>
          <w:p>
            <w:pPr>
              <w:spacing w:after="0"/>
              <w:rPr>
                <w:sz w:val="18"/>
                <w:szCs w:val="18"/>
                <w:color w:val="auto"/>
              </w:rPr>
            </w:pPr>
          </w:p>
        </w:tc>
      </w:tr>
      <w:tr>
        <w:trPr>
          <w:trHeight w:val="230"/>
        </w:trPr>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Arrangements</w:t>
            </w:r>
          </w:p>
        </w:tc>
        <w:tc>
          <w:tcPr>
            <w:tcW w:w="28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6,608</w:t>
            </w:r>
          </w:p>
        </w:tc>
        <w:tc>
          <w:tcPr>
            <w:tcW w:w="2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5,722</w:t>
            </w:r>
          </w:p>
        </w:tc>
        <w:tc>
          <w:tcPr>
            <w:tcW w:w="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6,880</w:t>
            </w:r>
          </w:p>
        </w:tc>
        <w:tc>
          <w:tcPr>
            <w:tcW w:w="80" w:type="dxa"/>
            <w:vAlign w:val="bottom"/>
            <w:shd w:val="clear" w:color="auto" w:fill="CCEEFF"/>
          </w:tcPr>
          <w:p>
            <w:pPr>
              <w:spacing w:after="0"/>
              <w:rPr>
                <w:sz w:val="19"/>
                <w:szCs w:val="19"/>
                <w:color w:val="auto"/>
              </w:rPr>
            </w:pPr>
          </w:p>
        </w:tc>
      </w:tr>
      <w:tr>
        <w:trPr>
          <w:trHeight w:val="223"/>
        </w:trPr>
        <w:tc>
          <w:tcPr>
            <w:tcW w:w="4900" w:type="dxa"/>
            <w:vAlign w:val="bottom"/>
          </w:tcPr>
          <w:p>
            <w:pPr>
              <w:spacing w:after="0"/>
              <w:rPr>
                <w:sz w:val="20"/>
                <w:szCs w:val="20"/>
                <w:color w:val="auto"/>
              </w:rPr>
            </w:pPr>
            <w:r>
              <w:rPr>
                <w:rFonts w:ascii="Arial" w:cs="Arial" w:eastAsia="Arial" w:hAnsi="Arial"/>
                <w:sz w:val="18"/>
                <w:szCs w:val="18"/>
                <w:b w:val="1"/>
                <w:bCs w:val="1"/>
                <w:color w:val="auto"/>
              </w:rPr>
              <w:t>Fees and commissions, net</w:t>
            </w:r>
          </w:p>
        </w:tc>
        <w:tc>
          <w:tcPr>
            <w:tcW w:w="2880" w:type="dxa"/>
            <w:vAlign w:val="bottom"/>
          </w:tcPr>
          <w:p>
            <w:pPr>
              <w:spacing w:after="0"/>
              <w:rPr>
                <w:sz w:val="19"/>
                <w:szCs w:val="19"/>
                <w:color w:val="auto"/>
              </w:rPr>
            </w:pPr>
          </w:p>
        </w:tc>
        <w:tc>
          <w:tcPr>
            <w:tcW w:w="2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17,514</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14,306</w:t>
            </w:r>
          </w:p>
        </w:tc>
        <w:tc>
          <w:tcPr>
            <w:tcW w:w="22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8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19,200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900" w:type="dxa"/>
            <w:vAlign w:val="bottom"/>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Fees and commissions totaled $17.5 million for the year ended December 31, 2017, compared to $14.3 million for the year ended December 31, 2016. The $3.2 million, or 22%, increase was primarily driven by the upward trend in fee generation from the Bank’s structuring and syndication activities, with seven transactions resulting in fees of $6.6 million having closed in 2017, and strong annual growth of $3.0 million in fee income from the Bank’s letters of credit business, due to a more diversified letter of credit client base, and the Bank’s focus on deepening its participation in the trade value chain.</w:t>
      </w:r>
    </w:p>
    <w:p>
      <w:pPr>
        <w:spacing w:after="0" w:line="171"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During the year ended December 31, 2016, fees and commissions totaled $14.3 million, compared to $19.2 million for the year ended December 31, 2015. The $4.9 million, or 25%, decrease was primarily driven by lower business activity in letters of credit, loan commitments and other financial guarantee contracts, while commissions from the syndication business in the primary market were slightly lower, with an increased number of completed transactions despite overall volumes in the relevant Latin American debt capital markets suffering significant decreases.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see Item 18, “Financial Statements,” notes 3.10, and 21.</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Loss on derivative financial instruments and foreign currency exchange, net</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part of its interest rate and currency risk management, the Bank may from time to time enter into foreign exchange forwards, cross-currency contracts and interest rate swaps to hedge the risk associated with a portion of the notes issued under its various funding programs.</w:t>
      </w:r>
    </w:p>
    <w:p>
      <w:pPr>
        <w:spacing w:after="0" w:line="170"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Bank recorded a net loss of $0.4 million in 2017, compared to a net loss of $0.5 million in 2016, and compared to a nearly break-even result in 2015 (a net loss of $23 thousand), on derivative financial instruments and foreign currency exchange held for risk management hedging purposes.</w:t>
      </w:r>
    </w:p>
    <w:p>
      <w:pPr>
        <w:spacing w:after="0" w:line="147" w:lineRule="exact"/>
        <w:rPr>
          <w:sz w:val="20"/>
          <w:szCs w:val="20"/>
          <w:color w:val="auto"/>
        </w:rPr>
      </w:pPr>
    </w:p>
    <w:p>
      <w:pPr>
        <w:spacing w:after="0"/>
        <w:rPr>
          <w:sz w:val="20"/>
          <w:szCs w:val="20"/>
          <w:color w:val="auto"/>
        </w:rPr>
      </w:pPr>
      <w:r>
        <w:rPr>
          <w:rFonts w:ascii="Arial" w:cs="Arial" w:eastAsia="Arial" w:hAnsi="Arial"/>
          <w:sz w:val="16"/>
          <w:szCs w:val="16"/>
          <w:color w:val="auto"/>
        </w:rPr>
        <w:t>For additional information, see Item 11, “Quantitative and Qualitative Disclosure about Market Risk,” and Item 18, “Financial Statements,” notes 3.7 and 5.6.</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Gain (loss) per financial instrument at fair value through profit or loss</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During the year ended December 31, 2017, the Bank recorded a net loss per financial instrument at FVTPL of $0.7 million, compared to a net loss of $2.9 million for the year ended December 31, 2016, mostly related to the absence of non-core trading losses, which had resulted in a $4.4 million loss in 2016, as the Bank completely divested from its participation in investment funds during 2016, in addition to a negative variation in net results on financial instruments at FVTPL, with a net loss of $0.7 million recorded in 2017 compared to a net gain of $1.5 million recorded in 2016, related to the unrealized loss from derivative financial liabilities at FVTPL not qualified for hedge accounting.</w:t>
      </w:r>
    </w:p>
    <w:p>
      <w:pPr>
        <w:spacing w:after="0" w:line="18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net loss of $2.9 million per financial instrument at FVTPL for the year ended December 31, 2016, compared to a net gain of $5.7 million in the year ended December 31, 2015, was mostly related to a swing in non-core trading results from the Bank’s former participation in the investment funds, which recorded a $4.4 million loss in 2016 compared to a $5.1 million gain in 2015, partially offset by a $0.8 million increase in gains on financial liabilities at FVTPL.</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8" w:right="239" w:bottom="1440" w:gutter="0" w:footer="0" w:header="0"/>
        </w:sectPr>
      </w:pPr>
    </w:p>
    <w:bookmarkStart w:id="52" w:name="page53"/>
    <w:bookmarkEnd w:id="52"/>
    <w:p>
      <w:pPr>
        <w:spacing w:after="0"/>
        <w:rPr>
          <w:sz w:val="20"/>
          <w:szCs w:val="20"/>
          <w:color w:val="auto"/>
        </w:rPr>
      </w:pPr>
      <w:r>
        <w:rPr>
          <w:rFonts w:ascii="Arial" w:cs="Arial" w:eastAsia="Arial" w:hAnsi="Arial"/>
          <w:sz w:val="18"/>
          <w:szCs w:val="18"/>
          <w:color w:val="auto"/>
        </w:rPr>
        <w:t>For additional information, see Item 18, “Financial Statements,” notes 3.3.8, 5.1, 18 and 22.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Gain (loss) on sale of securities at fair value through OCI</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purchases debt instruments with the intention of selling them prior to maturity. These debt instruments are classified as securities at FVOCI and are included as part of the Bank’s Credit Portfolio.</w:t>
      </w:r>
    </w:p>
    <w:p>
      <w:pPr>
        <w:spacing w:after="0" w:line="170"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Bank recorded a gain on sale of securities at FVOCI of $0.2 million for the year ended December 31, 2017, compared to a net loss of $0.4 million for the year ended December 31, 2016, from the sale of $17 million of its holdings, as the Bank continued its efforts to reduce market risk volatility.</w:t>
      </w:r>
    </w:p>
    <w:p>
      <w:pPr>
        <w:spacing w:after="0" w:line="147"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net loss of $0.4 million on sale of securities at FVOCI for the year ended December 31, 2016, compared to the net gain of $0.4 million for the year ended December 31, 2015, was primarily related to the sale of $103 million of its holdings in 2016, on the Bank’s effort to reduce its investment portfolio exposure.</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color w:val="auto"/>
        </w:rPr>
        <w:t>For additional information, see Item 18, “Financial Statements,” notes 3.3.6 and 5.2.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Gain on sale of loans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net gain on sale of loans at amortized cost corresponds to income derived from the Bank’s business stream of loan intermediation and distribution activities in the primary and secondary markets.</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During the years ended December 31, 2017, 2016 and 2015, gain on sale of loans totaled $0.2 million, $0.8 million and $1.5 million, respectively, as the Bank sold loans with a book value of $77 million, $235 million and $367 million, respectively. The lower levels of loan distribution business compared to previous years relates to decreased sale activity in the secondary markets of the remaining lower Loan Portfolio balances.</w:t>
      </w:r>
    </w:p>
    <w:p>
      <w:pPr>
        <w:sectPr>
          <w:pgSz w:w="11900" w:h="16838" w:orient="portrait"/>
          <w:cols w:equalWidth="0" w:num="1">
            <w:col w:w="11420"/>
          </w:cols>
          <w:pgMar w:left="240" w:top="909" w:right="239" w:bottom="1440" w:gutter="0" w:footer="0" w:header="0"/>
        </w:sectPr>
      </w:pP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Loss from ECL on Loans at Amortized Cost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Arial" w:cs="Arial" w:eastAsia="Arial" w:hAnsi="Arial"/>
          <w:sz w:val="18"/>
          <w:szCs w:val="18"/>
          <w:color w:val="auto"/>
        </w:rPr>
        <w:t>Impairment loss from ECL on credit-impaired loans (lifetime ECL)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246620" cy="13716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line="3" w:lineRule="exact"/>
        <w:rPr>
          <w:sz w:val="20"/>
          <w:szCs w:val="20"/>
          <w:color w:val="auto"/>
        </w:rPr>
      </w:pPr>
    </w:p>
    <w:p>
      <w:pPr>
        <w:spacing w:after="0"/>
        <w:rPr>
          <w:sz w:val="20"/>
          <w:szCs w:val="20"/>
          <w:color w:val="auto"/>
        </w:rPr>
      </w:pPr>
      <w:r>
        <w:rPr>
          <w:rFonts w:ascii="Arial" w:cs="Arial" w:eastAsia="Arial" w:hAnsi="Arial"/>
          <w:sz w:val="17"/>
          <w:szCs w:val="17"/>
          <w:color w:val="auto"/>
        </w:rPr>
        <w:t>(Recovery) impairment loss from ECL on performing loans (lifetime ECL)</w:t>
      </w:r>
    </w:p>
    <w:p>
      <w:pPr>
        <w:spacing w:after="0" w:line="21" w:lineRule="exact"/>
        <w:rPr>
          <w:sz w:val="20"/>
          <w:szCs w:val="20"/>
          <w:color w:val="auto"/>
        </w:rPr>
      </w:pPr>
    </w:p>
    <w:p>
      <w:pPr>
        <w:spacing w:after="0"/>
        <w:rPr>
          <w:sz w:val="20"/>
          <w:szCs w:val="20"/>
          <w:color w:val="auto"/>
        </w:rPr>
      </w:pPr>
      <w:r>
        <w:rPr>
          <w:rFonts w:ascii="Arial" w:cs="Arial" w:eastAsia="Arial" w:hAnsi="Arial"/>
          <w:sz w:val="16"/>
          <w:szCs w:val="16"/>
          <w:color w:val="auto"/>
        </w:rPr>
        <w:t>(Recovery) impairment loss from ECL on performing loans (12-month ECL)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-116205</wp:posOffset>
            </wp:positionV>
            <wp:extent cx="7246620" cy="14605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1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Impairment loss from ECL on loans at amortized cost</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87"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For the year ended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2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jc w:val="right"/>
              <w:ind w:right="250"/>
              <w:spacing w:after="0" w:line="205" w:lineRule="exact"/>
              <w:rPr>
                <w:sz w:val="20"/>
                <w:szCs w:val="20"/>
                <w:color w:val="auto"/>
              </w:rPr>
            </w:pPr>
            <w:r>
              <w:rPr>
                <w:rFonts w:ascii="Arial" w:cs="Arial" w:eastAsia="Arial" w:hAnsi="Arial"/>
                <w:sz w:val="18"/>
                <w:szCs w:val="18"/>
                <w:b w:val="1"/>
                <w:bCs w:val="1"/>
                <w:color w:val="auto"/>
              </w:rPr>
              <w:t>2017</w:t>
            </w:r>
          </w:p>
        </w:tc>
        <w:tc>
          <w:tcPr>
            <w:tcW w:w="140" w:type="dxa"/>
            <w:vAlign w:val="bottom"/>
            <w:tcBorders>
              <w:top w:val="single" w:sz="8" w:color="auto"/>
            </w:tcBorders>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800" w:type="dxa"/>
            <w:vAlign w:val="bottom"/>
            <w:tcBorders>
              <w:top w:val="single" w:sz="8" w:color="auto"/>
            </w:tcBorders>
          </w:tcPr>
          <w:p>
            <w:pPr>
              <w:jc w:val="right"/>
              <w:ind w:right="230"/>
              <w:spacing w:after="0" w:line="205" w:lineRule="exact"/>
              <w:rPr>
                <w:sz w:val="20"/>
                <w:szCs w:val="20"/>
                <w:color w:val="auto"/>
              </w:rPr>
            </w:pPr>
            <w:r>
              <w:rPr>
                <w:rFonts w:ascii="Arial" w:cs="Arial" w:eastAsia="Arial" w:hAnsi="Arial"/>
                <w:sz w:val="18"/>
                <w:szCs w:val="18"/>
                <w:b w:val="1"/>
                <w:bCs w:val="1"/>
                <w:color w:val="auto"/>
              </w:rPr>
              <w:t>2016</w:t>
            </w:r>
          </w:p>
        </w:tc>
        <w:tc>
          <w:tcPr>
            <w:tcW w:w="220" w:type="dxa"/>
            <w:vAlign w:val="bottom"/>
            <w:tcBorders>
              <w:top w:val="single" w:sz="8" w:color="auto"/>
            </w:tcBorders>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jc w:val="right"/>
              <w:ind w:right="250"/>
              <w:spacing w:after="0" w:line="205" w:lineRule="exact"/>
              <w:rPr>
                <w:sz w:val="20"/>
                <w:szCs w:val="20"/>
                <w:color w:val="auto"/>
              </w:rPr>
            </w:pPr>
            <w:r>
              <w:rPr>
                <w:rFonts w:ascii="Arial" w:cs="Arial" w:eastAsia="Arial" w:hAnsi="Arial"/>
                <w:sz w:val="18"/>
                <w:szCs w:val="18"/>
                <w:b w:val="1"/>
                <w:bCs w:val="1"/>
                <w:color w:val="auto"/>
              </w:rPr>
              <w:t>2015</w:t>
            </w:r>
          </w:p>
        </w:tc>
        <w:tc>
          <w:tcPr>
            <w:tcW w:w="60" w:type="dxa"/>
            <w:vAlign w:val="bottom"/>
          </w:tcPr>
          <w:p>
            <w:pPr>
              <w:spacing w:after="0"/>
              <w:rPr>
                <w:sz w:val="17"/>
                <w:szCs w:val="17"/>
                <w:color w:val="auto"/>
              </w:rPr>
            </w:pPr>
          </w:p>
        </w:tc>
      </w:tr>
      <w:tr>
        <w:trPr>
          <w:trHeight w:val="220"/>
        </w:trPr>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340" w:type="dxa"/>
            <w:vAlign w:val="bottom"/>
            <w:gridSpan w:val="4"/>
          </w:tcPr>
          <w:p>
            <w:pPr>
              <w:jc w:val="right"/>
              <w:ind w:right="220"/>
              <w:spacing w:after="0"/>
              <w:rPr>
                <w:sz w:val="20"/>
                <w:szCs w:val="20"/>
                <w:color w:val="auto"/>
              </w:rPr>
            </w:pPr>
            <w:r>
              <w:rPr>
                <w:rFonts w:ascii="Arial" w:cs="Arial" w:eastAsia="Arial" w:hAnsi="Arial"/>
                <w:sz w:val="18"/>
                <w:szCs w:val="18"/>
                <w:b w:val="1"/>
                <w:bCs w:val="1"/>
                <w:color w:val="auto"/>
                <w:w w:val="94"/>
              </w:rPr>
              <w:t>(in $ millions)</w:t>
            </w:r>
          </w:p>
        </w:tc>
        <w:tc>
          <w:tcPr>
            <w:tcW w:w="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16"/>
        </w:trPr>
        <w:tc>
          <w:tcPr>
            <w:tcW w:w="220" w:type="dxa"/>
            <w:vAlign w:val="bottom"/>
            <w:gridSpan w:val="2"/>
          </w:tcPr>
          <w:p>
            <w:pPr>
              <w:jc w:val="right"/>
              <w:ind w:right="45"/>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24.8</w:t>
            </w:r>
          </w:p>
        </w:tc>
        <w:tc>
          <w:tcPr>
            <w:tcW w:w="32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33.0</w:t>
            </w:r>
          </w:p>
        </w:tc>
        <w:tc>
          <w:tcPr>
            <w:tcW w:w="200" w:type="dxa"/>
            <w:vAlign w:val="bottom"/>
            <w:gridSpan w:val="2"/>
          </w:tcPr>
          <w:p>
            <w:pPr>
              <w:jc w:val="right"/>
              <w:ind w:right="70"/>
              <w:spacing w:after="0"/>
              <w:rPr>
                <w:sz w:val="20"/>
                <w:szCs w:val="20"/>
                <w:color w:val="auto"/>
              </w:rPr>
            </w:pPr>
            <w:r>
              <w:rPr>
                <w:rFonts w:ascii="Arial" w:cs="Arial" w:eastAsia="Arial" w:hAnsi="Arial"/>
                <w:sz w:val="15"/>
                <w:szCs w:val="15"/>
                <w:color w:val="auto"/>
                <w:w w:val="71"/>
              </w:rPr>
              <w:t>$</w:t>
            </w:r>
          </w:p>
        </w:tc>
        <w:tc>
          <w:tcPr>
            <w:tcW w:w="820" w:type="dxa"/>
            <w:vAlign w:val="bottom"/>
          </w:tcPr>
          <w:p>
            <w:pPr>
              <w:jc w:val="right"/>
              <w:spacing w:after="0"/>
              <w:rPr>
                <w:sz w:val="20"/>
                <w:szCs w:val="20"/>
                <w:color w:val="auto"/>
              </w:rPr>
            </w:pPr>
            <w:r>
              <w:rPr>
                <w:rFonts w:ascii="Arial" w:cs="Arial" w:eastAsia="Arial" w:hAnsi="Arial"/>
                <w:sz w:val="18"/>
                <w:szCs w:val="18"/>
                <w:color w:val="auto"/>
              </w:rPr>
              <w:t>24.2</w:t>
            </w:r>
          </w:p>
        </w:tc>
        <w:tc>
          <w:tcPr>
            <w:tcW w:w="6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8"/>
                <w:szCs w:val="18"/>
                <w:color w:val="auto"/>
              </w:rPr>
              <w:t>(6.7)</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32.0</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80" w:type="dxa"/>
            <w:vAlign w:val="bottom"/>
            <w:gridSpan w:val="2"/>
          </w:tcPr>
          <w:p>
            <w:pPr>
              <w:jc w:val="right"/>
              <w:spacing w:after="0"/>
              <w:rPr>
                <w:sz w:val="20"/>
                <w:szCs w:val="20"/>
                <w:color w:val="auto"/>
              </w:rPr>
            </w:pPr>
            <w:r>
              <w:rPr>
                <w:rFonts w:ascii="Arial" w:cs="Arial" w:eastAsia="Arial" w:hAnsi="Arial"/>
                <w:sz w:val="18"/>
                <w:szCs w:val="18"/>
                <w:color w:val="auto"/>
              </w:rPr>
              <w:t>(28.7)</w:t>
            </w:r>
          </w:p>
        </w:tc>
      </w:tr>
      <w:tr>
        <w:trPr>
          <w:trHeight w:val="244"/>
        </w:trPr>
        <w:tc>
          <w:tcPr>
            <w:tcW w:w="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8"/>
                <w:szCs w:val="18"/>
                <w:color w:val="auto"/>
              </w:rPr>
              <w:t>(9.2)</w:t>
            </w:r>
          </w:p>
        </w:tc>
        <w:tc>
          <w:tcPr>
            <w:tcW w:w="1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(30.2)</w:t>
            </w:r>
          </w:p>
        </w:tc>
        <w:tc>
          <w:tcPr>
            <w:tcW w:w="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21.7</w:t>
            </w:r>
          </w:p>
        </w:tc>
        <w:tc>
          <w:tcPr>
            <w:tcW w:w="60" w:type="dxa"/>
            <w:vAlign w:val="bottom"/>
          </w:tcPr>
          <w:p>
            <w:pPr>
              <w:spacing w:after="0"/>
              <w:rPr>
                <w:sz w:val="21"/>
                <w:szCs w:val="21"/>
                <w:color w:val="auto"/>
              </w:rPr>
            </w:pPr>
          </w:p>
        </w:tc>
      </w:tr>
      <w:tr>
        <w:trPr>
          <w:trHeight w:val="223"/>
        </w:trPr>
        <w:tc>
          <w:tcPr>
            <w:tcW w:w="20" w:type="dxa"/>
            <w:vAlign w:val="bottom"/>
          </w:tcPr>
          <w:p>
            <w:pPr>
              <w:spacing w:after="0"/>
              <w:rPr>
                <w:sz w:val="19"/>
                <w:szCs w:val="19"/>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w:t>
            </w:r>
          </w:p>
        </w:tc>
        <w:tc>
          <w:tcPr>
            <w:tcW w:w="1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34.8</w:t>
            </w:r>
          </w:p>
        </w:tc>
        <w:tc>
          <w:tcPr>
            <w:tcW w:w="22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8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17.2</w:t>
            </w:r>
          </w:p>
        </w:tc>
        <w:tc>
          <w:tcPr>
            <w:tcW w:w="60" w:type="dxa"/>
            <w:vAlign w:val="bottom"/>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060" w:space="720"/>
            <w:col w:w="3640"/>
          </w:cols>
          <w:pgMar w:left="240" w:top="909" w:right="239" w:bottom="1440" w:gutter="0" w:footer="0" w:header="0"/>
          <w:type w:val="continuous"/>
        </w:sectPr>
      </w:pPr>
    </w:p>
    <w:p>
      <w:pPr>
        <w:spacing w:after="0" w:line="2"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The impairment loss from ECL on loans at amortized cost totaled $8.9 million for the year ended December 31, 2017, as a result of a $24.8 million credit allowance assigned to non-performing loans based on lifetime ECL (IFRS Rule 9 Stage 3), associated with the impairment losses on selected credit exposures undergoing restructuring processes, which was partly offset by a $15.9 million net recovery from ECL on performing loans (IFRS Rule 9 Stage 1 and 2), which mostly resulted from both lower end-of-period portfolio balances and the shift in the overall portfolio mix toward shorter-term trade exposures.</w:t>
      </w:r>
    </w:p>
    <w:p>
      <w:pPr>
        <w:spacing w:after="0" w:line="15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For the year ended December 31, 2016, the impairment loss from ECL on loans at amortized cost amounted to $34.8 million, which was mainly attributable to higher allowances assigned to performing exposures based on lifetime ECL, and non-performing loans, partly offset by lower impairment from ECL on performing exposures assessed based on 12-month ECL, which resulted from both lower end-of-period portfolio balances and the shift in the overall portfolio mix toward shorter-term trade exposures.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type w:val="continuous"/>
        </w:sectPr>
      </w:pPr>
    </w:p>
    <w:bookmarkStart w:id="53" w:name="page54"/>
    <w:bookmarkEnd w:id="53"/>
    <w:p>
      <w:pPr>
        <w:jc w:val="both"/>
        <w:spacing w:after="0" w:line="279" w:lineRule="auto"/>
        <w:rPr>
          <w:sz w:val="20"/>
          <w:szCs w:val="20"/>
          <w:color w:val="auto"/>
        </w:rPr>
      </w:pPr>
      <w:r>
        <w:rPr>
          <w:rFonts w:ascii="Arial" w:cs="Arial" w:eastAsia="Arial" w:hAnsi="Arial"/>
          <w:sz w:val="17"/>
          <w:szCs w:val="17"/>
          <w:color w:val="auto"/>
        </w:rPr>
        <w:t>The impairment loss from ECL on loans at amortized cost amounted to $17.2 million for the year ended December 31, 2015, which was mainly the result of a $24.2 million asset-specific credit allowance assigned to non-performing loans. This impairment loss was partly offset by a $7.0 million net recovery from ECL on performing loans, as a reflection of changes in the composition of the Bank’s Loan Portfolio and its impact in the Bank’s reserve model, while Loan Portfolio outstanding balances remaining relatively unchanged year-over-year at $6.7 billion at December 31, 2015.</w:t>
      </w:r>
    </w:p>
    <w:p>
      <w:pPr>
        <w:spacing w:after="0" w:line="17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more detailed information, see Item 5, “Operating and Financial Review and Prospects–Operating Results–Asset Quality” and “–Allowance for ECL,” and Item 18, “Financial Statements,” notes 3.5, 3.6 and 5.5.</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Loss from ECL on Investment Securities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recorded a $0.5 million recovery from ECL on investment securities for the year ended December 31, 2017, compared to minimal impairment loss from ECL on investment securities of $3 thousand for the year ended December 31, 2016, as the Bank decreased by $22 million in 2017 and $142 million in 2016 its outstanding balances in the Investment Portfolio.</w:t>
      </w:r>
    </w:p>
    <w:p>
      <w:pPr>
        <w:spacing w:after="0" w:line="18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For the year ended December 31, 2015, the Bank recorded a $5.3 million impairment loss from ECL on investment securities, mainly from a $6.7 million asset-specific credit allowance assigned to credit impaired securities at FVOCI, with a fair value of $1.6 million at December 31, 2015. This impairment loss was partly offset by a $1.4 million impairment gain from ECL on performing securities at FVOCI and at amortized cost (calculated on a collective assessment basis), mainly as a reflection of reduced outstanding balances in the Investment Portfolio at December 31, 2015 (which decreased by $144 million year-over-year).</w:t>
      </w:r>
    </w:p>
    <w:p>
      <w:pPr>
        <w:spacing w:after="0" w:line="18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more detailed information, see Item 5, “Operating and Financial Review and Prospects–Operating Results–Asset Quality” and “–Allowance for ECL,” and Item 18, “Financial Statements,” notes 3.6, 5.2 and 5.3</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Loss (Recovery) from ECL on Loan Commitments and Financial Guarantee Contracts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recorded an impairment loss of $1.1 million from ECL on loan commitments and financial guarantee contracts for the year ended December 31, 2017, compared to a $0.4 million impairment loss from ECL on loan commitments and financial guarantee contracts for the year ended December 31, 2016, which was mainly related to the net effect of changes in reserves for ECL resulting from changes in the risk profile of the Bank’s loan commitments and financial guarantee contracts portfolio.</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For the year ended December 31, 2016, the Bank recorded a $0.4 million impairment loss from ECL on loan commitments and financial guarantee contracts, compared to a $4.4 million recovery from ECL on loan commitments and financial guarantee contracts for the year ended December 31, 2015, mostly due to a $2.1 million increase in credit allowance required for Stage 2 performing loan commitments and financial guarantee contracts, which was partly offset by a $1.8 million recovery from ECL collectively assessed as a result of lower overall end-of-period loan commitments and financial guarantee contracts volumes, mainly from credit commitments.</w:t>
      </w:r>
    </w:p>
    <w:p>
      <w:pPr>
        <w:spacing w:after="0" w:line="18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more detailed information, see Item 5, “Operating and Financial Review and Prospects–Operating Results–Asset Quality” and “–Allowance for ECL,” and Item 18, “Financial Statements,” notes 3.6 and 6.</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54" w:name="page55"/>
    <w:bookmarkEnd w:id="54"/>
    <w:tbl>
      <w:tblPr>
        <w:tblLayout w:type="fixed"/>
        <w:tblInd w:w="0" w:type="dxa"/>
        <w:tblCellMar>
          <w:top w:w="0" w:type="dxa"/>
          <w:left w:w="0" w:type="dxa"/>
          <w:bottom w:w="0" w:type="dxa"/>
          <w:right w:w="0" w:type="dxa"/>
        </w:tblCellMar>
      </w:tblPr>
      <w:tr>
        <w:trPr>
          <w:trHeight w:val="230"/>
        </w:trPr>
        <w:tc>
          <w:tcPr>
            <w:tcW w:w="6000" w:type="dxa"/>
            <w:vAlign w:val="bottom"/>
          </w:tcPr>
          <w:p>
            <w:pPr>
              <w:spacing w:after="0"/>
              <w:rPr>
                <w:sz w:val="20"/>
                <w:szCs w:val="20"/>
                <w:color w:val="auto"/>
              </w:rPr>
            </w:pPr>
            <w:r>
              <w:rPr>
                <w:rFonts w:ascii="Arial" w:cs="Arial" w:eastAsia="Arial" w:hAnsi="Arial"/>
                <w:sz w:val="18"/>
                <w:szCs w:val="18"/>
                <w:i w:val="1"/>
                <w:iCs w:val="1"/>
                <w:color w:val="auto"/>
              </w:rPr>
              <w:t>Operating Expenses</w:t>
            </w:r>
          </w:p>
        </w:tc>
        <w:tc>
          <w:tcPr>
            <w:tcW w:w="17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8880" w:type="dxa"/>
            <w:vAlign w:val="bottom"/>
            <w:gridSpan w:val="5"/>
          </w:tcPr>
          <w:p>
            <w:pPr>
              <w:spacing w:after="0"/>
              <w:rPr>
                <w:sz w:val="20"/>
                <w:szCs w:val="20"/>
                <w:color w:val="auto"/>
              </w:rPr>
            </w:pPr>
            <w:r>
              <w:rPr>
                <w:rFonts w:ascii="Arial" w:cs="Arial" w:eastAsia="Arial" w:hAnsi="Arial"/>
                <w:sz w:val="18"/>
                <w:szCs w:val="18"/>
                <w:color w:val="auto"/>
                <w:w w:val="97"/>
              </w:rPr>
              <w:t>Total operating expenses includes the following expense line items of the consolidated statements of profit or loss:</w:t>
            </w: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46"/>
        </w:trPr>
        <w:tc>
          <w:tcPr>
            <w:tcW w:w="6000" w:type="dxa"/>
            <w:vAlign w:val="bottom"/>
          </w:tcPr>
          <w:p>
            <w:pPr>
              <w:spacing w:after="0"/>
              <w:rPr>
                <w:sz w:val="24"/>
                <w:szCs w:val="24"/>
                <w:color w:val="auto"/>
              </w:rPr>
            </w:pPr>
          </w:p>
        </w:tc>
        <w:tc>
          <w:tcPr>
            <w:tcW w:w="1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420" w:type="dxa"/>
            <w:vAlign w:val="bottom"/>
            <w:gridSpan w:val="10"/>
          </w:tcPr>
          <w:p>
            <w:pPr>
              <w:ind w:left="240"/>
              <w:spacing w:after="0"/>
              <w:rPr>
                <w:sz w:val="20"/>
                <w:szCs w:val="20"/>
                <w:color w:val="auto"/>
              </w:rPr>
            </w:pPr>
            <w:r>
              <w:rPr>
                <w:rFonts w:ascii="Arial" w:cs="Arial" w:eastAsia="Arial" w:hAnsi="Arial"/>
                <w:sz w:val="18"/>
                <w:szCs w:val="18"/>
                <w:b w:val="1"/>
                <w:bCs w:val="1"/>
                <w:color w:val="auto"/>
              </w:rPr>
              <w:t>For the Year Ended December 31,</w:t>
            </w:r>
          </w:p>
        </w:tc>
      </w:tr>
      <w:tr>
        <w:trPr>
          <w:trHeight w:val="223"/>
        </w:trPr>
        <w:tc>
          <w:tcPr>
            <w:tcW w:w="6000" w:type="dxa"/>
            <w:vAlign w:val="bottom"/>
          </w:tcPr>
          <w:p>
            <w:pPr>
              <w:spacing w:after="0"/>
              <w:rPr>
                <w:sz w:val="19"/>
                <w:szCs w:val="19"/>
                <w:color w:val="auto"/>
              </w:rPr>
            </w:pPr>
          </w:p>
        </w:tc>
        <w:tc>
          <w:tcPr>
            <w:tcW w:w="178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2017</w:t>
            </w:r>
          </w:p>
        </w:tc>
        <w:tc>
          <w:tcPr>
            <w:tcW w:w="6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2016</w:t>
            </w:r>
          </w:p>
        </w:tc>
        <w:tc>
          <w:tcPr>
            <w:tcW w:w="16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r>
      <w:tr>
        <w:trPr>
          <w:trHeight w:val="210"/>
        </w:trPr>
        <w:tc>
          <w:tcPr>
            <w:tcW w:w="6000" w:type="dxa"/>
            <w:vAlign w:val="bottom"/>
          </w:tcPr>
          <w:p>
            <w:pPr>
              <w:spacing w:after="0"/>
              <w:rPr>
                <w:sz w:val="18"/>
                <w:szCs w:val="18"/>
                <w:color w:val="auto"/>
              </w:rPr>
            </w:pPr>
          </w:p>
        </w:tc>
        <w:tc>
          <w:tcPr>
            <w:tcW w:w="1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360" w:type="dxa"/>
            <w:vAlign w:val="bottom"/>
            <w:gridSpan w:val="4"/>
          </w:tcPr>
          <w:p>
            <w:pPr>
              <w:jc w:val="right"/>
              <w:ind w:right="80"/>
              <w:spacing w:after="0"/>
              <w:rPr>
                <w:sz w:val="20"/>
                <w:szCs w:val="20"/>
                <w:color w:val="auto"/>
              </w:rPr>
            </w:pPr>
            <w:r>
              <w:rPr>
                <w:rFonts w:ascii="Arial" w:cs="Arial" w:eastAsia="Arial" w:hAnsi="Arial"/>
                <w:sz w:val="18"/>
                <w:szCs w:val="18"/>
                <w:b w:val="1"/>
                <w:bCs w:val="1"/>
                <w:color w:val="auto"/>
                <w:w w:val="90"/>
              </w:rPr>
              <w:t>(in $ thousands)</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0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Salaries and other employee expenses</w:t>
            </w:r>
          </w:p>
        </w:tc>
        <w:tc>
          <w:tcPr>
            <w:tcW w:w="20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27,653</w:t>
            </w:r>
          </w:p>
        </w:tc>
        <w:tc>
          <w:tcPr>
            <w:tcW w:w="40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25,196</w:t>
            </w:r>
          </w:p>
        </w:tc>
        <w:tc>
          <w:tcPr>
            <w:tcW w:w="26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30,435</w:t>
            </w:r>
          </w:p>
        </w:tc>
      </w:tr>
      <w:tr>
        <w:trPr>
          <w:trHeight w:val="216"/>
        </w:trPr>
        <w:tc>
          <w:tcPr>
            <w:tcW w:w="6000" w:type="dxa"/>
            <w:vAlign w:val="bottom"/>
          </w:tcPr>
          <w:p>
            <w:pPr>
              <w:ind w:left="180"/>
              <w:spacing w:after="0"/>
              <w:rPr>
                <w:sz w:val="20"/>
                <w:szCs w:val="20"/>
                <w:color w:val="auto"/>
              </w:rPr>
            </w:pPr>
            <w:r>
              <w:rPr>
                <w:rFonts w:ascii="Arial" w:cs="Arial" w:eastAsia="Arial" w:hAnsi="Arial"/>
                <w:sz w:val="18"/>
                <w:szCs w:val="18"/>
                <w:color w:val="auto"/>
              </w:rPr>
              <w:t>Depreciation of equipment and leasehold improvements</w:t>
            </w:r>
          </w:p>
        </w:tc>
        <w:tc>
          <w:tcPr>
            <w:tcW w:w="1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1,578</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1,457</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1,371</w:t>
            </w:r>
          </w:p>
        </w:tc>
      </w:tr>
      <w:tr>
        <w:trPr>
          <w:trHeight w:val="216"/>
        </w:trPr>
        <w:tc>
          <w:tcPr>
            <w:tcW w:w="60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Amortization of intangible assets</w:t>
            </w:r>
          </w:p>
        </w:tc>
        <w:tc>
          <w:tcPr>
            <w:tcW w:w="1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838</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629</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596</w:t>
            </w:r>
          </w:p>
        </w:tc>
      </w:tr>
      <w:tr>
        <w:trPr>
          <w:trHeight w:val="230"/>
        </w:trPr>
        <w:tc>
          <w:tcPr>
            <w:tcW w:w="6000" w:type="dxa"/>
            <w:vAlign w:val="bottom"/>
          </w:tcPr>
          <w:p>
            <w:pPr>
              <w:ind w:left="180"/>
              <w:spacing w:after="0"/>
              <w:rPr>
                <w:sz w:val="20"/>
                <w:szCs w:val="20"/>
                <w:color w:val="auto"/>
              </w:rPr>
            </w:pPr>
            <w:r>
              <w:rPr>
                <w:rFonts w:ascii="Arial" w:cs="Arial" w:eastAsia="Arial" w:hAnsi="Arial"/>
                <w:sz w:val="18"/>
                <w:szCs w:val="18"/>
                <w:color w:val="auto"/>
              </w:rPr>
              <w:t>Other expenses</w:t>
            </w:r>
          </w:p>
        </w:tc>
        <w:tc>
          <w:tcPr>
            <w:tcW w:w="17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16,806</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18,532</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19,382</w:t>
            </w:r>
          </w:p>
        </w:tc>
      </w:tr>
      <w:tr>
        <w:trPr>
          <w:trHeight w:val="210"/>
        </w:trPr>
        <w:tc>
          <w:tcPr>
            <w:tcW w:w="6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operating expenses</w:t>
            </w:r>
          </w:p>
        </w:tc>
        <w:tc>
          <w:tcPr>
            <w:tcW w:w="17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46,875</w:t>
            </w: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45,814</w:t>
            </w:r>
          </w:p>
        </w:tc>
        <w:tc>
          <w:tcPr>
            <w:tcW w:w="1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51,784</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202"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Operating expenses, which are presented as part of total expenses in the Bank’s consolidated statements of profit or loss, do not include the effects of impairment loss or recovery from expected credit losses on loans at amortized cost, investment securities, and loan commitments and financial guarantee contracts, as the Bank believes such items, which are based on management estimates and are related to the ECL of the Bank’s Credit Portfolio, may distort trend analysis. Thus, the Bank believes excluding such items from expenses provides a more accurate indicator of the Bank’s administrative and general expenses, and thus provides a better basis for analysis of the efficiency of the Bank and helps facilitate comparisons between periods. However, operating expenses should not be considered a substitute for, or superior to, financial measures calculated differently on an IFRS basis. Furthermore, operating expenses may be calculated differently by other companies in the financial industry.</w:t>
      </w:r>
    </w:p>
    <w:p>
      <w:pPr>
        <w:spacing w:after="0" w:line="178"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During the year ended December 31, 2017, the Bank’s operating expenses totaled $46.9 million, compared to $45.8 million for the year ended December 31, 2016. The $1.1 million, or 2%, increase in operating expenses year-over-year was primarily attributable to higher salaries and other employee expenses largely impacted by $3.2 million in charges for non-recurring personnel related expenses in 2017, which was partially offset by lower other expenses (a decrease of $1.7 million) reflecting the Bank’s ongoing focus on cost reduction and high productivity throughout the organization.</w:t>
      </w:r>
    </w:p>
    <w:p>
      <w:pPr>
        <w:spacing w:after="0" w:line="15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operating expenses totaled $45.8 million for the year ended December 31, 2016, compared to $51.8 million operating expenses for the year ended December 31, 2015. The $6.0 million, or 12%, decrease year-over-year was mainly attributable to lower performance-based variable compensation expense, and other cost savings resulting from the Bank´s continued focus on process improvements to increase efficiency.</w:t>
      </w:r>
    </w:p>
    <w:p>
      <w:pPr>
        <w:spacing w:after="0" w:line="16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For more information on salaries and other employee expenses, and other operating expenses, see Item 18, “Financial Statements”, notes 23 and 24, respectively.</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5" w:name="page56"/>
    <w:bookmarkEnd w:id="55"/>
    <w:tbl>
      <w:tblPr>
        <w:tblLayout w:type="fixed"/>
        <w:tblInd w:w="0" w:type="dxa"/>
        <w:tblCellMar>
          <w:top w:w="0" w:type="dxa"/>
          <w:left w:w="0" w:type="dxa"/>
          <w:bottom w:w="0" w:type="dxa"/>
          <w:right w:w="0" w:type="dxa"/>
        </w:tblCellMar>
      </w:tblPr>
      <w:tr>
        <w:trPr>
          <w:trHeight w:val="230"/>
        </w:trPr>
        <w:tc>
          <w:tcPr>
            <w:tcW w:w="7000" w:type="dxa"/>
            <w:vAlign w:val="bottom"/>
            <w:gridSpan w:val="3"/>
          </w:tcPr>
          <w:p>
            <w:pPr>
              <w:spacing w:after="0"/>
              <w:rPr>
                <w:sz w:val="20"/>
                <w:szCs w:val="20"/>
                <w:color w:val="auto"/>
              </w:rPr>
            </w:pPr>
            <w:r>
              <w:rPr>
                <w:rFonts w:ascii="Arial" w:cs="Arial" w:eastAsia="Arial" w:hAnsi="Arial"/>
                <w:sz w:val="18"/>
                <w:szCs w:val="18"/>
                <w:b w:val="1"/>
                <w:bCs w:val="1"/>
                <w:i w:val="1"/>
                <w:iCs w:val="1"/>
                <w:color w:val="auto"/>
              </w:rPr>
              <w:t>Changes in Financial Position</w:t>
            </w: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8940" w:type="dxa"/>
            <w:vAlign w:val="bottom"/>
            <w:gridSpan w:val="9"/>
          </w:tcPr>
          <w:p>
            <w:pPr>
              <w:spacing w:after="0"/>
              <w:rPr>
                <w:sz w:val="20"/>
                <w:szCs w:val="20"/>
                <w:color w:val="auto"/>
              </w:rPr>
            </w:pPr>
            <w:r>
              <w:rPr>
                <w:rFonts w:ascii="Arial" w:cs="Arial" w:eastAsia="Arial" w:hAnsi="Arial"/>
                <w:sz w:val="18"/>
                <w:szCs w:val="18"/>
                <w:color w:val="auto"/>
                <w:w w:val="91"/>
              </w:rPr>
              <w:t>The following table presents components of the Bank’s consolidated statements of financial position at the dates indicated:</w:t>
            </w:r>
          </w:p>
        </w:tc>
        <w:tc>
          <w:tcPr>
            <w:tcW w:w="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5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4"/>
          </w:tcPr>
          <w:p>
            <w:pPr>
              <w:jc w:val="right"/>
              <w:ind w:right="60"/>
              <w:spacing w:after="0"/>
              <w:rPr>
                <w:sz w:val="20"/>
                <w:szCs w:val="20"/>
                <w:color w:val="auto"/>
              </w:rPr>
            </w:pPr>
            <w:r>
              <w:rPr>
                <w:rFonts w:ascii="Arial" w:cs="Arial" w:eastAsia="Arial" w:hAnsi="Arial"/>
                <w:sz w:val="18"/>
                <w:szCs w:val="18"/>
                <w:b w:val="1"/>
                <w:bCs w:val="1"/>
                <w:color w:val="auto"/>
                <w:w w:val="88"/>
              </w:rPr>
              <w:t>As of December 31,</w:t>
            </w:r>
          </w:p>
        </w:tc>
        <w:tc>
          <w:tcPr>
            <w:tcW w:w="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59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8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4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5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4"/>
          </w:tcPr>
          <w:p>
            <w:pPr>
              <w:jc w:val="right"/>
              <w:ind w:right="180"/>
              <w:spacing w:after="0"/>
              <w:rPr>
                <w:sz w:val="20"/>
                <w:szCs w:val="20"/>
                <w:color w:val="auto"/>
              </w:rPr>
            </w:pPr>
            <w:r>
              <w:rPr>
                <w:rFonts w:ascii="Arial" w:cs="Arial" w:eastAsia="Arial" w:hAnsi="Arial"/>
                <w:sz w:val="18"/>
                <w:szCs w:val="18"/>
                <w:b w:val="1"/>
                <w:bCs w:val="1"/>
                <w:color w:val="auto"/>
                <w:w w:val="97"/>
              </w:rPr>
              <w:t>(in $ thousands)</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Cash and cash equivalents</w:t>
            </w:r>
          </w:p>
        </w:tc>
        <w:tc>
          <w:tcPr>
            <w:tcW w:w="380" w:type="dxa"/>
            <w:vAlign w:val="bottom"/>
            <w:gridSpan w:val="2"/>
          </w:tcPr>
          <w:p>
            <w:pPr>
              <w:jc w:val="right"/>
              <w:ind w:right="125"/>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672,048</w:t>
            </w:r>
          </w:p>
        </w:tc>
        <w:tc>
          <w:tcPr>
            <w:tcW w:w="500" w:type="dxa"/>
            <w:vAlign w:val="bottom"/>
            <w:gridSpan w:val="2"/>
          </w:tcPr>
          <w:p>
            <w:pPr>
              <w:jc w:val="right"/>
              <w:ind w:right="165"/>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1,069,538</w:t>
            </w:r>
          </w:p>
        </w:tc>
        <w:tc>
          <w:tcPr>
            <w:tcW w:w="34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1,299,966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53,411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Financial instruments at fair value through OCI</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25,135</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30,607</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141,803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Securities at amortized cost, net</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68,934</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77,214</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108,215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Loans</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5,505,658</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6,020,731</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6,691,749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Less:</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ind w:left="320"/>
              <w:spacing w:after="0"/>
              <w:rPr>
                <w:sz w:val="20"/>
                <w:szCs w:val="20"/>
                <w:color w:val="auto"/>
              </w:rPr>
            </w:pPr>
            <w:r>
              <w:rPr>
                <w:rFonts w:ascii="Arial" w:cs="Arial" w:eastAsia="Arial" w:hAnsi="Arial"/>
                <w:sz w:val="18"/>
                <w:szCs w:val="18"/>
                <w:color w:val="auto"/>
              </w:rPr>
              <w:t>Allowance for expected credit losses</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81,294</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105,988</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89,974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9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Unearned interest and deferred fees</w:t>
            </w: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4,985</w:t>
            </w:r>
          </w:p>
        </w:tc>
        <w:tc>
          <w:tcPr>
            <w:tcW w:w="1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7,249</w:t>
            </w:r>
          </w:p>
        </w:tc>
        <w:tc>
          <w:tcPr>
            <w:tcW w:w="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9,304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Loans, net</w:t>
            </w:r>
          </w:p>
        </w:tc>
        <w:tc>
          <w:tcPr>
            <w:tcW w:w="10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5,419,379</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5,907,494</w:t>
            </w: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6,592,471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5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13,338</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9,352</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7,400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Property and equipment, net</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7,420</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8,549</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Intangibles, net</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5,425</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2,909</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427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ind w:left="160"/>
              <w:spacing w:after="0"/>
              <w:rPr>
                <w:sz w:val="20"/>
                <w:szCs w:val="20"/>
                <w:color w:val="auto"/>
              </w:rPr>
            </w:pPr>
            <w:r>
              <w:rPr>
                <w:rFonts w:ascii="Arial" w:cs="Arial" w:eastAsia="Arial" w:hAnsi="Arial"/>
                <w:sz w:val="18"/>
                <w:szCs w:val="18"/>
                <w:color w:val="auto"/>
              </w:rPr>
              <w:t>Customers’ liabilities under acceptances</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6,369</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19,387</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15,100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Accrued interest receivable</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30,872</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44,187</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45,456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980" w:type="dxa"/>
            <w:vAlign w:val="bottom"/>
            <w:gridSpan w:val="2"/>
          </w:tcPr>
          <w:p>
            <w:pPr>
              <w:ind w:left="160"/>
              <w:spacing w:after="0"/>
              <w:rPr>
                <w:sz w:val="20"/>
                <w:szCs w:val="20"/>
                <w:color w:val="auto"/>
              </w:rPr>
            </w:pPr>
            <w:r>
              <w:rPr>
                <w:rFonts w:ascii="Arial" w:cs="Arial" w:eastAsia="Arial" w:hAnsi="Arial"/>
                <w:sz w:val="18"/>
                <w:szCs w:val="18"/>
                <w:color w:val="auto"/>
              </w:rPr>
              <w:t>Other assets</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18,827</w:t>
            </w:r>
          </w:p>
        </w:tc>
        <w:tc>
          <w:tcPr>
            <w:tcW w:w="1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11,546</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15,794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of other assets</w:t>
            </w: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56,068</w:t>
            </w: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bottom w:val="single" w:sz="8" w:color="auto"/>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75,120</w:t>
            </w: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76,350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69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Total Assets</w:t>
            </w:r>
          </w:p>
        </w:tc>
        <w:tc>
          <w:tcPr>
            <w:tcW w:w="100" w:type="dxa"/>
            <w:vAlign w:val="bottom"/>
            <w:tcBorders>
              <w:bottom w:val="single" w:sz="8" w:color="CCEEFF"/>
            </w:tcBorders>
          </w:tcPr>
          <w:p>
            <w:pPr>
              <w:spacing w:after="0"/>
              <w:rPr>
                <w:sz w:val="22"/>
                <w:szCs w:val="22"/>
                <w:color w:val="auto"/>
              </w:rPr>
            </w:pPr>
          </w:p>
        </w:tc>
        <w:tc>
          <w:tcPr>
            <w:tcW w:w="280" w:type="dxa"/>
            <w:vAlign w:val="bottom"/>
            <w:tcBorders>
              <w:bottom w:val="single" w:sz="8" w:color="auto"/>
            </w:tcBorders>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6,267,747</w:t>
            </w:r>
          </w:p>
        </w:tc>
        <w:tc>
          <w:tcPr>
            <w:tcW w:w="80" w:type="dxa"/>
            <w:vAlign w:val="bottom"/>
            <w:tcBorders>
              <w:bottom w:val="single" w:sz="8" w:color="CCEEFF"/>
            </w:tcBorders>
          </w:tcPr>
          <w:p>
            <w:pPr>
              <w:spacing w:after="0"/>
              <w:rPr>
                <w:sz w:val="22"/>
                <w:szCs w:val="22"/>
                <w:color w:val="auto"/>
              </w:rPr>
            </w:pPr>
          </w:p>
        </w:tc>
        <w:tc>
          <w:tcPr>
            <w:tcW w:w="180" w:type="dxa"/>
            <w:vAlign w:val="bottom"/>
            <w:tcBorders>
              <w:bottom w:val="single" w:sz="8" w:color="CCEEFF"/>
            </w:tcBorders>
          </w:tcPr>
          <w:p>
            <w:pPr>
              <w:spacing w:after="0"/>
              <w:rPr>
                <w:sz w:val="22"/>
                <w:szCs w:val="22"/>
                <w:color w:val="auto"/>
              </w:rPr>
            </w:pPr>
          </w:p>
        </w:tc>
        <w:tc>
          <w:tcPr>
            <w:tcW w:w="320" w:type="dxa"/>
            <w:vAlign w:val="bottom"/>
            <w:tcBorders>
              <w:bottom w:val="single" w:sz="8" w:color="auto"/>
            </w:tcBorders>
          </w:tcPr>
          <w:p>
            <w:pPr>
              <w:jc w:val="right"/>
              <w:ind w:right="16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7,180,783</w:t>
            </w:r>
          </w:p>
        </w:tc>
        <w:tc>
          <w:tcPr>
            <w:tcW w:w="1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8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8,286,216</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5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b w:val="1"/>
                <w:bCs w:val="1"/>
                <w:color w:val="auto"/>
              </w:rPr>
              <w:t>Liabilities and Stockholders’ Equity</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Deposits</w:t>
            </w:r>
          </w:p>
        </w:tc>
        <w:tc>
          <w:tcPr>
            <w:tcW w:w="380" w:type="dxa"/>
            <w:vAlign w:val="bottom"/>
            <w:gridSpan w:val="2"/>
            <w:shd w:val="clear" w:color="auto" w:fill="CCEEFF"/>
          </w:tcPr>
          <w:p>
            <w:pPr>
              <w:jc w:val="right"/>
              <w:ind w:right="125"/>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2,928,844</w:t>
            </w:r>
          </w:p>
        </w:tc>
        <w:tc>
          <w:tcPr>
            <w:tcW w:w="500" w:type="dxa"/>
            <w:vAlign w:val="bottom"/>
            <w:gridSpan w:val="2"/>
            <w:shd w:val="clear" w:color="auto" w:fill="CCEEFF"/>
          </w:tcPr>
          <w:p>
            <w:pPr>
              <w:jc w:val="right"/>
              <w:ind w:right="165"/>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2,802,852</w:t>
            </w:r>
          </w:p>
        </w:tc>
        <w:tc>
          <w:tcPr>
            <w:tcW w:w="3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2,795,469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Derivative financial instruments used for hedging - payable</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34,943</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59,686</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29,889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Financial liabilities through profit or loss</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24</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Securities sold under repurchase agreement</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114,084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Short-term borrowings and debt</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1,072,723</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1,470,075</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2,430,357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Long-term borrowings and debt, net</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1,138,844</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1,776,738</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1,881,813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ind w:left="160"/>
              <w:spacing w:after="0"/>
              <w:rPr>
                <w:sz w:val="20"/>
                <w:szCs w:val="20"/>
                <w:color w:val="auto"/>
              </w:rPr>
            </w:pPr>
            <w:r>
              <w:rPr>
                <w:rFonts w:ascii="Arial" w:cs="Arial" w:eastAsia="Arial" w:hAnsi="Arial"/>
                <w:sz w:val="18"/>
                <w:szCs w:val="18"/>
                <w:color w:val="auto"/>
              </w:rPr>
              <w:t>Acceptances outstanding</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6,369</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19,387</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15,100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Accrued interest payable</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15,816</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16,603</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17,716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ind w:left="160"/>
              <w:spacing w:after="0"/>
              <w:rPr>
                <w:sz w:val="20"/>
                <w:szCs w:val="20"/>
                <w:color w:val="auto"/>
              </w:rPr>
            </w:pPr>
            <w:r>
              <w:rPr>
                <w:rFonts w:ascii="Arial" w:cs="Arial" w:eastAsia="Arial" w:hAnsi="Arial"/>
                <w:sz w:val="18"/>
                <w:szCs w:val="18"/>
                <w:color w:val="auto"/>
                <w:w w:val="91"/>
              </w:rPr>
              <w:t>Allowance for expected credit losses on loan commitments and financial guarantees contracts</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6,845</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5,776</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5,424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9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Other liabilities</w:t>
            </w: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20,551</w:t>
            </w:r>
          </w:p>
        </w:tc>
        <w:tc>
          <w:tcPr>
            <w:tcW w:w="1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18,328</w:t>
            </w:r>
          </w:p>
        </w:tc>
        <w:tc>
          <w:tcPr>
            <w:tcW w:w="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24,344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Total of other liabilities</w:t>
            </w:r>
          </w:p>
        </w:tc>
        <w:tc>
          <w:tcPr>
            <w:tcW w:w="10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49,581</w:t>
            </w:r>
          </w:p>
        </w:tc>
        <w:tc>
          <w:tcPr>
            <w:tcW w:w="8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320" w:type="dxa"/>
            <w:vAlign w:val="bottom"/>
            <w:tcBorders>
              <w:top w:val="single" w:sz="8" w:color="auto"/>
              <w:bottom w:val="single" w:sz="8" w:color="auto"/>
            </w:tcBorders>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60,094</w:t>
            </w:r>
          </w:p>
        </w:tc>
        <w:tc>
          <w:tcPr>
            <w:tcW w:w="14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62,584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00" w:type="dxa"/>
            <w:vAlign w:val="bottom"/>
            <w:shd w:val="clear" w:color="auto" w:fill="CCEEFF"/>
          </w:tcPr>
          <w:p>
            <w:pPr>
              <w:spacing w:after="0"/>
              <w:rPr>
                <w:sz w:val="18"/>
                <w:szCs w:val="18"/>
                <w:color w:val="auto"/>
              </w:rPr>
            </w:pPr>
          </w:p>
        </w:tc>
        <w:tc>
          <w:tcPr>
            <w:tcW w:w="280" w:type="dxa"/>
            <w:vAlign w:val="bottom"/>
            <w:tcBorders>
              <w:bottom w:val="single" w:sz="8" w:color="auto"/>
            </w:tcBorders>
            <w:shd w:val="clear" w:color="auto" w:fill="CCEEFF"/>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5,224,935</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tcBorders>
              <w:bottom w:val="single" w:sz="8" w:color="auto"/>
            </w:tcBorders>
            <w:shd w:val="clear" w:color="auto" w:fill="CCEEFF"/>
          </w:tcPr>
          <w:p>
            <w:pPr>
              <w:jc w:val="right"/>
              <w:ind w:right="16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6,169,469</w:t>
            </w: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tcBorders>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7,314,285</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1000" w:type="dxa"/>
            <w:vAlign w:val="bottom"/>
          </w:tcPr>
          <w:p>
            <w:pPr>
              <w:spacing w:after="0"/>
              <w:rPr>
                <w:sz w:val="18"/>
                <w:szCs w:val="18"/>
                <w:color w:val="auto"/>
              </w:rPr>
            </w:pPr>
          </w:p>
        </w:tc>
        <w:tc>
          <w:tcPr>
            <w:tcW w:w="5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Stockholders’ Equity</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Common stock</w:t>
            </w:r>
          </w:p>
        </w:tc>
        <w:tc>
          <w:tcPr>
            <w:tcW w:w="380" w:type="dxa"/>
            <w:vAlign w:val="bottom"/>
            <w:gridSpan w:val="2"/>
          </w:tcPr>
          <w:p>
            <w:pPr>
              <w:jc w:val="right"/>
              <w:ind w:right="125"/>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279,980</w:t>
            </w:r>
          </w:p>
        </w:tc>
        <w:tc>
          <w:tcPr>
            <w:tcW w:w="500" w:type="dxa"/>
            <w:vAlign w:val="bottom"/>
            <w:gridSpan w:val="2"/>
          </w:tcPr>
          <w:p>
            <w:pPr>
              <w:jc w:val="right"/>
              <w:ind w:right="165"/>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279,980</w:t>
            </w:r>
          </w:p>
        </w:tc>
        <w:tc>
          <w:tcPr>
            <w:tcW w:w="34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(63,248)</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(69,176)</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(73,397)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119,941</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120,594</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120,177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95,210</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95,210</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80" w:type="dxa"/>
            <w:vAlign w:val="bottom"/>
            <w:gridSpan w:val="2"/>
          </w:tcPr>
          <w:p>
            <w:pPr>
              <w:spacing w:after="0"/>
              <w:rPr>
                <w:sz w:val="20"/>
                <w:szCs w:val="20"/>
                <w:color w:val="auto"/>
              </w:rPr>
            </w:pPr>
            <w:r>
              <w:rPr>
                <w:rFonts w:ascii="Arial" w:cs="Arial" w:eastAsia="Arial" w:hAnsi="Arial"/>
                <w:sz w:val="18"/>
                <w:szCs w:val="18"/>
                <w:color w:val="auto"/>
              </w:rPr>
              <w:t>Retained earnings</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608,966</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587,507</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560,642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Accumulated other comprehensive income (loss)</w:t>
            </w:r>
          </w:p>
        </w:tc>
        <w:tc>
          <w:tcPr>
            <w:tcW w:w="1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1,963</w:t>
            </w:r>
          </w:p>
        </w:tc>
        <w:tc>
          <w:tcPr>
            <w:tcW w:w="1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(2,801)</w:t>
            </w:r>
          </w:p>
        </w:tc>
        <w:tc>
          <w:tcPr>
            <w:tcW w:w="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(10,681)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Total Stockholders’ Equity</w:t>
            </w:r>
          </w:p>
        </w:tc>
        <w:tc>
          <w:tcPr>
            <w:tcW w:w="10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1,042,812</w:t>
            </w:r>
          </w:p>
        </w:tc>
        <w:tc>
          <w:tcPr>
            <w:tcW w:w="8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320" w:type="dxa"/>
            <w:vAlign w:val="bottom"/>
            <w:tcBorders>
              <w:top w:val="single" w:sz="8" w:color="auto"/>
              <w:bottom w:val="single" w:sz="8" w:color="auto"/>
            </w:tcBorders>
          </w:tcPr>
          <w:p>
            <w:pPr>
              <w:jc w:val="right"/>
              <w:ind w:right="16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1,011,314</w:t>
            </w:r>
          </w:p>
        </w:tc>
        <w:tc>
          <w:tcPr>
            <w:tcW w:w="14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971,931</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98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Liabilities and Stockholders’ Equity</w:t>
            </w:r>
          </w:p>
        </w:tc>
        <w:tc>
          <w:tcPr>
            <w:tcW w:w="100" w:type="dxa"/>
            <w:vAlign w:val="bottom"/>
            <w:tcBorders>
              <w:bottom w:val="single" w:sz="8" w:color="CCEEFF"/>
            </w:tcBorders>
            <w:shd w:val="clear" w:color="auto" w:fill="CCEEFF"/>
          </w:tcPr>
          <w:p>
            <w:pPr>
              <w:spacing w:after="0"/>
              <w:rPr>
                <w:sz w:val="19"/>
                <w:szCs w:val="19"/>
                <w:color w:val="auto"/>
              </w:rPr>
            </w:pPr>
          </w:p>
        </w:tc>
        <w:tc>
          <w:tcPr>
            <w:tcW w:w="280" w:type="dxa"/>
            <w:vAlign w:val="bottom"/>
            <w:tcBorders>
              <w:bottom w:val="single" w:sz="8" w:color="auto"/>
            </w:tcBorders>
            <w:shd w:val="clear" w:color="auto" w:fill="CCEEFF"/>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6,267,747</w:t>
            </w:r>
          </w:p>
        </w:tc>
        <w:tc>
          <w:tcPr>
            <w:tcW w:w="80" w:type="dxa"/>
            <w:vAlign w:val="bottom"/>
            <w:tcBorders>
              <w:bottom w:val="single" w:sz="8" w:color="CCEEFF"/>
            </w:tcBorders>
            <w:shd w:val="clear" w:color="auto" w:fill="CCEEFF"/>
          </w:tcPr>
          <w:p>
            <w:pPr>
              <w:spacing w:after="0"/>
              <w:rPr>
                <w:sz w:val="19"/>
                <w:szCs w:val="19"/>
                <w:color w:val="auto"/>
              </w:rPr>
            </w:pPr>
          </w:p>
        </w:tc>
        <w:tc>
          <w:tcPr>
            <w:tcW w:w="180" w:type="dxa"/>
            <w:vAlign w:val="bottom"/>
            <w:tcBorders>
              <w:bottom w:val="single" w:sz="8" w:color="CCEEFF"/>
            </w:tcBorders>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jc w:val="right"/>
              <w:ind w:right="16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7,180,783</w:t>
            </w:r>
          </w:p>
        </w:tc>
        <w:tc>
          <w:tcPr>
            <w:tcW w:w="140" w:type="dxa"/>
            <w:vAlign w:val="bottom"/>
            <w:tcBorders>
              <w:bottom w:val="single" w:sz="8" w:color="CCEEFF"/>
            </w:tcBorders>
            <w:shd w:val="clear" w:color="auto" w:fill="CCEEFF"/>
          </w:tcPr>
          <w:p>
            <w:pPr>
              <w:spacing w:after="0"/>
              <w:rPr>
                <w:sz w:val="19"/>
                <w:szCs w:val="19"/>
                <w:color w:val="auto"/>
              </w:rPr>
            </w:pPr>
          </w:p>
        </w:tc>
        <w:tc>
          <w:tcPr>
            <w:tcW w:w="60" w:type="dxa"/>
            <w:vAlign w:val="bottom"/>
            <w:tcBorders>
              <w:bottom w:val="single" w:sz="8" w:color="CCEEFF"/>
            </w:tcBorders>
            <w:shd w:val="clear" w:color="auto" w:fill="CCEEFF"/>
          </w:tcPr>
          <w:p>
            <w:pPr>
              <w:spacing w:after="0"/>
              <w:rPr>
                <w:sz w:val="19"/>
                <w:szCs w:val="19"/>
                <w:color w:val="auto"/>
              </w:rPr>
            </w:pPr>
          </w:p>
        </w:tc>
        <w:tc>
          <w:tcPr>
            <w:tcW w:w="280" w:type="dxa"/>
            <w:vAlign w:val="bottom"/>
            <w:tcBorders>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8,286,216</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020" w:type="dxa"/>
            <w:vAlign w:val="bottom"/>
            <w:gridSpan w:val="2"/>
            <w:vMerge w:val="restart"/>
          </w:tcPr>
          <w:p>
            <w:pPr>
              <w:spacing w:after="0"/>
              <w:rPr>
                <w:sz w:val="20"/>
                <w:szCs w:val="20"/>
                <w:color w:val="auto"/>
              </w:rPr>
            </w:pPr>
            <w:r>
              <w:rPr>
                <w:rFonts w:ascii="Arial" w:cs="Arial" w:eastAsia="Arial" w:hAnsi="Arial"/>
                <w:sz w:val="18"/>
                <w:szCs w:val="18"/>
                <w:i w:val="1"/>
                <w:iCs w:val="1"/>
                <w:color w:val="auto"/>
                <w:w w:val="88"/>
              </w:rPr>
              <w:t>2017 vs. 2016</w:t>
            </w:r>
          </w:p>
        </w:tc>
        <w:tc>
          <w:tcPr>
            <w:tcW w:w="5980" w:type="dxa"/>
            <w:vAlign w:val="bottom"/>
            <w:vMerge w:val="restart"/>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7"/>
        </w:trPr>
        <w:tc>
          <w:tcPr>
            <w:tcW w:w="1020" w:type="dxa"/>
            <w:vAlign w:val="bottom"/>
            <w:tcBorders>
              <w:bottom w:val="single" w:sz="8" w:color="auto"/>
            </w:tcBorders>
            <w:gridSpan w:val="2"/>
            <w:vMerge w:val="continue"/>
          </w:tcPr>
          <w:p>
            <w:pPr>
              <w:spacing w:after="0"/>
              <w:rPr>
                <w:sz w:val="24"/>
                <w:szCs w:val="24"/>
                <w:color w:val="auto"/>
              </w:rPr>
            </w:pPr>
          </w:p>
        </w:tc>
        <w:tc>
          <w:tcPr>
            <w:tcW w:w="5980" w:type="dxa"/>
            <w:vAlign w:val="bottom"/>
            <w:vMerge w:val="continue"/>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2017, total assets amounted to $6.3 billion, a 13% decrease, compared to $7.2 billion as of December 31, 2016, which was mainly attributable to the Bank’s lower liquidity position and Loan Portfolio balances, which are detailed as follows: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6" w:name="page57"/>
    <w:bookmarkEnd w:id="56"/>
    <w:p>
      <w:pPr>
        <w:jc w:val="both"/>
        <w:spacing w:after="0" w:line="271" w:lineRule="auto"/>
        <w:rPr>
          <w:sz w:val="20"/>
          <w:szCs w:val="20"/>
          <w:color w:val="auto"/>
        </w:rPr>
      </w:pPr>
      <w:r>
        <w:rPr>
          <w:rFonts w:ascii="Arial" w:cs="Arial" w:eastAsia="Arial" w:hAnsi="Arial"/>
          <w:sz w:val="17"/>
          <w:szCs w:val="17"/>
          <w:color w:val="auto"/>
        </w:rPr>
        <w:t>The Bank’s cash and cash equivalents, most of which consisted of actively managed liquid assets, totaled $0.7 billion as of December 31, 2017, compared to $1.1 billion as of December 31, 2016, as the Bank returned to its historical adequate levels of prudent liquidity management. The Bank establishes and monitors requirements for internal liquidity management through limits and policies based on the Basel III LCR and also monitors the expected regulatory LCR calculation as determined by the Basel Committee on Banking Supervision and adjusted by the Superintendency. These liquidity guidelines ensure the Bank’s ability to maintain adequate cash flows to fund operations and meet obligations and other commitments on a timely basis, and complement the inherent liquidity of its short-term lending book. As of December 31, 2017, $0.6 billion, or 98%, of the Bank’s liquid assets were held in deposits with the Federal Reserve Bank of New York. The liquid assets to total assets ratio amounted to 10% as of December 31, 2017, compared to 14% as of December 31, 2016, while at these same dates, the liquid assets to total deposits ratios were 21% and 36%, respectively.</w:t>
      </w:r>
    </w:p>
    <w:p>
      <w:pPr>
        <w:spacing w:after="0" w:line="17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December 31, 2017, the Bank’s Loan Portfolio amounted to $5,506 million, compared to $6,021 million as of December 31, 2016. The $515 million, or 9%, Loan Portfolio decrease during 2017 was largely attributable to the Bank’s decision to improve its Loan Portfolio risk profile by reducing unwanted exposures to certain countries, industries and clients, along with increasing its focus on short-term lending. In addition, high levels of U.S. dollar liquidity experienced in key markets led to nearly $1 billion in pre-payments of loans originally scheduled to mature in or after 2018, which significantly offset the Bank’s increased levels of credit disbursements throughout the year. As of December 31, 2017, the Loan Portfolio had an average remaining maturity term of 282 days, of which 80% of the Bank’s Loan Portfolio was scheduled to mature within one year, compared to an average remaining maturity of 279 days, or 76% short-term, respectively, as of December 31, 2016.</w:t>
      </w:r>
    </w:p>
    <w:p>
      <w:pPr>
        <w:spacing w:after="0" w:line="18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decrease in assets during 2017 was accompanied by a $0.9 billion, or 15%, decrease in total liabilities during 2017, which was mostly attributable to a $1.0 billion, or 32%, overall decrease in the Bank’s interest-bearing liabilities of short- and long-term borrowings and debt, which was partially offset by a $0.1 billion increase in deposit balances to a total of $2.9 billion, or 56% of total liabilities as of December 31, 2017, compared to $2.8 billion, or 45% of total liabilities as of December 31, 2016, as the Bank continued to rely primarily on deposits to cover its short-term funding needs.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2016 vs. 2015</w:t>
      </w:r>
    </w:p>
    <w:p>
      <w:pPr>
        <w:spacing w:after="0" w:line="225"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As of December 31, 2016, total assets amounted to $7.2 billion, a 13% decrease, compared to $8.3 billion as of December 31, 2015, mainly attributable to lower interest-earning asset balances from the Loan Portfolio, Investment Securities Portfolio and liquidity position, which are detailed as follows:</w:t>
      </w:r>
    </w:p>
    <w:p>
      <w:pPr>
        <w:spacing w:after="0" w:line="147"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cash and cash equivalents, most of which consisted of actively managed liquid assets, totaled $1.1 billion as of December 31, 2016, compared to $1.3 billion as of December 31, 2015. $0.6 billion, or 59%, of the Bank’s liquid assets were held in deposits with the Federal Reserve Bank of New York, with the remainder held with other highly rated financial institutions. The liquid assets to total assets ratio amounted to 14% at the end of 2016 compared to 15% at the end of 2015, while the liquid assets to total deposits ratios were 36% and 45% at the end of 2016 and 2015, respectively.</w:t>
      </w:r>
    </w:p>
    <w:p>
      <w:pPr>
        <w:spacing w:after="0" w:line="171"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Investment Securities Portfolio (at FVOCI and at amortized cost) decreased by $142 million, or 57%, to $108 million, or 2%, of total assets, as of December 31, 2016, from $251 million, or 3% of total assets at December 31, 2015, as the Bank continued reducing its holdings in its securities portfolios to reduce market risk, which consisted of readily-quoted Latin American securities, 90% of which represented multilateral, sovereign or state-owned risk.</w:t>
      </w:r>
    </w:p>
    <w:p>
      <w:pPr>
        <w:spacing w:after="0" w:line="14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Loans amounted to $6.0 billion as of December 31, 2016, representing 84% of the Bank’s total assets, compared to $6.7 billion, or 81% of total assets at December 31, 2015. The $671 million, or 10%, decrease was largely attributable to the Bank’s decision to reduce certain country, industry and client risk concentrations in its portfolio. The 2016 Loan Portfolio had an average remaining maturity term of 279 days, of which 76% was scheduled to mature within one year, compared to an average remaining maturity of 343 days, or 70% short-term from a year ago.</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7" w:name="page58"/>
    <w:bookmarkEnd w:id="57"/>
    <w:p>
      <w:pPr>
        <w:jc w:val="both"/>
        <w:spacing w:after="0" w:line="286" w:lineRule="auto"/>
        <w:rPr>
          <w:sz w:val="20"/>
          <w:szCs w:val="20"/>
          <w:color w:val="auto"/>
        </w:rPr>
      </w:pPr>
      <w:r>
        <w:rPr>
          <w:rFonts w:ascii="Arial" w:cs="Arial" w:eastAsia="Arial" w:hAnsi="Arial"/>
          <w:sz w:val="17"/>
          <w:szCs w:val="17"/>
          <w:color w:val="auto"/>
        </w:rPr>
        <w:t>The decrease in assets during 2016 was accompanied by a $1.1 billion, or 16%, decrease in liabilities during 2016, mostly attributable to a $1.1 billion, or 25%, overall decrease in the Bank’s interest-bearing liabilities of short- and long-term borrowings and debt, while deposit balances remained at $2.8 billion, representing 45% of total liabilities as of December 31, 2016, compared to the same level, or 38% of total liabilities from a year ago.</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Asset Quality</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believes that its fundamental asset quality is a function of its strong client base, the importance that governments and borrowers alike attribute to maintaining continued access to trade financing, its preferred creditor status, and its strict adherence to commercial criteria in its credit activities. The Bank’s management and the CPER periodically review a report of all loan delinquencies. The Bank’s collection policies include rapid internal notification of any delinquency and prompt initiation of collection efforts, usually involving senior management.</w:t>
      </w:r>
    </w:p>
    <w:p>
      <w:pPr>
        <w:spacing w:after="0" w:line="187"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borrower’s management and shareholders, among others. A description of these indicators is as follows:</w:t>
      </w:r>
    </w:p>
    <w:p>
      <w:pPr>
        <w:spacing w:after="0" w:line="143" w:lineRule="exact"/>
        <w:rPr>
          <w:sz w:val="20"/>
          <w:szCs w:val="20"/>
          <w:color w:val="auto"/>
        </w:rPr>
      </w:pPr>
    </w:p>
    <w:tbl>
      <w:tblPr>
        <w:tblLayout w:type="fixed"/>
        <w:tblInd w:w="0" w:type="dxa"/>
        <w:tblCellMar>
          <w:top w:w="0" w:type="dxa"/>
          <w:left w:w="0" w:type="dxa"/>
          <w:bottom w:w="0" w:type="dxa"/>
          <w:right w:w="0" w:type="dxa"/>
        </w:tblCellMar>
      </w:tblPr>
      <w:tr>
        <w:trPr>
          <w:trHeight w:val="221"/>
        </w:trPr>
        <w:tc>
          <w:tcPr>
            <w:tcW w:w="1720" w:type="dxa"/>
            <w:vAlign w:val="bottom"/>
            <w:gridSpan w:val="2"/>
          </w:tcPr>
          <w:p>
            <w:pPr>
              <w:ind w:left="420"/>
              <w:spacing w:after="0"/>
              <w:rPr>
                <w:sz w:val="20"/>
                <w:szCs w:val="20"/>
                <w:color w:val="auto"/>
              </w:rPr>
            </w:pPr>
            <w:r>
              <w:rPr>
                <w:rFonts w:ascii="Arial" w:cs="Arial" w:eastAsia="Arial" w:hAnsi="Arial"/>
                <w:sz w:val="18"/>
                <w:szCs w:val="18"/>
                <w:b w:val="1"/>
                <w:bCs w:val="1"/>
                <w:color w:val="auto"/>
              </w:rPr>
              <w:t>Internal</w:t>
            </w:r>
          </w:p>
        </w:tc>
        <w:tc>
          <w:tcPr>
            <w:tcW w:w="1480" w:type="dxa"/>
            <w:vAlign w:val="bottom"/>
          </w:tcPr>
          <w:p>
            <w:pPr>
              <w:ind w:left="380"/>
              <w:spacing w:after="0"/>
              <w:rPr>
                <w:sz w:val="20"/>
                <w:szCs w:val="20"/>
                <w:color w:val="auto"/>
              </w:rPr>
            </w:pPr>
            <w:r>
              <w:rPr>
                <w:rFonts w:ascii="Arial" w:cs="Arial" w:eastAsia="Arial" w:hAnsi="Arial"/>
                <w:sz w:val="18"/>
                <w:szCs w:val="18"/>
                <w:b w:val="1"/>
                <w:bCs w:val="1"/>
                <w:color w:val="auto"/>
              </w:rPr>
              <w:t>External</w:t>
            </w:r>
          </w:p>
        </w:tc>
        <w:tc>
          <w:tcPr>
            <w:tcW w:w="340" w:type="dxa"/>
            <w:vAlign w:val="bottom"/>
          </w:tcPr>
          <w:p>
            <w:pPr>
              <w:spacing w:after="0"/>
              <w:rPr>
                <w:sz w:val="19"/>
                <w:szCs w:val="19"/>
                <w:color w:val="auto"/>
              </w:rPr>
            </w:pPr>
          </w:p>
        </w:tc>
        <w:tc>
          <w:tcPr>
            <w:tcW w:w="7880" w:type="dxa"/>
            <w:vAlign w:val="bottom"/>
          </w:tcPr>
          <w:p>
            <w:pPr>
              <w:spacing w:after="0"/>
              <w:rPr>
                <w:sz w:val="19"/>
                <w:szCs w:val="19"/>
                <w:color w:val="auto"/>
              </w:rPr>
            </w:pPr>
          </w:p>
        </w:tc>
      </w:tr>
      <w:tr>
        <w:trPr>
          <w:trHeight w:val="270"/>
        </w:trPr>
        <w:tc>
          <w:tcPr>
            <w:tcW w:w="1720" w:type="dxa"/>
            <w:vAlign w:val="bottom"/>
            <w:gridSpan w:val="2"/>
          </w:tcPr>
          <w:p>
            <w:pPr>
              <w:ind w:left="500"/>
              <w:spacing w:after="0"/>
              <w:rPr>
                <w:sz w:val="20"/>
                <w:szCs w:val="20"/>
                <w:color w:val="auto"/>
              </w:rPr>
            </w:pPr>
            <w:r>
              <w:rPr>
                <w:rFonts w:ascii="Arial" w:cs="Arial" w:eastAsia="Arial" w:hAnsi="Arial"/>
                <w:sz w:val="18"/>
                <w:szCs w:val="18"/>
                <w:b w:val="1"/>
                <w:bCs w:val="1"/>
                <w:color w:val="auto"/>
              </w:rPr>
              <w:t>Rating</w:t>
            </w:r>
          </w:p>
        </w:tc>
        <w:tc>
          <w:tcPr>
            <w:tcW w:w="1480" w:type="dxa"/>
            <w:vAlign w:val="bottom"/>
          </w:tcPr>
          <w:p>
            <w:pPr>
              <w:jc w:val="center"/>
              <w:spacing w:after="0" w:line="269" w:lineRule="exact"/>
              <w:rPr>
                <w:sz w:val="20"/>
                <w:szCs w:val="20"/>
                <w:color w:val="auto"/>
              </w:rPr>
            </w:pPr>
            <w:r>
              <w:rPr>
                <w:rFonts w:ascii="Arial" w:cs="Arial" w:eastAsia="Arial" w:hAnsi="Arial"/>
                <w:sz w:val="18"/>
                <w:szCs w:val="18"/>
                <w:b w:val="1"/>
                <w:bCs w:val="1"/>
                <w:color w:val="auto"/>
                <w:w w:val="86"/>
              </w:rPr>
              <w:t xml:space="preserve">Rating </w:t>
            </w:r>
            <w:r>
              <w:rPr>
                <w:rFonts w:ascii="Arial" w:cs="Arial" w:eastAsia="Arial" w:hAnsi="Arial"/>
                <w:sz w:val="30"/>
                <w:szCs w:val="30"/>
                <w:b w:val="1"/>
                <w:bCs w:val="1"/>
                <w:color w:val="auto"/>
                <w:w w:val="86"/>
                <w:vertAlign w:val="superscript"/>
              </w:rPr>
              <w:t>(1)</w:t>
            </w:r>
          </w:p>
        </w:tc>
        <w:tc>
          <w:tcPr>
            <w:tcW w:w="340" w:type="dxa"/>
            <w:vAlign w:val="bottom"/>
          </w:tcPr>
          <w:p>
            <w:pPr>
              <w:spacing w:after="0"/>
              <w:rPr>
                <w:sz w:val="23"/>
                <w:szCs w:val="23"/>
                <w:color w:val="auto"/>
              </w:rPr>
            </w:pPr>
          </w:p>
        </w:tc>
        <w:tc>
          <w:tcPr>
            <w:tcW w:w="7880" w:type="dxa"/>
            <w:vAlign w:val="bottom"/>
          </w:tcPr>
          <w:p>
            <w:pPr>
              <w:ind w:left="3500"/>
              <w:spacing w:after="0"/>
              <w:rPr>
                <w:sz w:val="20"/>
                <w:szCs w:val="20"/>
                <w:color w:val="auto"/>
              </w:rPr>
            </w:pPr>
            <w:r>
              <w:rPr>
                <w:rFonts w:ascii="Arial" w:cs="Arial" w:eastAsia="Arial" w:hAnsi="Arial"/>
                <w:sz w:val="18"/>
                <w:szCs w:val="18"/>
                <w:b w:val="1"/>
                <w:bCs w:val="1"/>
                <w:color w:val="auto"/>
              </w:rPr>
              <w:t>Description</w:t>
            </w:r>
          </w:p>
        </w:tc>
      </w:tr>
      <w:tr>
        <w:trPr>
          <w:trHeight w:val="210"/>
        </w:trPr>
        <w:tc>
          <w:tcPr>
            <w:tcW w:w="1500" w:type="dxa"/>
            <w:vAlign w:val="bottom"/>
            <w:tcBorders>
              <w:top w:val="single" w:sz="8" w:color="auto"/>
            </w:tcBorders>
            <w:shd w:val="clear" w:color="auto" w:fill="CCEEFF"/>
          </w:tcPr>
          <w:p>
            <w:pPr>
              <w:ind w:left="540"/>
              <w:spacing w:after="0"/>
              <w:rPr>
                <w:sz w:val="20"/>
                <w:szCs w:val="20"/>
                <w:color w:val="auto"/>
              </w:rPr>
            </w:pPr>
            <w:r>
              <w:rPr>
                <w:rFonts w:ascii="Arial" w:cs="Arial" w:eastAsia="Arial" w:hAnsi="Arial"/>
                <w:sz w:val="18"/>
                <w:szCs w:val="18"/>
                <w:color w:val="auto"/>
              </w:rPr>
              <w:t>1 to 4</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Aaa – Ba1</w:t>
            </w:r>
          </w:p>
        </w:tc>
        <w:tc>
          <w:tcPr>
            <w:tcW w:w="340" w:type="dxa"/>
            <w:vAlign w:val="bottom"/>
            <w:tcBorders>
              <w:top w:val="single" w:sz="8" w:color="CCEEFF"/>
            </w:tcBorders>
            <w:shd w:val="clear" w:color="auto" w:fill="CCEEFF"/>
          </w:tcPr>
          <w:p>
            <w:pPr>
              <w:spacing w:after="0"/>
              <w:rPr>
                <w:sz w:val="18"/>
                <w:szCs w:val="18"/>
                <w:color w:val="auto"/>
              </w:rPr>
            </w:pPr>
          </w:p>
        </w:tc>
        <w:tc>
          <w:tcPr>
            <w:tcW w:w="78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Clients with payment ability to satisfy their financial commitments.</w:t>
            </w:r>
          </w:p>
        </w:tc>
      </w:tr>
      <w:tr>
        <w:trPr>
          <w:trHeight w:val="216"/>
        </w:trPr>
        <w:tc>
          <w:tcPr>
            <w:tcW w:w="1720" w:type="dxa"/>
            <w:vAlign w:val="bottom"/>
            <w:gridSpan w:val="2"/>
          </w:tcPr>
          <w:p>
            <w:pPr>
              <w:ind w:left="500"/>
              <w:spacing w:after="0"/>
              <w:rPr>
                <w:sz w:val="20"/>
                <w:szCs w:val="20"/>
                <w:color w:val="auto"/>
              </w:rPr>
            </w:pPr>
            <w:r>
              <w:rPr>
                <w:rFonts w:ascii="Arial" w:cs="Arial" w:eastAsia="Arial" w:hAnsi="Arial"/>
                <w:sz w:val="18"/>
                <w:szCs w:val="18"/>
                <w:color w:val="auto"/>
              </w:rPr>
              <w:t>5 to 6</w:t>
            </w:r>
          </w:p>
        </w:tc>
        <w:tc>
          <w:tcPr>
            <w:tcW w:w="1480" w:type="dxa"/>
            <w:vAlign w:val="bottom"/>
          </w:tcPr>
          <w:p>
            <w:pPr>
              <w:jc w:val="center"/>
              <w:spacing w:after="0"/>
              <w:rPr>
                <w:sz w:val="20"/>
                <w:szCs w:val="20"/>
                <w:color w:val="auto"/>
              </w:rPr>
            </w:pPr>
            <w:r>
              <w:rPr>
                <w:rFonts w:ascii="Arial" w:cs="Arial" w:eastAsia="Arial" w:hAnsi="Arial"/>
                <w:sz w:val="18"/>
                <w:szCs w:val="18"/>
                <w:color w:val="auto"/>
                <w:w w:val="91"/>
              </w:rPr>
              <w:t>Ba2 – B3</w:t>
            </w:r>
          </w:p>
        </w:tc>
        <w:tc>
          <w:tcPr>
            <w:tcW w:w="8220" w:type="dxa"/>
            <w:vAlign w:val="bottom"/>
            <w:gridSpan w:val="2"/>
          </w:tcPr>
          <w:p>
            <w:pPr>
              <w:ind w:left="340"/>
              <w:spacing w:after="0"/>
              <w:rPr>
                <w:sz w:val="20"/>
                <w:szCs w:val="20"/>
                <w:color w:val="auto"/>
              </w:rPr>
            </w:pPr>
            <w:r>
              <w:rPr>
                <w:rFonts w:ascii="Arial" w:cs="Arial" w:eastAsia="Arial" w:hAnsi="Arial"/>
                <w:sz w:val="18"/>
                <w:szCs w:val="18"/>
                <w:color w:val="auto"/>
              </w:rPr>
              <w:t>Clients with payment ability to satisfy their financial commitments, but with more frequent reviews.</w:t>
            </w:r>
          </w:p>
        </w:tc>
      </w:tr>
      <w:tr>
        <w:trPr>
          <w:trHeight w:val="202"/>
        </w:trPr>
        <w:tc>
          <w:tcPr>
            <w:tcW w:w="1500" w:type="dxa"/>
            <w:vAlign w:val="bottom"/>
            <w:shd w:val="clear" w:color="auto" w:fill="CCEEFF"/>
          </w:tcPr>
          <w:p>
            <w:pPr>
              <w:jc w:val="center"/>
              <w:spacing w:after="0" w:line="201" w:lineRule="exact"/>
              <w:rPr>
                <w:sz w:val="20"/>
                <w:szCs w:val="20"/>
                <w:color w:val="auto"/>
              </w:rPr>
            </w:pPr>
            <w:r>
              <w:rPr>
                <w:rFonts w:ascii="Arial" w:cs="Arial" w:eastAsia="Arial" w:hAnsi="Arial"/>
                <w:sz w:val="18"/>
                <w:szCs w:val="18"/>
                <w:color w:val="auto"/>
                <w:w w:val="99"/>
              </w:rPr>
              <w:t>7</w:t>
            </w:r>
          </w:p>
        </w:tc>
        <w:tc>
          <w:tcPr>
            <w:tcW w:w="220" w:type="dxa"/>
            <w:vAlign w:val="bottom"/>
            <w:shd w:val="clear" w:color="auto" w:fill="CCEEFF"/>
          </w:tcPr>
          <w:p>
            <w:pPr>
              <w:spacing w:after="0"/>
              <w:rPr>
                <w:sz w:val="17"/>
                <w:szCs w:val="17"/>
                <w:color w:val="auto"/>
              </w:rPr>
            </w:pPr>
          </w:p>
        </w:tc>
        <w:tc>
          <w:tcPr>
            <w:tcW w:w="1480" w:type="dxa"/>
            <w:vAlign w:val="bottom"/>
            <w:shd w:val="clear" w:color="auto" w:fill="CCEEFF"/>
          </w:tcPr>
          <w:p>
            <w:pPr>
              <w:jc w:val="center"/>
              <w:spacing w:after="0" w:line="201" w:lineRule="exact"/>
              <w:rPr>
                <w:sz w:val="20"/>
                <w:szCs w:val="20"/>
                <w:color w:val="auto"/>
              </w:rPr>
            </w:pPr>
            <w:r>
              <w:rPr>
                <w:rFonts w:ascii="Arial" w:cs="Arial" w:eastAsia="Arial" w:hAnsi="Arial"/>
                <w:sz w:val="18"/>
                <w:szCs w:val="18"/>
                <w:color w:val="auto"/>
                <w:w w:val="88"/>
              </w:rPr>
              <w:t>Caa1</w:t>
            </w:r>
          </w:p>
        </w:tc>
        <w:tc>
          <w:tcPr>
            <w:tcW w:w="8220" w:type="dxa"/>
            <w:vAlign w:val="bottom"/>
            <w:gridSpan w:val="2"/>
            <w:shd w:val="clear" w:color="auto" w:fill="CCEEFF"/>
          </w:tcPr>
          <w:p>
            <w:pPr>
              <w:ind w:left="340"/>
              <w:spacing w:after="0" w:line="201" w:lineRule="exact"/>
              <w:rPr>
                <w:sz w:val="20"/>
                <w:szCs w:val="20"/>
                <w:color w:val="auto"/>
              </w:rPr>
            </w:pPr>
            <w:r>
              <w:rPr>
                <w:rFonts w:ascii="Arial" w:cs="Arial" w:eastAsia="Arial" w:hAnsi="Arial"/>
                <w:sz w:val="18"/>
                <w:szCs w:val="18"/>
                <w:color w:val="auto"/>
                <w:w w:val="95"/>
              </w:rPr>
              <w:t>Clients exposed to systemic risks specific to the country or the industry in which they are located, facing</w:t>
            </w:r>
          </w:p>
        </w:tc>
      </w:tr>
      <w:tr>
        <w:trPr>
          <w:trHeight w:val="230"/>
        </w:trPr>
        <w:tc>
          <w:tcPr>
            <w:tcW w:w="15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8220" w:type="dxa"/>
            <w:vAlign w:val="bottom"/>
            <w:gridSpan w:val="2"/>
            <w:shd w:val="clear" w:color="auto" w:fill="CCEEFF"/>
          </w:tcPr>
          <w:p>
            <w:pPr>
              <w:ind w:left="340"/>
              <w:spacing w:after="0"/>
              <w:rPr>
                <w:sz w:val="20"/>
                <w:szCs w:val="20"/>
                <w:color w:val="auto"/>
              </w:rPr>
            </w:pPr>
            <w:r>
              <w:rPr>
                <w:rFonts w:ascii="Arial" w:cs="Arial" w:eastAsia="Arial" w:hAnsi="Arial"/>
                <w:sz w:val="18"/>
                <w:szCs w:val="18"/>
                <w:color w:val="auto"/>
                <w:w w:val="92"/>
              </w:rPr>
              <w:t>adverse situations in their operation or financial condition. At this level, access to new funding is uncertain.</w:t>
            </w:r>
          </w:p>
        </w:tc>
      </w:tr>
      <w:tr>
        <w:trPr>
          <w:trHeight w:val="202"/>
        </w:trPr>
        <w:tc>
          <w:tcPr>
            <w:tcW w:w="1500" w:type="dxa"/>
            <w:vAlign w:val="bottom"/>
          </w:tcPr>
          <w:p>
            <w:pPr>
              <w:jc w:val="center"/>
              <w:spacing w:after="0" w:line="201" w:lineRule="exact"/>
              <w:rPr>
                <w:sz w:val="20"/>
                <w:szCs w:val="20"/>
                <w:color w:val="auto"/>
              </w:rPr>
            </w:pPr>
            <w:r>
              <w:rPr>
                <w:rFonts w:ascii="Arial" w:cs="Arial" w:eastAsia="Arial" w:hAnsi="Arial"/>
                <w:sz w:val="18"/>
                <w:szCs w:val="18"/>
                <w:color w:val="auto"/>
                <w:w w:val="99"/>
              </w:rPr>
              <w:t>8</w:t>
            </w:r>
          </w:p>
        </w:tc>
        <w:tc>
          <w:tcPr>
            <w:tcW w:w="220" w:type="dxa"/>
            <w:vAlign w:val="bottom"/>
          </w:tcPr>
          <w:p>
            <w:pPr>
              <w:spacing w:after="0"/>
              <w:rPr>
                <w:sz w:val="17"/>
                <w:szCs w:val="17"/>
                <w:color w:val="auto"/>
              </w:rPr>
            </w:pPr>
          </w:p>
        </w:tc>
        <w:tc>
          <w:tcPr>
            <w:tcW w:w="1480" w:type="dxa"/>
            <w:vAlign w:val="bottom"/>
          </w:tcPr>
          <w:p>
            <w:pPr>
              <w:jc w:val="center"/>
              <w:spacing w:after="0" w:line="201" w:lineRule="exact"/>
              <w:rPr>
                <w:sz w:val="20"/>
                <w:szCs w:val="20"/>
                <w:color w:val="auto"/>
              </w:rPr>
            </w:pPr>
            <w:r>
              <w:rPr>
                <w:rFonts w:ascii="Arial" w:cs="Arial" w:eastAsia="Arial" w:hAnsi="Arial"/>
                <w:sz w:val="18"/>
                <w:szCs w:val="18"/>
                <w:color w:val="auto"/>
                <w:w w:val="86"/>
              </w:rPr>
              <w:t>Caa2 – Caa3</w:t>
            </w:r>
          </w:p>
        </w:tc>
        <w:tc>
          <w:tcPr>
            <w:tcW w:w="8220" w:type="dxa"/>
            <w:vAlign w:val="bottom"/>
            <w:gridSpan w:val="2"/>
          </w:tcPr>
          <w:p>
            <w:pPr>
              <w:ind w:left="340"/>
              <w:spacing w:after="0" w:line="201" w:lineRule="exact"/>
              <w:rPr>
                <w:sz w:val="20"/>
                <w:szCs w:val="20"/>
                <w:color w:val="auto"/>
              </w:rPr>
            </w:pPr>
            <w:r>
              <w:rPr>
                <w:rFonts w:ascii="Arial" w:cs="Arial" w:eastAsia="Arial" w:hAnsi="Arial"/>
                <w:sz w:val="18"/>
                <w:szCs w:val="18"/>
                <w:color w:val="auto"/>
                <w:w w:val="93"/>
              </w:rPr>
              <w:t>Clients whose primary source of payment (operating cash flow) is inadequate, and who show evidence of</w:t>
            </w:r>
          </w:p>
        </w:tc>
      </w:tr>
      <w:tr>
        <w:trPr>
          <w:trHeight w:val="216"/>
        </w:trPr>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8220" w:type="dxa"/>
            <w:vAlign w:val="bottom"/>
            <w:gridSpan w:val="2"/>
          </w:tcPr>
          <w:p>
            <w:pPr>
              <w:ind w:left="340"/>
              <w:spacing w:after="0"/>
              <w:rPr>
                <w:sz w:val="20"/>
                <w:szCs w:val="20"/>
                <w:color w:val="auto"/>
              </w:rPr>
            </w:pPr>
            <w:r>
              <w:rPr>
                <w:rFonts w:ascii="Arial" w:cs="Arial" w:eastAsia="Arial" w:hAnsi="Arial"/>
                <w:sz w:val="18"/>
                <w:szCs w:val="18"/>
                <w:color w:val="auto"/>
                <w:w w:val="96"/>
              </w:rPr>
              <w:t>deterioration in their working capital that does not allow them to satisfy payments on the agreed terms,</w:t>
            </w:r>
          </w:p>
        </w:tc>
      </w:tr>
      <w:tr>
        <w:trPr>
          <w:trHeight w:val="230"/>
        </w:trPr>
        <w:tc>
          <w:tcPr>
            <w:tcW w:w="15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8220" w:type="dxa"/>
            <w:vAlign w:val="bottom"/>
            <w:gridSpan w:val="2"/>
          </w:tcPr>
          <w:p>
            <w:pPr>
              <w:ind w:left="340"/>
              <w:spacing w:after="0"/>
              <w:rPr>
                <w:sz w:val="20"/>
                <w:szCs w:val="20"/>
                <w:color w:val="auto"/>
              </w:rPr>
            </w:pPr>
            <w:r>
              <w:rPr>
                <w:rFonts w:ascii="Arial" w:cs="Arial" w:eastAsia="Arial" w:hAnsi="Arial"/>
                <w:sz w:val="18"/>
                <w:szCs w:val="18"/>
                <w:color w:val="auto"/>
              </w:rPr>
              <w:t>endangering recovery of unpaid balances.</w:t>
            </w:r>
          </w:p>
        </w:tc>
      </w:tr>
      <w:tr>
        <w:trPr>
          <w:trHeight w:val="202"/>
        </w:trPr>
        <w:tc>
          <w:tcPr>
            <w:tcW w:w="1500" w:type="dxa"/>
            <w:vAlign w:val="bottom"/>
            <w:shd w:val="clear" w:color="auto" w:fill="CCEEFF"/>
          </w:tcPr>
          <w:p>
            <w:pPr>
              <w:jc w:val="center"/>
              <w:spacing w:after="0" w:line="201" w:lineRule="exact"/>
              <w:rPr>
                <w:sz w:val="20"/>
                <w:szCs w:val="20"/>
                <w:color w:val="auto"/>
              </w:rPr>
            </w:pPr>
            <w:r>
              <w:rPr>
                <w:rFonts w:ascii="Arial" w:cs="Arial" w:eastAsia="Arial" w:hAnsi="Arial"/>
                <w:sz w:val="18"/>
                <w:szCs w:val="18"/>
                <w:color w:val="auto"/>
                <w:w w:val="99"/>
              </w:rPr>
              <w:t>9</w:t>
            </w:r>
          </w:p>
        </w:tc>
        <w:tc>
          <w:tcPr>
            <w:tcW w:w="220" w:type="dxa"/>
            <w:vAlign w:val="bottom"/>
            <w:shd w:val="clear" w:color="auto" w:fill="CCEEFF"/>
          </w:tcPr>
          <w:p>
            <w:pPr>
              <w:spacing w:after="0"/>
              <w:rPr>
                <w:sz w:val="17"/>
                <w:szCs w:val="17"/>
                <w:color w:val="auto"/>
              </w:rPr>
            </w:pPr>
          </w:p>
        </w:tc>
        <w:tc>
          <w:tcPr>
            <w:tcW w:w="1480" w:type="dxa"/>
            <w:vAlign w:val="bottom"/>
            <w:shd w:val="clear" w:color="auto" w:fill="CCEEFF"/>
          </w:tcPr>
          <w:p>
            <w:pPr>
              <w:jc w:val="center"/>
              <w:spacing w:after="0" w:line="201" w:lineRule="exact"/>
              <w:rPr>
                <w:sz w:val="20"/>
                <w:szCs w:val="20"/>
                <w:color w:val="auto"/>
              </w:rPr>
            </w:pPr>
            <w:r>
              <w:rPr>
                <w:rFonts w:ascii="Arial" w:cs="Arial" w:eastAsia="Arial" w:hAnsi="Arial"/>
                <w:sz w:val="18"/>
                <w:szCs w:val="18"/>
                <w:color w:val="auto"/>
                <w:w w:val="86"/>
              </w:rPr>
              <w:t>Ca</w:t>
            </w:r>
          </w:p>
        </w:tc>
        <w:tc>
          <w:tcPr>
            <w:tcW w:w="8220" w:type="dxa"/>
            <w:vAlign w:val="bottom"/>
            <w:gridSpan w:val="2"/>
            <w:shd w:val="clear" w:color="auto" w:fill="CCEEFF"/>
          </w:tcPr>
          <w:p>
            <w:pPr>
              <w:ind w:left="340"/>
              <w:spacing w:after="0" w:line="201" w:lineRule="exact"/>
              <w:rPr>
                <w:sz w:val="20"/>
                <w:szCs w:val="20"/>
                <w:color w:val="auto"/>
              </w:rPr>
            </w:pPr>
            <w:r>
              <w:rPr>
                <w:rFonts w:ascii="Arial" w:cs="Arial" w:eastAsia="Arial" w:hAnsi="Arial"/>
                <w:sz w:val="18"/>
                <w:szCs w:val="18"/>
                <w:color w:val="auto"/>
                <w:w w:val="95"/>
              </w:rPr>
              <w:t>Clients whose operating cash flow continuously shows insufficiency to service the debt on the originally</w:t>
            </w:r>
          </w:p>
        </w:tc>
      </w:tr>
      <w:tr>
        <w:trPr>
          <w:trHeight w:val="216"/>
        </w:trPr>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8220" w:type="dxa"/>
            <w:vAlign w:val="bottom"/>
            <w:gridSpan w:val="2"/>
            <w:shd w:val="clear" w:color="auto" w:fill="CCEEFF"/>
          </w:tcPr>
          <w:p>
            <w:pPr>
              <w:ind w:left="340"/>
              <w:spacing w:after="0"/>
              <w:rPr>
                <w:sz w:val="20"/>
                <w:szCs w:val="20"/>
                <w:color w:val="auto"/>
              </w:rPr>
            </w:pPr>
            <w:r>
              <w:rPr>
                <w:rFonts w:ascii="Arial" w:cs="Arial" w:eastAsia="Arial" w:hAnsi="Arial"/>
                <w:sz w:val="18"/>
                <w:szCs w:val="18"/>
                <w:color w:val="auto"/>
                <w:w w:val="92"/>
              </w:rPr>
              <w:t>agreed terms.  Due to the fact that the borrower presents an impaired financial and economic situation, the</w:t>
            </w:r>
          </w:p>
        </w:tc>
      </w:tr>
      <w:tr>
        <w:trPr>
          <w:trHeight w:val="230"/>
        </w:trPr>
        <w:tc>
          <w:tcPr>
            <w:tcW w:w="15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8220" w:type="dxa"/>
            <w:vAlign w:val="bottom"/>
            <w:gridSpan w:val="2"/>
            <w:shd w:val="clear" w:color="auto" w:fill="CCEEFF"/>
          </w:tcPr>
          <w:p>
            <w:pPr>
              <w:ind w:left="340"/>
              <w:spacing w:after="0"/>
              <w:rPr>
                <w:sz w:val="20"/>
                <w:szCs w:val="20"/>
                <w:color w:val="auto"/>
              </w:rPr>
            </w:pPr>
            <w:r>
              <w:rPr>
                <w:rFonts w:ascii="Arial" w:cs="Arial" w:eastAsia="Arial" w:hAnsi="Arial"/>
                <w:sz w:val="18"/>
                <w:szCs w:val="18"/>
                <w:color w:val="auto"/>
              </w:rPr>
              <w:t>likelihood of recovery is low.</w:t>
            </w:r>
          </w:p>
        </w:tc>
      </w:tr>
      <w:tr>
        <w:trPr>
          <w:trHeight w:val="202"/>
        </w:trPr>
        <w:tc>
          <w:tcPr>
            <w:tcW w:w="1500" w:type="dxa"/>
            <w:vAlign w:val="bottom"/>
          </w:tcPr>
          <w:p>
            <w:pPr>
              <w:jc w:val="center"/>
              <w:spacing w:after="0" w:line="201" w:lineRule="exact"/>
              <w:rPr>
                <w:sz w:val="20"/>
                <w:szCs w:val="20"/>
                <w:color w:val="auto"/>
              </w:rPr>
            </w:pPr>
            <w:r>
              <w:rPr>
                <w:rFonts w:ascii="Arial" w:cs="Arial" w:eastAsia="Arial" w:hAnsi="Arial"/>
                <w:sz w:val="18"/>
                <w:szCs w:val="18"/>
                <w:color w:val="auto"/>
                <w:w w:val="89"/>
              </w:rPr>
              <w:t>10</w:t>
            </w:r>
          </w:p>
        </w:tc>
        <w:tc>
          <w:tcPr>
            <w:tcW w:w="220" w:type="dxa"/>
            <w:vAlign w:val="bottom"/>
          </w:tcPr>
          <w:p>
            <w:pPr>
              <w:spacing w:after="0"/>
              <w:rPr>
                <w:sz w:val="17"/>
                <w:szCs w:val="17"/>
                <w:color w:val="auto"/>
              </w:rPr>
            </w:pPr>
          </w:p>
        </w:tc>
        <w:tc>
          <w:tcPr>
            <w:tcW w:w="1480" w:type="dxa"/>
            <w:vAlign w:val="bottom"/>
          </w:tcPr>
          <w:p>
            <w:pPr>
              <w:jc w:val="center"/>
              <w:spacing w:after="0" w:line="201" w:lineRule="exact"/>
              <w:rPr>
                <w:sz w:val="20"/>
                <w:szCs w:val="20"/>
                <w:color w:val="auto"/>
              </w:rPr>
            </w:pPr>
            <w:r>
              <w:rPr>
                <w:rFonts w:ascii="Arial" w:cs="Arial" w:eastAsia="Arial" w:hAnsi="Arial"/>
                <w:sz w:val="18"/>
                <w:szCs w:val="18"/>
                <w:color w:val="auto"/>
                <w:w w:val="91"/>
              </w:rPr>
              <w:t>C</w:t>
            </w:r>
          </w:p>
        </w:tc>
        <w:tc>
          <w:tcPr>
            <w:tcW w:w="8220" w:type="dxa"/>
            <w:vAlign w:val="bottom"/>
            <w:gridSpan w:val="2"/>
          </w:tcPr>
          <w:p>
            <w:pPr>
              <w:ind w:left="340"/>
              <w:spacing w:after="0" w:line="201" w:lineRule="exact"/>
              <w:rPr>
                <w:sz w:val="20"/>
                <w:szCs w:val="20"/>
                <w:color w:val="auto"/>
              </w:rPr>
            </w:pPr>
            <w:r>
              <w:rPr>
                <w:rFonts w:ascii="Arial" w:cs="Arial" w:eastAsia="Arial" w:hAnsi="Arial"/>
                <w:sz w:val="18"/>
                <w:szCs w:val="18"/>
                <w:color w:val="auto"/>
                <w:w w:val="91"/>
              </w:rPr>
              <w:t>Clients with operating cash flow that does not cover their costs, are in suspension of payments, presumably</w:t>
            </w:r>
          </w:p>
        </w:tc>
      </w:tr>
      <w:tr>
        <w:trPr>
          <w:trHeight w:val="216"/>
        </w:trPr>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8220" w:type="dxa"/>
            <w:vAlign w:val="bottom"/>
            <w:gridSpan w:val="2"/>
          </w:tcPr>
          <w:p>
            <w:pPr>
              <w:ind w:left="340"/>
              <w:spacing w:after="0"/>
              <w:rPr>
                <w:sz w:val="20"/>
                <w:szCs w:val="20"/>
                <w:color w:val="auto"/>
              </w:rPr>
            </w:pPr>
            <w:r>
              <w:rPr>
                <w:rFonts w:ascii="Arial" w:cs="Arial" w:eastAsia="Arial" w:hAnsi="Arial"/>
                <w:sz w:val="18"/>
                <w:szCs w:val="18"/>
                <w:color w:val="auto"/>
                <w:w w:val="95"/>
              </w:rPr>
              <w:t>will also have difficulties fulfilling possible restructuring agreements, are in a state of insolvency, or have</w:t>
            </w:r>
          </w:p>
        </w:tc>
      </w:tr>
      <w:tr>
        <w:trPr>
          <w:trHeight w:val="230"/>
        </w:trPr>
        <w:tc>
          <w:tcPr>
            <w:tcW w:w="15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8220" w:type="dxa"/>
            <w:vAlign w:val="bottom"/>
            <w:gridSpan w:val="2"/>
          </w:tcPr>
          <w:p>
            <w:pPr>
              <w:ind w:left="340"/>
              <w:spacing w:after="0"/>
              <w:rPr>
                <w:sz w:val="20"/>
                <w:szCs w:val="20"/>
                <w:color w:val="auto"/>
              </w:rPr>
            </w:pPr>
            <w:r>
              <w:rPr>
                <w:rFonts w:ascii="Arial" w:cs="Arial" w:eastAsia="Arial" w:hAnsi="Arial"/>
                <w:sz w:val="18"/>
                <w:szCs w:val="18"/>
                <w:color w:val="auto"/>
              </w:rPr>
              <w:t>filed for bankruptcy, among others.</w:t>
            </w:r>
          </w:p>
        </w:tc>
      </w:tr>
    </w:tbl>
    <w:p>
      <w:pPr>
        <w:ind w:left="220" w:hanging="212"/>
        <w:spacing w:after="0" w:line="205" w:lineRule="auto"/>
        <w:tabs>
          <w:tab w:leader="none" w:pos="220" w:val="left"/>
        </w:tabs>
        <w:numPr>
          <w:ilvl w:val="0"/>
          <w:numId w:val="37"/>
        </w:numPr>
        <w:rPr>
          <w:rFonts w:ascii="Arial" w:cs="Arial" w:eastAsia="Arial" w:hAnsi="Arial"/>
          <w:sz w:val="26"/>
          <w:szCs w:val="26"/>
          <w:color w:val="auto"/>
          <w:vertAlign w:val="superscript"/>
        </w:rPr>
      </w:pPr>
      <w:r>
        <w:rPr>
          <w:rFonts w:ascii="Arial" w:cs="Arial" w:eastAsia="Arial" w:hAnsi="Arial"/>
          <w:sz w:val="16"/>
          <w:szCs w:val="16"/>
          <w:color w:val="auto"/>
        </w:rPr>
        <w:t>External rating in accordance to Moody’s Investors Service.</w:t>
      </w:r>
    </w:p>
    <w:p>
      <w:pPr>
        <w:spacing w:after="0" w:line="203" w:lineRule="exact"/>
        <w:rPr>
          <w:sz w:val="20"/>
          <w:szCs w:val="20"/>
          <w:color w:val="auto"/>
        </w:rPr>
      </w:pPr>
    </w:p>
    <w:p>
      <w:pPr>
        <w:spacing w:after="0"/>
        <w:rPr>
          <w:sz w:val="20"/>
          <w:szCs w:val="20"/>
          <w:color w:val="auto"/>
        </w:rPr>
      </w:pPr>
      <w:r>
        <w:rPr>
          <w:rFonts w:ascii="Arial" w:cs="Arial" w:eastAsia="Arial" w:hAnsi="Arial"/>
          <w:sz w:val="18"/>
          <w:szCs w:val="18"/>
          <w:color w:val="auto"/>
        </w:rPr>
        <w:t>In order to periodically monitor the quality of the portfolio, clients are reviewed every three to 12 months, depending on the client’s risk rating.</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of Financial Assets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assets that may be subject to impairment consist mainly of loans and investment securities. For more information on impairment of loans at amortized cost, see Item 18, “Financial Statements”, Notes 3.5, 3.22 and 5.5. For information on impairment of investment securities, see Item 18, “Financial Statements,” notes 3.3.10, 3.22, 5.2 and 5.3.</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58" w:name="page59"/>
    <w:bookmarkEnd w:id="58"/>
    <w:p>
      <w:pPr>
        <w:spacing w:after="0"/>
        <w:rPr>
          <w:sz w:val="20"/>
          <w:szCs w:val="20"/>
          <w:color w:val="auto"/>
        </w:rPr>
      </w:pPr>
      <w:r>
        <w:rPr>
          <w:rFonts w:ascii="Arial" w:cs="Arial" w:eastAsia="Arial" w:hAnsi="Arial"/>
          <w:sz w:val="18"/>
          <w:szCs w:val="18"/>
          <w:color w:val="auto"/>
        </w:rPr>
        <w:t>The Bank considers a financial asset to be non-performing when it presents any of the following characteristics:</w:t>
      </w:r>
    </w:p>
    <w:p>
      <w:pPr>
        <w:spacing w:after="0" w:line="23" w:lineRule="exact"/>
        <w:rPr>
          <w:sz w:val="20"/>
          <w:szCs w:val="20"/>
          <w:color w:val="auto"/>
        </w:rPr>
      </w:pPr>
    </w:p>
    <w:p>
      <w:pPr>
        <w:ind w:left="980" w:hanging="324"/>
        <w:spacing w:after="0" w:line="250" w:lineRule="auto"/>
        <w:tabs>
          <w:tab w:leader="none" w:pos="980" w:val="left"/>
        </w:tabs>
        <w:numPr>
          <w:ilvl w:val="0"/>
          <w:numId w:val="38"/>
        </w:numPr>
        <w:rPr>
          <w:rFonts w:ascii="Arial" w:cs="Arial" w:eastAsia="Arial" w:hAnsi="Arial"/>
          <w:sz w:val="18"/>
          <w:szCs w:val="18"/>
          <w:color w:val="auto"/>
        </w:rPr>
      </w:pPr>
      <w:r>
        <w:rPr>
          <w:rFonts w:ascii="Arial" w:cs="Arial" w:eastAsia="Arial" w:hAnsi="Arial"/>
          <w:sz w:val="18"/>
          <w:szCs w:val="18"/>
          <w:color w:val="auto"/>
        </w:rPr>
        <w:t>The debtor is past due for more than 90 days in any of its obligations to the Bank, either in the loan principal or interest; or when the principal balance with one single balloon payment was past due for more than 30 days;</w:t>
      </w:r>
    </w:p>
    <w:p>
      <w:pPr>
        <w:ind w:left="980" w:hanging="324"/>
        <w:spacing w:after="0" w:line="261" w:lineRule="auto"/>
        <w:tabs>
          <w:tab w:leader="none" w:pos="980" w:val="left"/>
        </w:tabs>
        <w:numPr>
          <w:ilvl w:val="0"/>
          <w:numId w:val="38"/>
        </w:numPr>
        <w:rPr>
          <w:rFonts w:ascii="Arial" w:cs="Arial" w:eastAsia="Arial" w:hAnsi="Arial"/>
          <w:sz w:val="18"/>
          <w:szCs w:val="18"/>
          <w:color w:val="auto"/>
        </w:rPr>
      </w:pPr>
      <w:r>
        <w:rPr>
          <w:rFonts w:ascii="Arial" w:cs="Arial" w:eastAsia="Arial" w:hAnsi="Arial"/>
          <w:sz w:val="18"/>
          <w:szCs w:val="18"/>
          <w:color w:val="auto"/>
        </w:rPr>
        <w:t>Deterioration in the financial condition of the client, or the existence of other factors with the administration to estimate the possibility that the balance of principal and interest on customer loans is not fully recovered.</w:t>
      </w:r>
    </w:p>
    <w:p>
      <w:pPr>
        <w:spacing w:after="0" w:line="184"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above presumptions regarding past due loans may be rebuttable if the Bank has reasonable and supportable information that is available without undue cost or effort, that demonstrates that the credit risk has not increased significantly since initial recognition even though the contractual payments are more than 30 or 90 days past due.</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 assessing whether a borrower is non-performing, the Bank considers indicators that are qualitative and quantitative based on data developed internally and obtained from external sources. Inputs into the assessment of whether a financial instrument is non-performing and their significance may vary over time to reflect changes in circumstances.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 modified or renegotiated loan is a loan whose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loan or reduction of accrued interest, among others.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When a financial asset is modified the Bank assesses whether this modification results in derecognition. In accordance with the Bank’s policy, a modification results in derecognition when it results in substantially different terms. To determine if the modified terms are substantially different from the original contractual terms the Bank considers the following:</w:t>
      </w:r>
    </w:p>
    <w:p>
      <w:pPr>
        <w:spacing w:after="0" w:line="181" w:lineRule="exact"/>
        <w:rPr>
          <w:sz w:val="20"/>
          <w:szCs w:val="20"/>
          <w:color w:val="auto"/>
        </w:rPr>
      </w:pPr>
    </w:p>
    <w:p>
      <w:pPr>
        <w:ind w:left="980" w:hanging="324"/>
        <w:spacing w:after="0" w:line="258" w:lineRule="auto"/>
        <w:tabs>
          <w:tab w:leader="none" w:pos="980" w:val="left"/>
        </w:tabs>
        <w:numPr>
          <w:ilvl w:val="0"/>
          <w:numId w:val="39"/>
        </w:numPr>
        <w:rPr>
          <w:rFonts w:ascii="Arial" w:cs="Arial" w:eastAsia="Arial" w:hAnsi="Arial"/>
          <w:sz w:val="18"/>
          <w:szCs w:val="18"/>
          <w:color w:val="auto"/>
        </w:rPr>
      </w:pPr>
      <w:r>
        <w:rPr>
          <w:rFonts w:ascii="Arial" w:cs="Arial" w:eastAsia="Arial" w:hAnsi="Arial"/>
          <w:sz w:val="18"/>
          <w:szCs w:val="18"/>
          <w:color w:val="auto"/>
        </w:rPr>
        <w:t>Qualitative factors, such as contractual cash flows after modification are no longer solely payments of principal and interest, change in currency or change of counterparty, the extent of change in interest rates, maturity, covenants.</w:t>
      </w:r>
    </w:p>
    <w:p>
      <w:pPr>
        <w:spacing w:after="0" w:line="1" w:lineRule="exact"/>
        <w:rPr>
          <w:rFonts w:ascii="Arial" w:cs="Arial" w:eastAsia="Arial" w:hAnsi="Arial"/>
          <w:sz w:val="18"/>
          <w:szCs w:val="18"/>
          <w:color w:val="auto"/>
        </w:rPr>
      </w:pPr>
    </w:p>
    <w:p>
      <w:pPr>
        <w:jc w:val="both"/>
        <w:ind w:left="980" w:hanging="324"/>
        <w:spacing w:after="0" w:line="255" w:lineRule="auto"/>
        <w:tabs>
          <w:tab w:leader="none" w:pos="980" w:val="left"/>
        </w:tabs>
        <w:numPr>
          <w:ilvl w:val="0"/>
          <w:numId w:val="39"/>
        </w:numPr>
        <w:rPr>
          <w:rFonts w:ascii="Arial" w:cs="Arial" w:eastAsia="Arial" w:hAnsi="Arial"/>
          <w:sz w:val="18"/>
          <w:szCs w:val="18"/>
          <w:color w:val="auto"/>
        </w:rPr>
      </w:pPr>
      <w:r>
        <w:rPr>
          <w:rFonts w:ascii="Arial" w:cs="Arial" w:eastAsia="Arial" w:hAnsi="Arial"/>
          <w:sz w:val="18"/>
          <w:szCs w:val="18"/>
          <w:color w:val="auto"/>
        </w:rPr>
        <w:t>If the quality factors do not clearly indicate a substantial modification, then a quantitative assessment is performed to compare the present value of the remaining contractual cash flows under the original terms with the contractual cash flows under the revised terms, both amounts discounted at the original effective interest rate.</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color w:val="auto"/>
        </w:rPr>
        <w:t>If the difference in present value is greater than 10% the Bank deems the arrangement is substantially different leading to derecognition.</w:t>
      </w:r>
    </w:p>
    <w:p>
      <w:pPr>
        <w:spacing w:after="0" w:line="22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If a financial asset is derecognized, the loss allowance for ECL is remeasured at the date of derecognition to determine the net carrying amount of the asset at that date. The difference between this revised carrying amount and the fair value of the new financial asset with the new terms will lead to a gain or loss on derecognition. The new financial asset will have a loss allowance measured based on 12-month ECL, except in the rare occasions where the new loan is considered to be originated credit impaired. This applies only where the fair value of the new loan is recognized at a significant discount to its revised par amount because a high risk of default remains and has not been reduced by the modification. The Bank monitors the credit risk of modified financial assets by evaluating qualitative and quantitative information, such as whether the borrower is in past due status under the new terms.</w:t>
      </w:r>
    </w:p>
    <w:p>
      <w:pPr>
        <w:spacing w:after="0" w:line="16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When the contractual terms of a financial asset are modified and the modification does not result in derecognition, the Bank determines if the credit risk of the financial asset has increased significantly since initial recognition by comparing:</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59" w:name="page60"/>
    <w:bookmarkEnd w:id="59"/>
    <w:p>
      <w:pPr>
        <w:ind w:left="980" w:hanging="324"/>
        <w:spacing w:after="0"/>
        <w:tabs>
          <w:tab w:leader="none" w:pos="980" w:val="left"/>
        </w:tabs>
        <w:numPr>
          <w:ilvl w:val="0"/>
          <w:numId w:val="40"/>
        </w:numPr>
        <w:rPr>
          <w:rFonts w:ascii="Arial" w:cs="Arial" w:eastAsia="Arial" w:hAnsi="Arial"/>
          <w:sz w:val="17"/>
          <w:szCs w:val="17"/>
          <w:color w:val="auto"/>
        </w:rPr>
      </w:pPr>
      <w:r>
        <w:rPr>
          <w:rFonts w:ascii="Arial" w:cs="Arial" w:eastAsia="Arial" w:hAnsi="Arial"/>
          <w:sz w:val="17"/>
          <w:szCs w:val="17"/>
          <w:color w:val="auto"/>
        </w:rPr>
        <w:t>The remaining lifetime probability of default (“PD”) estimated based on data at initial recognition and the original contractual terms; with</w:t>
      </w:r>
    </w:p>
    <w:p>
      <w:pPr>
        <w:spacing w:after="0" w:line="34" w:lineRule="exact"/>
        <w:rPr>
          <w:rFonts w:ascii="Arial" w:cs="Arial" w:eastAsia="Arial" w:hAnsi="Arial"/>
          <w:sz w:val="17"/>
          <w:szCs w:val="17"/>
          <w:color w:val="auto"/>
        </w:rPr>
      </w:pPr>
    </w:p>
    <w:p>
      <w:pPr>
        <w:ind w:left="980" w:hanging="324"/>
        <w:spacing w:after="0"/>
        <w:tabs>
          <w:tab w:leader="none" w:pos="980" w:val="left"/>
        </w:tabs>
        <w:numPr>
          <w:ilvl w:val="0"/>
          <w:numId w:val="40"/>
        </w:numPr>
        <w:rPr>
          <w:rFonts w:ascii="Arial" w:cs="Arial" w:eastAsia="Arial" w:hAnsi="Arial"/>
          <w:sz w:val="18"/>
          <w:szCs w:val="18"/>
          <w:color w:val="auto"/>
        </w:rPr>
      </w:pPr>
      <w:r>
        <w:rPr>
          <w:rFonts w:ascii="Arial" w:cs="Arial" w:eastAsia="Arial" w:hAnsi="Arial"/>
          <w:sz w:val="18"/>
          <w:szCs w:val="18"/>
          <w:color w:val="auto"/>
        </w:rPr>
        <w:t>The remaining lifetime PD at the reporting date based on the modified terms.</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In the renegotiation or modification of the contractual cash flows of the loan, the Bank shall:</w:t>
      </w:r>
    </w:p>
    <w:p>
      <w:pPr>
        <w:spacing w:after="0" w:line="225" w:lineRule="exact"/>
        <w:rPr>
          <w:sz w:val="20"/>
          <w:szCs w:val="20"/>
          <w:color w:val="auto"/>
        </w:rPr>
      </w:pPr>
    </w:p>
    <w:p>
      <w:pPr>
        <w:ind w:left="980" w:hanging="324"/>
        <w:spacing w:after="0"/>
        <w:tabs>
          <w:tab w:leader="none" w:pos="980" w:val="left"/>
        </w:tabs>
        <w:numPr>
          <w:ilvl w:val="0"/>
          <w:numId w:val="41"/>
        </w:numPr>
        <w:rPr>
          <w:rFonts w:ascii="Arial" w:cs="Arial" w:eastAsia="Arial" w:hAnsi="Arial"/>
          <w:sz w:val="18"/>
          <w:szCs w:val="18"/>
          <w:color w:val="auto"/>
        </w:rPr>
      </w:pPr>
      <w:r>
        <w:rPr>
          <w:rFonts w:ascii="Arial" w:cs="Arial" w:eastAsia="Arial" w:hAnsi="Arial"/>
          <w:sz w:val="18"/>
          <w:szCs w:val="18"/>
          <w:color w:val="auto"/>
        </w:rPr>
        <w:t>Continue with its current accounting treatment for the existing loan that has been modified.</w:t>
      </w:r>
    </w:p>
    <w:p>
      <w:pPr>
        <w:spacing w:after="0" w:line="23" w:lineRule="exact"/>
        <w:rPr>
          <w:rFonts w:ascii="Arial" w:cs="Arial" w:eastAsia="Arial" w:hAnsi="Arial"/>
          <w:sz w:val="18"/>
          <w:szCs w:val="18"/>
          <w:color w:val="auto"/>
        </w:rPr>
      </w:pPr>
    </w:p>
    <w:p>
      <w:pPr>
        <w:ind w:left="980" w:hanging="324"/>
        <w:spacing w:after="0" w:line="250" w:lineRule="auto"/>
        <w:tabs>
          <w:tab w:leader="none" w:pos="980" w:val="left"/>
        </w:tabs>
        <w:numPr>
          <w:ilvl w:val="0"/>
          <w:numId w:val="41"/>
        </w:numPr>
        <w:rPr>
          <w:rFonts w:ascii="Arial" w:cs="Arial" w:eastAsia="Arial" w:hAnsi="Arial"/>
          <w:sz w:val="18"/>
          <w:szCs w:val="18"/>
          <w:color w:val="auto"/>
        </w:rPr>
      </w:pPr>
      <w:r>
        <w:rPr>
          <w:rFonts w:ascii="Arial" w:cs="Arial" w:eastAsia="Arial" w:hAnsi="Arial"/>
          <w:sz w:val="18"/>
          <w:szCs w:val="18"/>
          <w:color w:val="auto"/>
        </w:rPr>
        <w:t>Record a modification gain or loss by recalculating the gross carrying amount of the financial asset as the present value of the renegotiated or modified contractual cash flows, discounted at the loan’s original effective interest rate.</w:t>
      </w:r>
    </w:p>
    <w:p>
      <w:pPr>
        <w:jc w:val="both"/>
        <w:ind w:left="980" w:hanging="324"/>
        <w:spacing w:after="0" w:line="265" w:lineRule="auto"/>
        <w:tabs>
          <w:tab w:leader="none" w:pos="980" w:val="left"/>
        </w:tabs>
        <w:numPr>
          <w:ilvl w:val="0"/>
          <w:numId w:val="41"/>
        </w:numPr>
        <w:rPr>
          <w:rFonts w:ascii="Arial" w:cs="Arial" w:eastAsia="Arial" w:hAnsi="Arial"/>
          <w:sz w:val="17"/>
          <w:szCs w:val="17"/>
          <w:color w:val="auto"/>
        </w:rPr>
      </w:pPr>
      <w:r>
        <w:rPr>
          <w:rFonts w:ascii="Arial" w:cs="Arial" w:eastAsia="Arial" w:hAnsi="Arial"/>
          <w:sz w:val="17"/>
          <w:szCs w:val="17"/>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loan that is modified is not automatically considered to have a lower credit risk. The assessment should consider credit risk over the expected life of the asset based on historical and forward-looking information, including information about the circumstances that led to the modification. Evidence that the criteria for the recognition of lifetime ECL are subsequently no longer met may include a history of up-to-date and timely payment in subsequent periods. A minimum period of observation will be necessary before a financial asset may qualify to return to a 12-month expected credit loss measurement.</w:t>
      </w:r>
    </w:p>
    <w:p>
      <w:pPr>
        <w:spacing w:after="0" w:line="1" w:lineRule="exact"/>
        <w:rPr>
          <w:rFonts w:ascii="Arial" w:cs="Arial" w:eastAsia="Arial" w:hAnsi="Arial"/>
          <w:sz w:val="17"/>
          <w:szCs w:val="17"/>
          <w:color w:val="auto"/>
        </w:rPr>
      </w:pPr>
    </w:p>
    <w:p>
      <w:pPr>
        <w:ind w:left="980" w:hanging="324"/>
        <w:spacing w:after="0" w:line="290" w:lineRule="auto"/>
        <w:tabs>
          <w:tab w:leader="none" w:pos="980" w:val="left"/>
        </w:tabs>
        <w:numPr>
          <w:ilvl w:val="0"/>
          <w:numId w:val="41"/>
        </w:numPr>
        <w:rPr>
          <w:rFonts w:ascii="Arial" w:cs="Arial" w:eastAsia="Arial" w:hAnsi="Arial"/>
          <w:sz w:val="17"/>
          <w:szCs w:val="17"/>
          <w:color w:val="auto"/>
        </w:rPr>
      </w:pPr>
      <w:r>
        <w:rPr>
          <w:rFonts w:ascii="Arial" w:cs="Arial" w:eastAsia="Arial" w:hAnsi="Arial"/>
          <w:sz w:val="17"/>
          <w:szCs w:val="17"/>
          <w:color w:val="auto"/>
        </w:rPr>
        <w:t>Make the appropriate quantitative and qualitative disclosures required for renegotiated or modified assets to reflect the nature and effect of such modifications (including the effect on the measurement of ECL) and how the Bank monitors these loans that have been modified.</w:t>
      </w:r>
    </w:p>
    <w:p>
      <w:pPr>
        <w:spacing w:after="0" w:line="162"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Bank reviews its individually significant loans at amortized cost at each consolidated statement of financial position date to assess whether an impairment loss should be recorded in the consolidated statement of profit or loss. In particular, management’s judgment is required in the estimation of the amount and timing of future cash flows when determining the impairment loss. These estimates are based on assumptions about a number of factors and actual results may differ, resulting in future changes to the allowance. Loans at amortized cost that have been assessed individually (and found not to be impaired) are assessed together with all individually insignificant loans and advances in groups of assets with similar risk characteristics. This is to determine whether a provision should be made due to incurred loss events for which there is objective evidence, but the effects of which are not yet evident.</w:t>
      </w:r>
    </w:p>
    <w:p>
      <w:pPr>
        <w:spacing w:after="0" w:line="16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collective assessment takes account of data from the Loan Portfolio (such as levels of arrears, credit utilization, loan-to-collateral ratios, etc.), and judgments on the effect of concentrations of risks and economic data (including levels of unemployment, real estate prices indices, country risk and the performance of different individual groups).</w:t>
      </w:r>
    </w:p>
    <w:p>
      <w:pPr>
        <w:spacing w:after="0" w:line="181"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Bank conducts periodic reviews for all of its securities. The Bank recognizes a loss allowance for ECL on investment securities measured at FVOCI and investment securities at amortized cost. If at the reporting date, the credit risk of these financial instruments has not increased significantly since initial recognition, the Bank will measure the loss allowance for those financial instruments at an amount equal to 12- month ECL. However, if the Bank determines that the credit risk of those financial instruments has increased significantly since initial recognition, then it measures a loss allowance at an amount equal to the lifetime ECL. If the Bank has measured a loss allowance for a financial instrument at an amount equal to lifetime ECL in the previous reporting year because of a significant increase in credit risk, but determines at the current reporting date that this presumption is no longer met; then it will measure the loss allowance at an amount equal to 12-month ECL at the current reporting date. The Bank recognizes in the consolidated statement of profit or loss, as an impairment gain or loss, the amount of ECL (or reversal) that is required to adjust the loss allowance to the amount that is required to be recognized at the reporting date.</w:t>
      </w: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0" w:name="page61"/>
    <w:bookmarkEnd w:id="60"/>
    <w:p>
      <w:pPr>
        <w:jc w:val="both"/>
        <w:spacing w:after="0" w:line="257" w:lineRule="auto"/>
        <w:rPr>
          <w:sz w:val="20"/>
          <w:szCs w:val="20"/>
          <w:color w:val="auto"/>
        </w:rPr>
      </w:pPr>
      <w:r>
        <w:rPr>
          <w:rFonts w:ascii="Arial" w:cs="Arial" w:eastAsia="Arial" w:hAnsi="Arial"/>
          <w:sz w:val="18"/>
          <w:szCs w:val="18"/>
          <w:color w:val="auto"/>
        </w:rPr>
        <w:t>Impairment on securities is evaluated considering numerous factors, and their relative significance varies case by case. Factors considered in determining whether a detrimental impact on the estimated future cash flows of a financial asset has occurred include, but are not limited to: significant financial difficulty of the issuer; high probability of bankruptcy; granting a concession to the issuer; disappearance of an active market because of financial difficulties; breach of contract, such as default or delinquency in interest or principal; and, observable data indicating there is a measurable decrease in the estimated future cash flows since initial recognition.</w:t>
      </w:r>
    </w:p>
    <w:p>
      <w:pPr>
        <w:spacing w:after="0" w:line="188"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If a security is no longer publicly traded or the entity’s credit rating is downgraded, this is not, by itself, evidence of impairment, but should be considered for impairment together with other information. A decline in the fair value of an investment security below its amortized cost is not necessarily evidence of impairment, as it may be due to an increase in market interest rates. Whether a decline in fair value below cost is considered significant or prolonged, must be assessed on an instrument-by-instrument basis and should be based on both qualitative and quantitative factors. However, the assessment of prolonged decline should not be compared to the entire period that the investment has been or is expected to be held.</w:t>
      </w:r>
    </w:p>
    <w:p>
      <w:pPr>
        <w:spacing w:after="0" w:line="17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information regarding the Bank’s non-performing assets, and loan commitments and financial guarantee contracts at the dates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00" w:type="dxa"/>
            <w:vAlign w:val="bottom"/>
          </w:tcPr>
          <w:p>
            <w:pPr>
              <w:spacing w:after="0"/>
              <w:rPr>
                <w:sz w:val="20"/>
                <w:szCs w:val="20"/>
                <w:color w:val="auto"/>
              </w:rPr>
            </w:pPr>
          </w:p>
        </w:tc>
        <w:tc>
          <w:tcPr>
            <w:tcW w:w="720" w:type="dxa"/>
            <w:vAlign w:val="bottom"/>
            <w:tcBorders>
              <w:bottom w:val="single" w:sz="8" w:color="auto"/>
            </w:tcBorders>
          </w:tcPr>
          <w:p>
            <w:pPr>
              <w:spacing w:after="0"/>
              <w:rPr>
                <w:sz w:val="20"/>
                <w:szCs w:val="20"/>
                <w:color w:val="auto"/>
              </w:rPr>
            </w:pPr>
          </w:p>
        </w:tc>
        <w:tc>
          <w:tcPr>
            <w:tcW w:w="1760" w:type="dxa"/>
            <w:vAlign w:val="bottom"/>
            <w:tcBorders>
              <w:bottom w:val="single" w:sz="8" w:color="auto"/>
            </w:tcBorders>
            <w:gridSpan w:val="6"/>
          </w:tcPr>
          <w:p>
            <w:pPr>
              <w:jc w:val="center"/>
              <w:ind w:left="170"/>
              <w:spacing w:after="0"/>
              <w:rPr>
                <w:sz w:val="20"/>
                <w:szCs w:val="20"/>
                <w:color w:val="auto"/>
              </w:rPr>
            </w:pPr>
            <w:r>
              <w:rPr>
                <w:rFonts w:ascii="Arial" w:cs="Arial" w:eastAsia="Arial" w:hAnsi="Arial"/>
                <w:sz w:val="18"/>
                <w:szCs w:val="18"/>
                <w:b w:val="1"/>
                <w:bCs w:val="1"/>
                <w:color w:val="auto"/>
                <w:w w:val="89"/>
              </w:rPr>
              <w:t>As of December 31,</w:t>
            </w:r>
          </w:p>
        </w:tc>
        <w:tc>
          <w:tcPr>
            <w:tcW w:w="20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r>
      <w:tr>
        <w:trPr>
          <w:trHeight w:val="223"/>
        </w:trPr>
        <w:tc>
          <w:tcPr>
            <w:tcW w:w="5500" w:type="dxa"/>
            <w:vAlign w:val="bottom"/>
          </w:tcPr>
          <w:p>
            <w:pPr>
              <w:spacing w:after="0"/>
              <w:rPr>
                <w:sz w:val="19"/>
                <w:szCs w:val="19"/>
                <w:color w:val="auto"/>
              </w:rPr>
            </w:pPr>
          </w:p>
        </w:tc>
        <w:tc>
          <w:tcPr>
            <w:tcW w:w="7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28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center"/>
              <w:ind w:right="110"/>
              <w:spacing w:after="0"/>
              <w:rPr>
                <w:sz w:val="20"/>
                <w:szCs w:val="20"/>
                <w:color w:val="auto"/>
              </w:rPr>
            </w:pPr>
            <w:r>
              <w:rPr>
                <w:rFonts w:ascii="Arial" w:cs="Arial" w:eastAsia="Arial" w:hAnsi="Arial"/>
                <w:sz w:val="18"/>
                <w:szCs w:val="18"/>
                <w:b w:val="1"/>
                <w:bCs w:val="1"/>
                <w:color w:val="auto"/>
                <w:w w:val="89"/>
              </w:rPr>
              <w:t>2016</w:t>
            </w:r>
          </w:p>
        </w:tc>
        <w:tc>
          <w:tcPr>
            <w:tcW w:w="24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2015</w:t>
            </w:r>
          </w:p>
        </w:tc>
        <w:tc>
          <w:tcPr>
            <w:tcW w:w="160" w:type="dxa"/>
            <w:vAlign w:val="bottom"/>
          </w:tcPr>
          <w:p>
            <w:pPr>
              <w:spacing w:after="0"/>
              <w:rPr>
                <w:sz w:val="19"/>
                <w:szCs w:val="19"/>
                <w:color w:val="auto"/>
              </w:rPr>
            </w:pPr>
          </w:p>
        </w:tc>
      </w:tr>
      <w:tr>
        <w:trPr>
          <w:trHeight w:val="210"/>
        </w:trPr>
        <w:tc>
          <w:tcPr>
            <w:tcW w:w="5500" w:type="dxa"/>
            <w:vAlign w:val="bottom"/>
          </w:tcPr>
          <w:p>
            <w:pPr>
              <w:spacing w:after="0"/>
              <w:rPr>
                <w:sz w:val="18"/>
                <w:szCs w:val="18"/>
                <w:color w:val="auto"/>
              </w:rPr>
            </w:pPr>
          </w:p>
        </w:tc>
        <w:tc>
          <w:tcPr>
            <w:tcW w:w="3480" w:type="dxa"/>
            <w:vAlign w:val="bottom"/>
            <w:gridSpan w:val="9"/>
          </w:tcPr>
          <w:p>
            <w:pPr>
              <w:jc w:val="center"/>
              <w:spacing w:after="0"/>
              <w:rPr>
                <w:sz w:val="20"/>
                <w:szCs w:val="20"/>
                <w:color w:val="auto"/>
              </w:rPr>
            </w:pPr>
            <w:r>
              <w:rPr>
                <w:rFonts w:ascii="Arial" w:cs="Arial" w:eastAsia="Arial" w:hAnsi="Arial"/>
                <w:sz w:val="18"/>
                <w:szCs w:val="18"/>
                <w:b w:val="1"/>
                <w:bCs w:val="1"/>
                <w:color w:val="auto"/>
                <w:w w:val="87"/>
              </w:rPr>
              <w:t>(in $ millions, except percentages)</w:t>
            </w:r>
          </w:p>
        </w:tc>
        <w:tc>
          <w:tcPr>
            <w:tcW w:w="160" w:type="dxa"/>
            <w:vAlign w:val="bottom"/>
          </w:tcPr>
          <w:p>
            <w:pPr>
              <w:spacing w:after="0"/>
              <w:rPr>
                <w:sz w:val="18"/>
                <w:szCs w:val="18"/>
                <w:color w:val="auto"/>
              </w:rPr>
            </w:pPr>
          </w:p>
        </w:tc>
      </w:tr>
      <w:tr>
        <w:trPr>
          <w:trHeight w:val="216"/>
        </w:trPr>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Non-performing loans</w:t>
            </w:r>
          </w:p>
        </w:tc>
        <w:tc>
          <w:tcPr>
            <w:tcW w:w="720" w:type="dxa"/>
            <w:vAlign w:val="bottom"/>
            <w:shd w:val="clear" w:color="auto" w:fill="CCEEFF"/>
          </w:tcPr>
          <w:p>
            <w:pPr>
              <w:jc w:val="right"/>
              <w:ind w:right="557"/>
              <w:spacing w:after="0"/>
              <w:rPr>
                <w:sz w:val="20"/>
                <w:szCs w:val="20"/>
                <w:color w:val="auto"/>
              </w:rPr>
            </w:pPr>
            <w:r>
              <w:rPr>
                <w:rFonts w:ascii="Arial" w:cs="Arial" w:eastAsia="Arial" w:hAnsi="Arial"/>
                <w:sz w:val="15"/>
                <w:szCs w:val="15"/>
                <w:color w:val="auto"/>
                <w:w w:val="71"/>
              </w:rPr>
              <w:t>$</w:t>
            </w:r>
          </w:p>
        </w:tc>
        <w:tc>
          <w:tcPr>
            <w:tcW w:w="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59</w:t>
            </w:r>
          </w:p>
        </w:tc>
        <w:tc>
          <w:tcPr>
            <w:tcW w:w="26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w:t>
            </w:r>
          </w:p>
        </w:tc>
        <w:tc>
          <w:tcPr>
            <w:tcW w:w="240" w:type="dxa"/>
            <w:vAlign w:val="bottom"/>
            <w:shd w:val="clear" w:color="auto" w:fill="CCEEFF"/>
          </w:tcPr>
          <w:p>
            <w:pPr>
              <w:spacing w:after="0"/>
              <w:rPr>
                <w:sz w:val="18"/>
                <w:szCs w:val="18"/>
                <w:color w:val="auto"/>
              </w:rPr>
            </w:pP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52</w:t>
            </w:r>
          </w:p>
        </w:tc>
      </w:tr>
      <w:tr>
        <w:trPr>
          <w:trHeight w:val="216"/>
        </w:trPr>
        <w:tc>
          <w:tcPr>
            <w:tcW w:w="5500" w:type="dxa"/>
            <w:vAlign w:val="bottom"/>
          </w:tcPr>
          <w:p>
            <w:pPr>
              <w:spacing w:after="0"/>
              <w:rPr>
                <w:sz w:val="20"/>
                <w:szCs w:val="20"/>
                <w:color w:val="auto"/>
              </w:rPr>
            </w:pPr>
            <w:r>
              <w:rPr>
                <w:rFonts w:ascii="Arial" w:cs="Arial" w:eastAsia="Arial" w:hAnsi="Arial"/>
                <w:sz w:val="18"/>
                <w:szCs w:val="18"/>
                <w:color w:val="auto"/>
              </w:rPr>
              <w:t>Asset-specific allocation from the allowance for ECL on loans</w:t>
            </w:r>
          </w:p>
        </w:tc>
        <w:tc>
          <w:tcPr>
            <w:tcW w:w="720" w:type="dxa"/>
            <w:vAlign w:val="bottom"/>
          </w:tcPr>
          <w:p>
            <w:pPr>
              <w:spacing w:after="0"/>
              <w:rPr>
                <w:sz w:val="18"/>
                <w:szCs w:val="18"/>
                <w:color w:val="auto"/>
              </w:rPr>
            </w:pPr>
          </w:p>
        </w:tc>
        <w:tc>
          <w:tcPr>
            <w:tcW w:w="460" w:type="dxa"/>
            <w:vAlign w:val="bottom"/>
            <w:gridSpan w:val="2"/>
          </w:tcPr>
          <w:p>
            <w:pPr>
              <w:jc w:val="right"/>
              <w:ind w:right="180"/>
              <w:spacing w:after="0"/>
              <w:rPr>
                <w:sz w:val="20"/>
                <w:szCs w:val="20"/>
                <w:color w:val="auto"/>
              </w:rPr>
            </w:pPr>
            <w:r>
              <w:rPr>
                <w:rFonts w:ascii="Arial" w:cs="Arial" w:eastAsia="Arial" w:hAnsi="Arial"/>
                <w:sz w:val="18"/>
                <w:szCs w:val="18"/>
                <w:color w:val="auto"/>
              </w:rPr>
              <w:t>28</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35</w:t>
            </w:r>
          </w:p>
        </w:tc>
        <w:tc>
          <w:tcPr>
            <w:tcW w:w="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21</w:t>
            </w:r>
          </w:p>
        </w:tc>
      </w:tr>
      <w:tr>
        <w:trPr>
          <w:trHeight w:val="216"/>
        </w:trPr>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Non-performing loans as a percentage of Loan Portfolio</w:t>
            </w:r>
          </w:p>
        </w:tc>
        <w:tc>
          <w:tcPr>
            <w:tcW w:w="72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w w:val="97"/>
              </w:rPr>
              <w:t>1.1%</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0.8%</w:t>
            </w:r>
          </w:p>
        </w:tc>
      </w:tr>
      <w:tr>
        <w:trPr>
          <w:trHeight w:val="216"/>
        </w:trPr>
        <w:tc>
          <w:tcPr>
            <w:tcW w:w="5500" w:type="dxa"/>
            <w:vAlign w:val="bottom"/>
          </w:tcPr>
          <w:p>
            <w:pPr>
              <w:spacing w:after="0"/>
              <w:rPr>
                <w:sz w:val="20"/>
                <w:szCs w:val="20"/>
                <w:color w:val="auto"/>
              </w:rPr>
            </w:pPr>
            <w:r>
              <w:rPr>
                <w:rFonts w:ascii="Arial" w:cs="Arial" w:eastAsia="Arial" w:hAnsi="Arial"/>
                <w:sz w:val="18"/>
                <w:szCs w:val="18"/>
                <w:color w:val="auto"/>
              </w:rPr>
              <w:t>Non-performing loan commitments and financial guarantee contracts</w:t>
            </w:r>
          </w:p>
        </w:tc>
        <w:tc>
          <w:tcPr>
            <w:tcW w:w="720" w:type="dxa"/>
            <w:vAlign w:val="bottom"/>
          </w:tcPr>
          <w:p>
            <w:pPr>
              <w:spacing w:after="0"/>
              <w:rPr>
                <w:sz w:val="18"/>
                <w:szCs w:val="18"/>
                <w:color w:val="auto"/>
              </w:rPr>
            </w:pPr>
          </w:p>
        </w:tc>
        <w:tc>
          <w:tcPr>
            <w:tcW w:w="46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8"/>
                <w:szCs w:val="18"/>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r>
      <w:tr>
        <w:trPr>
          <w:trHeight w:val="202"/>
        </w:trPr>
        <w:tc>
          <w:tcPr>
            <w:tcW w:w="55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Asset-specific allocation from the allowance for ECL on loan</w:t>
            </w:r>
          </w:p>
        </w:tc>
        <w:tc>
          <w:tcPr>
            <w:tcW w:w="7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30"/>
        </w:trPr>
        <w:tc>
          <w:tcPr>
            <w:tcW w:w="55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commitments and financial guarantee contracts</w:t>
            </w:r>
          </w:p>
        </w:tc>
        <w:tc>
          <w:tcPr>
            <w:tcW w:w="720" w:type="dxa"/>
            <w:vAlign w:val="bottom"/>
            <w:shd w:val="clear" w:color="auto" w:fill="CCEEFF"/>
          </w:tcPr>
          <w:p>
            <w:pPr>
              <w:spacing w:after="0"/>
              <w:rPr>
                <w:sz w:val="20"/>
                <w:szCs w:val="20"/>
                <w:color w:val="auto"/>
              </w:rPr>
            </w:pPr>
          </w:p>
        </w:tc>
        <w:tc>
          <w:tcPr>
            <w:tcW w:w="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20"/>
                <w:szCs w:val="20"/>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r>
      <w:tr>
        <w:trPr>
          <w:trHeight w:val="202"/>
        </w:trPr>
        <w:tc>
          <w:tcPr>
            <w:tcW w:w="5500" w:type="dxa"/>
            <w:vAlign w:val="bottom"/>
          </w:tcPr>
          <w:p>
            <w:pPr>
              <w:spacing w:after="0" w:line="201" w:lineRule="exact"/>
              <w:rPr>
                <w:sz w:val="20"/>
                <w:szCs w:val="20"/>
                <w:color w:val="auto"/>
              </w:rPr>
            </w:pPr>
            <w:r>
              <w:rPr>
                <w:rFonts w:ascii="Arial" w:cs="Arial" w:eastAsia="Arial" w:hAnsi="Arial"/>
                <w:sz w:val="18"/>
                <w:szCs w:val="18"/>
                <w:color w:val="auto"/>
                <w:w w:val="93"/>
              </w:rPr>
              <w:t>Non-performing loan commitments and financial guarantee contracts as a</w:t>
            </w:r>
          </w:p>
        </w:tc>
        <w:tc>
          <w:tcPr>
            <w:tcW w:w="7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30"/>
        </w:trPr>
        <w:tc>
          <w:tcPr>
            <w:tcW w:w="5500" w:type="dxa"/>
            <w:vAlign w:val="bottom"/>
          </w:tcPr>
          <w:p>
            <w:pPr>
              <w:ind w:left="180"/>
              <w:spacing w:after="0"/>
              <w:rPr>
                <w:sz w:val="20"/>
                <w:szCs w:val="20"/>
                <w:color w:val="auto"/>
              </w:rPr>
            </w:pPr>
            <w:r>
              <w:rPr>
                <w:rFonts w:ascii="Arial" w:cs="Arial" w:eastAsia="Arial" w:hAnsi="Arial"/>
                <w:sz w:val="18"/>
                <w:szCs w:val="18"/>
                <w:color w:val="auto"/>
                <w:w w:val="92"/>
              </w:rPr>
              <w:t>percentage of total loan commitments and financial guarantee contracts</w:t>
            </w:r>
          </w:p>
        </w:tc>
        <w:tc>
          <w:tcPr>
            <w:tcW w:w="720" w:type="dxa"/>
            <w:vAlign w:val="bottom"/>
          </w:tcPr>
          <w:p>
            <w:pPr>
              <w:spacing w:after="0"/>
              <w:rPr>
                <w:sz w:val="20"/>
                <w:szCs w:val="20"/>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w w:val="97"/>
              </w:rPr>
              <w:t>0.0%</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0.0%</w:t>
            </w:r>
          </w:p>
        </w:tc>
        <w:tc>
          <w:tcPr>
            <w:tcW w:w="200" w:type="dxa"/>
            <w:vAlign w:val="bottom"/>
          </w:tcPr>
          <w:p>
            <w:pPr>
              <w:spacing w:after="0"/>
              <w:rPr>
                <w:sz w:val="20"/>
                <w:szCs w:val="20"/>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0.0%</w:t>
            </w:r>
          </w:p>
        </w:tc>
      </w:tr>
      <w:tr>
        <w:trPr>
          <w:trHeight w:val="216"/>
        </w:trPr>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Impaired securities (par value)</w:t>
            </w:r>
          </w:p>
        </w:tc>
        <w:tc>
          <w:tcPr>
            <w:tcW w:w="72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w:t>
            </w:r>
          </w:p>
        </w:tc>
      </w:tr>
      <w:tr>
        <w:trPr>
          <w:trHeight w:val="230"/>
        </w:trPr>
        <w:tc>
          <w:tcPr>
            <w:tcW w:w="5500" w:type="dxa"/>
            <w:vAlign w:val="bottom"/>
          </w:tcPr>
          <w:p>
            <w:pPr>
              <w:spacing w:after="0"/>
              <w:rPr>
                <w:sz w:val="20"/>
                <w:szCs w:val="20"/>
                <w:color w:val="auto"/>
              </w:rPr>
            </w:pPr>
            <w:r>
              <w:rPr>
                <w:rFonts w:ascii="Arial" w:cs="Arial" w:eastAsia="Arial" w:hAnsi="Arial"/>
                <w:sz w:val="18"/>
                <w:szCs w:val="18"/>
                <w:color w:val="auto"/>
              </w:rPr>
              <w:t>Asset-specific allocation from the allowance for ECL on securities</w:t>
            </w:r>
          </w:p>
        </w:tc>
        <w:tc>
          <w:tcPr>
            <w:tcW w:w="720" w:type="dxa"/>
            <w:vAlign w:val="bottom"/>
          </w:tcPr>
          <w:p>
            <w:pPr>
              <w:spacing w:after="0"/>
              <w:rPr>
                <w:sz w:val="19"/>
                <w:szCs w:val="19"/>
                <w:color w:val="auto"/>
              </w:rPr>
            </w:pPr>
          </w:p>
        </w:tc>
        <w:tc>
          <w:tcPr>
            <w:tcW w:w="46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(6)</w:t>
            </w:r>
          </w:p>
        </w:tc>
      </w:tr>
      <w:tr>
        <w:trPr>
          <w:trHeight w:val="210"/>
        </w:trPr>
        <w:tc>
          <w:tcPr>
            <w:tcW w:w="5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Estimated fair value of impaired securities</w:t>
            </w:r>
          </w:p>
        </w:tc>
        <w:tc>
          <w:tcPr>
            <w:tcW w:w="720" w:type="dxa"/>
            <w:vAlign w:val="bottom"/>
            <w:tcBorders>
              <w:top w:val="single" w:sz="8" w:color="auto"/>
            </w:tcBorders>
            <w:shd w:val="clear" w:color="auto" w:fill="CCEEFF"/>
          </w:tcPr>
          <w:p>
            <w:pPr>
              <w:jc w:val="right"/>
              <w:ind w:right="557"/>
              <w:spacing w:after="0"/>
              <w:rPr>
                <w:sz w:val="20"/>
                <w:szCs w:val="20"/>
                <w:color w:val="auto"/>
              </w:rPr>
            </w:pPr>
            <w:r>
              <w:rPr>
                <w:rFonts w:ascii="Arial" w:cs="Arial" w:eastAsia="Arial" w:hAnsi="Arial"/>
                <w:sz w:val="15"/>
                <w:szCs w:val="15"/>
                <w:color w:val="auto"/>
                <w:w w:val="71"/>
              </w:rPr>
              <w:t>$</w:t>
            </w:r>
          </w:p>
        </w:tc>
        <w:tc>
          <w:tcPr>
            <w:tcW w:w="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8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2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5500" w:type="dxa"/>
            <w:vAlign w:val="bottom"/>
          </w:tcPr>
          <w:p>
            <w:pPr>
              <w:spacing w:after="0"/>
              <w:rPr>
                <w:sz w:val="20"/>
                <w:szCs w:val="20"/>
                <w:color w:val="auto"/>
              </w:rPr>
            </w:pPr>
            <w:r>
              <w:rPr>
                <w:rFonts w:ascii="Arial" w:cs="Arial" w:eastAsia="Arial" w:hAnsi="Arial"/>
                <w:sz w:val="18"/>
                <w:szCs w:val="18"/>
                <w:color w:val="auto"/>
                <w:w w:val="99"/>
              </w:rPr>
              <w:t>Impaired securities as a percentage of Investment Securities Portfolio</w:t>
            </w:r>
          </w:p>
        </w:tc>
        <w:tc>
          <w:tcPr>
            <w:tcW w:w="72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w w:val="97"/>
              </w:rPr>
              <w:t>0.0%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0.0%</w:t>
            </w:r>
          </w:p>
        </w:tc>
        <w:tc>
          <w:tcPr>
            <w:tcW w:w="20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0.6%</w:t>
            </w:r>
          </w:p>
        </w:tc>
      </w:tr>
      <w:tr>
        <w:trPr>
          <w:trHeight w:val="202"/>
        </w:trPr>
        <w:tc>
          <w:tcPr>
            <w:tcW w:w="55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Non-performing financial assets and loan commitments and financial</w:t>
            </w:r>
          </w:p>
        </w:tc>
        <w:tc>
          <w:tcPr>
            <w:tcW w:w="7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30"/>
        </w:trPr>
        <w:tc>
          <w:tcPr>
            <w:tcW w:w="55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guarantee contracts as a percentage of total Credit Portfolio</w:t>
            </w:r>
          </w:p>
        </w:tc>
        <w:tc>
          <w:tcPr>
            <w:tcW w:w="720" w:type="dxa"/>
            <w:vAlign w:val="bottom"/>
            <w:shd w:val="clear" w:color="auto" w:fill="CCEEFF"/>
          </w:tcPr>
          <w:p>
            <w:pPr>
              <w:spacing w:after="0"/>
              <w:rPr>
                <w:sz w:val="20"/>
                <w:szCs w:val="20"/>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w w:val="97"/>
              </w:rPr>
              <w:t>1.0%</w:t>
            </w:r>
          </w:p>
        </w:tc>
        <w:tc>
          <w:tcPr>
            <w:tcW w:w="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w:t>
            </w:r>
          </w:p>
        </w:tc>
        <w:tc>
          <w:tcPr>
            <w:tcW w:w="200" w:type="dxa"/>
            <w:vAlign w:val="bottom"/>
            <w:shd w:val="clear" w:color="auto" w:fill="CCEEFF"/>
          </w:tcPr>
          <w:p>
            <w:pPr>
              <w:spacing w:after="0"/>
              <w:rPr>
                <w:sz w:val="20"/>
                <w:szCs w:val="20"/>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0.7%</w:t>
            </w:r>
          </w:p>
        </w:tc>
      </w:tr>
    </w:tbl>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As of the end of each reported period, the Bank did not have impaired loans in its Loan Portfolio without related allowances.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distribution of the Bank’s loans charged-off by gross carrying amount against the allowance for ECL on loans by country for the periods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16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5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3440" w:type="dxa"/>
            <w:vAlign w:val="bottom"/>
            <w:tcBorders>
              <w:bottom w:val="single" w:sz="8" w:color="auto"/>
            </w:tcBorders>
            <w:gridSpan w:val="10"/>
          </w:tcPr>
          <w:p>
            <w:pPr>
              <w:jc w:val="right"/>
              <w:ind w:right="310"/>
              <w:spacing w:after="0"/>
              <w:rPr>
                <w:sz w:val="20"/>
                <w:szCs w:val="20"/>
                <w:color w:val="auto"/>
              </w:rPr>
            </w:pPr>
            <w:r>
              <w:rPr>
                <w:rFonts w:ascii="Arial" w:cs="Arial" w:eastAsia="Arial" w:hAnsi="Arial"/>
                <w:sz w:val="18"/>
                <w:szCs w:val="18"/>
                <w:b w:val="1"/>
                <w:bCs w:val="1"/>
                <w:color w:val="auto"/>
              </w:rPr>
              <w:t>For the year ended December 31,</w:t>
            </w:r>
          </w:p>
        </w:tc>
        <w:tc>
          <w:tcPr>
            <w:tcW w:w="14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r>
      <w:tr>
        <w:trPr>
          <w:trHeight w:val="223"/>
        </w:trPr>
        <w:tc>
          <w:tcPr>
            <w:tcW w:w="2160" w:type="dxa"/>
            <w:vAlign w:val="bottom"/>
          </w:tcPr>
          <w:p>
            <w:pPr>
              <w:spacing w:after="0"/>
              <w:rPr>
                <w:sz w:val="19"/>
                <w:szCs w:val="19"/>
                <w:color w:val="auto"/>
              </w:rPr>
            </w:pPr>
          </w:p>
        </w:tc>
        <w:tc>
          <w:tcPr>
            <w:tcW w:w="1440" w:type="dxa"/>
            <w:vAlign w:val="bottom"/>
          </w:tcPr>
          <w:p>
            <w:pPr>
              <w:spacing w:after="0"/>
              <w:rPr>
                <w:sz w:val="19"/>
                <w:szCs w:val="19"/>
                <w:color w:val="auto"/>
              </w:rPr>
            </w:pP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18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70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w:t>
            </w:r>
          </w:p>
        </w:tc>
        <w:tc>
          <w:tcPr>
            <w:tcW w:w="26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2016</w:t>
            </w:r>
          </w:p>
        </w:tc>
        <w:tc>
          <w:tcPr>
            <w:tcW w:w="78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w:t>
            </w:r>
          </w:p>
        </w:tc>
        <w:tc>
          <w:tcPr>
            <w:tcW w:w="28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6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2015</w:t>
            </w:r>
          </w:p>
        </w:tc>
        <w:tc>
          <w:tcPr>
            <w:tcW w:w="14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70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180" w:type="dxa"/>
            <w:vAlign w:val="bottom"/>
          </w:tcPr>
          <w:p>
            <w:pPr>
              <w:spacing w:after="0"/>
              <w:rPr>
                <w:sz w:val="19"/>
                <w:szCs w:val="19"/>
                <w:color w:val="auto"/>
              </w:rPr>
            </w:pPr>
          </w:p>
        </w:tc>
      </w:tr>
      <w:tr>
        <w:trPr>
          <w:trHeight w:val="210"/>
        </w:trPr>
        <w:tc>
          <w:tcPr>
            <w:tcW w:w="216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440" w:type="dxa"/>
            <w:vAlign w:val="bottom"/>
            <w:gridSpan w:val="10"/>
          </w:tcPr>
          <w:p>
            <w:pPr>
              <w:jc w:val="right"/>
              <w:ind w:right="270"/>
              <w:spacing w:after="0"/>
              <w:rPr>
                <w:sz w:val="20"/>
                <w:szCs w:val="20"/>
                <w:color w:val="auto"/>
              </w:rPr>
            </w:pPr>
            <w:r>
              <w:rPr>
                <w:rFonts w:ascii="Arial" w:cs="Arial" w:eastAsia="Arial" w:hAnsi="Arial"/>
                <w:sz w:val="18"/>
                <w:szCs w:val="18"/>
                <w:b w:val="1"/>
                <w:bCs w:val="1"/>
                <w:color w:val="auto"/>
              </w:rPr>
              <w:t>(in $ millions, except percentages)</w:t>
            </w:r>
          </w:p>
        </w:tc>
        <w:tc>
          <w:tcPr>
            <w:tcW w:w="1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2160" w:type="dxa"/>
            <w:vAlign w:val="bottom"/>
            <w:shd w:val="clear" w:color="auto" w:fill="CCEEFF"/>
          </w:tcPr>
          <w:p>
            <w:pPr>
              <w:spacing w:after="0"/>
              <w:rPr>
                <w:sz w:val="20"/>
                <w:szCs w:val="20"/>
                <w:color w:val="auto"/>
              </w:rPr>
            </w:pPr>
            <w:r>
              <w:rPr>
                <w:rFonts w:ascii="Arial" w:cs="Arial" w:eastAsia="Arial" w:hAnsi="Arial"/>
                <w:sz w:val="18"/>
                <w:szCs w:val="18"/>
                <w:color w:val="auto"/>
              </w:rPr>
              <w:t>Brazil</w:t>
            </w:r>
          </w:p>
        </w:tc>
        <w:tc>
          <w:tcPr>
            <w:tcW w:w="1980" w:type="dxa"/>
            <w:vAlign w:val="bottom"/>
            <w:gridSpan w:val="2"/>
            <w:shd w:val="clear" w:color="auto" w:fill="CCEEFF"/>
          </w:tcPr>
          <w:p>
            <w:pPr>
              <w:jc w:val="right"/>
              <w:ind w:right="350"/>
              <w:spacing w:after="0"/>
              <w:rPr>
                <w:sz w:val="20"/>
                <w:szCs w:val="20"/>
                <w:color w:val="auto"/>
              </w:rPr>
            </w:pPr>
            <w:r>
              <w:rPr>
                <w:rFonts w:ascii="Arial" w:cs="Arial" w:eastAsia="Arial" w:hAnsi="Arial"/>
                <w:sz w:val="18"/>
                <w:szCs w:val="18"/>
                <w:color w:val="auto"/>
              </w:rPr>
              <w:t>$</w:t>
            </w:r>
          </w:p>
        </w:tc>
        <w:tc>
          <w:tcPr>
            <w:tcW w:w="3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w w:val="79"/>
              </w:rPr>
              <w:t>29</w:t>
            </w:r>
          </w:p>
        </w:tc>
        <w:tc>
          <w:tcPr>
            <w:tcW w:w="96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87%</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42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4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0%</w:t>
            </w:r>
          </w:p>
        </w:tc>
        <w:tc>
          <w:tcPr>
            <w:tcW w:w="600" w:type="dxa"/>
            <w:vAlign w:val="bottom"/>
            <w:shd w:val="clear" w:color="auto" w:fill="CCEEFF"/>
          </w:tcPr>
          <w:p>
            <w:pPr>
              <w:jc w:val="right"/>
              <w:ind w:right="410"/>
              <w:spacing w:after="0"/>
              <w:rPr>
                <w:sz w:val="20"/>
                <w:szCs w:val="20"/>
                <w:color w:val="auto"/>
              </w:rPr>
            </w:pPr>
            <w:r>
              <w:rPr>
                <w:rFonts w:ascii="Arial" w:cs="Arial" w:eastAsia="Arial" w:hAnsi="Arial"/>
                <w:sz w:val="18"/>
                <w:szCs w:val="18"/>
                <w:color w:val="auto"/>
                <w:w w:val="79"/>
              </w:rPr>
              <w:t>$</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w:t>
            </w: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100%</w:t>
            </w:r>
          </w:p>
        </w:tc>
      </w:tr>
      <w:tr>
        <w:trPr>
          <w:trHeight w:val="216"/>
        </w:trPr>
        <w:tc>
          <w:tcPr>
            <w:tcW w:w="2160" w:type="dxa"/>
            <w:vAlign w:val="bottom"/>
          </w:tcPr>
          <w:p>
            <w:pPr>
              <w:spacing w:after="0"/>
              <w:rPr>
                <w:sz w:val="20"/>
                <w:szCs w:val="20"/>
                <w:color w:val="auto"/>
              </w:rPr>
            </w:pPr>
            <w:r>
              <w:rPr>
                <w:rFonts w:ascii="Arial" w:cs="Arial" w:eastAsia="Arial" w:hAnsi="Arial"/>
                <w:sz w:val="18"/>
                <w:szCs w:val="18"/>
                <w:color w:val="auto"/>
              </w:rPr>
              <w:t>Colombia</w:t>
            </w:r>
          </w:p>
        </w:tc>
        <w:tc>
          <w:tcPr>
            <w:tcW w:w="144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36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960" w:type="dxa"/>
            <w:vAlign w:val="bottom"/>
            <w:gridSpan w:val="2"/>
          </w:tcPr>
          <w:p>
            <w:pPr>
              <w:jc w:val="right"/>
              <w:ind w:right="3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80" w:type="dxa"/>
            <w:vAlign w:val="bottom"/>
          </w:tcPr>
          <w:p>
            <w:pPr>
              <w:jc w:val="right"/>
              <w:spacing w:after="0"/>
              <w:rPr>
                <w:sz w:val="20"/>
                <w:szCs w:val="20"/>
                <w:color w:val="auto"/>
              </w:rPr>
            </w:pPr>
            <w:r>
              <w:rPr>
                <w:rFonts w:ascii="Arial" w:cs="Arial" w:eastAsia="Arial" w:hAnsi="Arial"/>
                <w:sz w:val="18"/>
                <w:szCs w:val="18"/>
                <w:color w:val="auto"/>
                <w:w w:val="79"/>
              </w:rPr>
              <w:t>18</w:t>
            </w:r>
          </w:p>
        </w:tc>
        <w:tc>
          <w:tcPr>
            <w:tcW w:w="1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540" w:type="dxa"/>
            <w:vAlign w:val="bottom"/>
            <w:gridSpan w:val="2"/>
          </w:tcPr>
          <w:p>
            <w:pPr>
              <w:jc w:val="right"/>
              <w:ind w:right="30"/>
              <w:spacing w:after="0"/>
              <w:rPr>
                <w:sz w:val="20"/>
                <w:szCs w:val="20"/>
                <w:color w:val="auto"/>
              </w:rPr>
            </w:pPr>
            <w:r>
              <w:rPr>
                <w:rFonts w:ascii="Arial" w:cs="Arial" w:eastAsia="Arial" w:hAnsi="Arial"/>
                <w:sz w:val="18"/>
                <w:szCs w:val="18"/>
                <w:color w:val="auto"/>
              </w:rPr>
              <w:t>95%</w:t>
            </w:r>
          </w:p>
        </w:tc>
        <w:tc>
          <w:tcPr>
            <w:tcW w:w="600" w:type="dxa"/>
            <w:vAlign w:val="bottom"/>
          </w:tcPr>
          <w:p>
            <w:pPr>
              <w:spacing w:after="0"/>
              <w:rPr>
                <w:sz w:val="18"/>
                <w:szCs w:val="18"/>
                <w:color w:val="auto"/>
              </w:rPr>
            </w:pP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c>
          <w:tcPr>
            <w:tcW w:w="900" w:type="dxa"/>
            <w:vAlign w:val="bottom"/>
            <w:gridSpan w:val="3"/>
          </w:tcPr>
          <w:p>
            <w:pPr>
              <w:jc w:val="right"/>
              <w:ind w:right="40"/>
              <w:spacing w:after="0"/>
              <w:rPr>
                <w:sz w:val="20"/>
                <w:szCs w:val="20"/>
                <w:color w:val="auto"/>
              </w:rPr>
            </w:pPr>
            <w:r>
              <w:rPr>
                <w:rFonts w:ascii="Arial" w:cs="Arial" w:eastAsia="Arial" w:hAnsi="Arial"/>
                <w:sz w:val="18"/>
                <w:szCs w:val="18"/>
                <w:color w:val="auto"/>
              </w:rPr>
              <w:t>0%</w:t>
            </w:r>
          </w:p>
        </w:tc>
      </w:tr>
      <w:tr>
        <w:trPr>
          <w:trHeight w:val="216"/>
        </w:trPr>
        <w:tc>
          <w:tcPr>
            <w:tcW w:w="216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144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3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96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w:t>
            </w:r>
          </w:p>
        </w:tc>
        <w:tc>
          <w:tcPr>
            <w:tcW w:w="4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5%</w:t>
            </w:r>
          </w:p>
        </w:tc>
        <w:tc>
          <w:tcPr>
            <w:tcW w:w="60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r>
      <w:tr>
        <w:trPr>
          <w:trHeight w:val="216"/>
        </w:trPr>
        <w:tc>
          <w:tcPr>
            <w:tcW w:w="2160" w:type="dxa"/>
            <w:vAlign w:val="bottom"/>
          </w:tcPr>
          <w:p>
            <w:pPr>
              <w:spacing w:after="0"/>
              <w:rPr>
                <w:sz w:val="20"/>
                <w:szCs w:val="20"/>
                <w:color w:val="auto"/>
              </w:rPr>
            </w:pPr>
            <w:r>
              <w:rPr>
                <w:rFonts w:ascii="Arial" w:cs="Arial" w:eastAsia="Arial" w:hAnsi="Arial"/>
                <w:sz w:val="18"/>
                <w:szCs w:val="18"/>
                <w:color w:val="auto"/>
              </w:rPr>
              <w:t>Panama</w:t>
            </w:r>
          </w:p>
        </w:tc>
        <w:tc>
          <w:tcPr>
            <w:tcW w:w="144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36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960" w:type="dxa"/>
            <w:vAlign w:val="bottom"/>
            <w:gridSpan w:val="2"/>
          </w:tcPr>
          <w:p>
            <w:pPr>
              <w:jc w:val="right"/>
              <w:ind w:right="30"/>
              <w:spacing w:after="0"/>
              <w:rPr>
                <w:sz w:val="20"/>
                <w:szCs w:val="20"/>
                <w:color w:val="auto"/>
              </w:rPr>
            </w:pPr>
            <w:r>
              <w:rPr>
                <w:rFonts w:ascii="Arial" w:cs="Arial" w:eastAsia="Arial" w:hAnsi="Arial"/>
                <w:sz w:val="18"/>
                <w:szCs w:val="18"/>
                <w:color w:val="auto"/>
              </w:rPr>
              <w:t>1%</w:t>
            </w:r>
          </w:p>
        </w:tc>
        <w:tc>
          <w:tcPr>
            <w:tcW w:w="14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34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c>
          <w:tcPr>
            <w:tcW w:w="440" w:type="dxa"/>
            <w:vAlign w:val="bottom"/>
          </w:tcPr>
          <w:p>
            <w:pPr>
              <w:spacing w:after="0"/>
              <w:rPr>
                <w:sz w:val="18"/>
                <w:szCs w:val="18"/>
                <w:color w:val="auto"/>
              </w:rPr>
            </w:pPr>
          </w:p>
        </w:tc>
        <w:tc>
          <w:tcPr>
            <w:tcW w:w="540" w:type="dxa"/>
            <w:vAlign w:val="bottom"/>
            <w:gridSpan w:val="2"/>
          </w:tcPr>
          <w:p>
            <w:pPr>
              <w:jc w:val="right"/>
              <w:ind w:right="30"/>
              <w:spacing w:after="0"/>
              <w:rPr>
                <w:sz w:val="20"/>
                <w:szCs w:val="20"/>
                <w:color w:val="auto"/>
              </w:rPr>
            </w:pPr>
            <w:r>
              <w:rPr>
                <w:rFonts w:ascii="Arial" w:cs="Arial" w:eastAsia="Arial" w:hAnsi="Arial"/>
                <w:sz w:val="18"/>
                <w:szCs w:val="18"/>
                <w:color w:val="auto"/>
              </w:rPr>
              <w:t>0%</w:t>
            </w:r>
          </w:p>
        </w:tc>
        <w:tc>
          <w:tcPr>
            <w:tcW w:w="600" w:type="dxa"/>
            <w:vAlign w:val="bottom"/>
          </w:tcPr>
          <w:p>
            <w:pPr>
              <w:spacing w:after="0"/>
              <w:rPr>
                <w:sz w:val="18"/>
                <w:szCs w:val="18"/>
                <w:color w:val="auto"/>
              </w:rPr>
            </w:pP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c>
          <w:tcPr>
            <w:tcW w:w="900" w:type="dxa"/>
            <w:vAlign w:val="bottom"/>
            <w:gridSpan w:val="3"/>
          </w:tcPr>
          <w:p>
            <w:pPr>
              <w:jc w:val="right"/>
              <w:ind w:right="40"/>
              <w:spacing w:after="0"/>
              <w:rPr>
                <w:sz w:val="20"/>
                <w:szCs w:val="20"/>
                <w:color w:val="auto"/>
              </w:rPr>
            </w:pPr>
            <w:r>
              <w:rPr>
                <w:rFonts w:ascii="Arial" w:cs="Arial" w:eastAsia="Arial" w:hAnsi="Arial"/>
                <w:sz w:val="18"/>
                <w:szCs w:val="18"/>
                <w:color w:val="auto"/>
              </w:rPr>
              <w:t>0%</w:t>
            </w:r>
          </w:p>
        </w:tc>
      </w:tr>
      <w:tr>
        <w:trPr>
          <w:trHeight w:val="230"/>
        </w:trPr>
        <w:tc>
          <w:tcPr>
            <w:tcW w:w="2160" w:type="dxa"/>
            <w:vAlign w:val="bottom"/>
            <w:shd w:val="clear" w:color="auto" w:fill="CCEEFF"/>
          </w:tcPr>
          <w:p>
            <w:pPr>
              <w:spacing w:after="0"/>
              <w:rPr>
                <w:sz w:val="20"/>
                <w:szCs w:val="20"/>
                <w:color w:val="auto"/>
              </w:rPr>
            </w:pPr>
            <w:r>
              <w:rPr>
                <w:rFonts w:ascii="Arial" w:cs="Arial" w:eastAsia="Arial" w:hAnsi="Arial"/>
                <w:sz w:val="18"/>
                <w:szCs w:val="18"/>
                <w:color w:val="auto"/>
              </w:rPr>
              <w:t>Uruguay</w:t>
            </w:r>
          </w:p>
        </w:tc>
        <w:tc>
          <w:tcPr>
            <w:tcW w:w="1440" w:type="dxa"/>
            <w:vAlign w:val="bottom"/>
            <w:shd w:val="clear" w:color="auto" w:fill="CCEEFF"/>
          </w:tcPr>
          <w:p>
            <w:pPr>
              <w:spacing w:after="0"/>
              <w:rPr>
                <w:sz w:val="19"/>
                <w:szCs w:val="19"/>
                <w:color w:val="auto"/>
              </w:rPr>
            </w:pPr>
          </w:p>
        </w:tc>
        <w:tc>
          <w:tcPr>
            <w:tcW w:w="540" w:type="dxa"/>
            <w:vAlign w:val="bottom"/>
            <w:shd w:val="clear" w:color="auto" w:fill="CCEEFF"/>
          </w:tcPr>
          <w:p>
            <w:pPr>
              <w:spacing w:after="0"/>
              <w:rPr>
                <w:sz w:val="19"/>
                <w:szCs w:val="19"/>
                <w:color w:val="auto"/>
              </w:rPr>
            </w:pPr>
          </w:p>
        </w:tc>
        <w:tc>
          <w:tcPr>
            <w:tcW w:w="3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w:t>
            </w:r>
          </w:p>
        </w:tc>
        <w:tc>
          <w:tcPr>
            <w:tcW w:w="96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12%</w:t>
            </w:r>
          </w:p>
        </w:tc>
        <w:tc>
          <w:tcPr>
            <w:tcW w:w="14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440" w:type="dxa"/>
            <w:vAlign w:val="bottom"/>
            <w:shd w:val="clear" w:color="auto" w:fill="CCEEFF"/>
          </w:tcPr>
          <w:p>
            <w:pPr>
              <w:spacing w:after="0"/>
              <w:rPr>
                <w:sz w:val="19"/>
                <w:szCs w:val="19"/>
                <w:color w:val="auto"/>
              </w:rPr>
            </w:pPr>
          </w:p>
        </w:tc>
        <w:tc>
          <w:tcPr>
            <w:tcW w:w="54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0%</w:t>
            </w:r>
          </w:p>
        </w:tc>
        <w:tc>
          <w:tcPr>
            <w:tcW w:w="600" w:type="dxa"/>
            <w:vAlign w:val="bottom"/>
            <w:shd w:val="clear" w:color="auto" w:fill="CCEEFF"/>
          </w:tcPr>
          <w:p>
            <w:pPr>
              <w:spacing w:after="0"/>
              <w:rPr>
                <w:sz w:val="19"/>
                <w:szCs w:val="19"/>
                <w:color w:val="auto"/>
              </w:rPr>
            </w:pP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r>
      <w:tr>
        <w:trPr>
          <w:trHeight w:val="223"/>
        </w:trPr>
        <w:tc>
          <w:tcPr>
            <w:tcW w:w="2160" w:type="dxa"/>
            <w:vAlign w:val="bottom"/>
          </w:tcPr>
          <w:p>
            <w:pPr>
              <w:ind w:left="260"/>
              <w:spacing w:after="0"/>
              <w:rPr>
                <w:sz w:val="20"/>
                <w:szCs w:val="20"/>
                <w:color w:val="auto"/>
              </w:rPr>
            </w:pPr>
            <w:r>
              <w:rPr>
                <w:rFonts w:ascii="Arial" w:cs="Arial" w:eastAsia="Arial" w:hAnsi="Arial"/>
                <w:sz w:val="18"/>
                <w:szCs w:val="18"/>
                <w:b w:val="1"/>
                <w:bCs w:val="1"/>
                <w:color w:val="auto"/>
              </w:rPr>
              <w:t>Total</w:t>
            </w:r>
          </w:p>
        </w:tc>
        <w:tc>
          <w:tcPr>
            <w:tcW w:w="1440" w:type="dxa"/>
            <w:vAlign w:val="bottom"/>
          </w:tcPr>
          <w:p>
            <w:pPr>
              <w:spacing w:after="0"/>
              <w:rPr>
                <w:sz w:val="19"/>
                <w:szCs w:val="19"/>
                <w:color w:val="auto"/>
              </w:rPr>
            </w:pPr>
          </w:p>
        </w:tc>
        <w:tc>
          <w:tcPr>
            <w:tcW w:w="540" w:type="dxa"/>
            <w:vAlign w:val="bottom"/>
            <w:tcBorders>
              <w:top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79"/>
              </w:rPr>
              <w:t>$</w:t>
            </w:r>
          </w:p>
        </w:tc>
        <w:tc>
          <w:tcPr>
            <w:tcW w:w="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33</w:t>
            </w:r>
          </w:p>
        </w:tc>
        <w:tc>
          <w:tcPr>
            <w:tcW w:w="180" w:type="dxa"/>
            <w:vAlign w:val="bottom"/>
          </w:tcPr>
          <w:p>
            <w:pPr>
              <w:spacing w:after="0"/>
              <w:rPr>
                <w:sz w:val="19"/>
                <w:szCs w:val="19"/>
                <w:color w:val="auto"/>
              </w:rPr>
            </w:pPr>
          </w:p>
        </w:tc>
        <w:tc>
          <w:tcPr>
            <w:tcW w:w="7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w:t>
            </w:r>
          </w:p>
        </w:tc>
        <w:tc>
          <w:tcPr>
            <w:tcW w:w="260" w:type="dxa"/>
            <w:vAlign w:val="bottom"/>
          </w:tcPr>
          <w:p>
            <w:pPr>
              <w:jc w:val="right"/>
              <w:spacing w:after="0"/>
              <w:rPr>
                <w:sz w:val="20"/>
                <w:szCs w:val="20"/>
                <w:color w:val="auto"/>
              </w:rPr>
            </w:pPr>
            <w:r>
              <w:rPr>
                <w:rFonts w:ascii="Arial" w:cs="Arial" w:eastAsia="Arial" w:hAnsi="Arial"/>
                <w:sz w:val="18"/>
                <w:szCs w:val="18"/>
                <w:b w:val="1"/>
                <w:bCs w:val="1"/>
                <w:color w:val="auto"/>
                <w:w w:val="99"/>
              </w:rPr>
              <w:t>%</w:t>
            </w:r>
          </w:p>
        </w:tc>
        <w:tc>
          <w:tcPr>
            <w:tcW w:w="1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420" w:type="dxa"/>
            <w:vAlign w:val="bottom"/>
            <w:tcBorders>
              <w:top w:val="single" w:sz="8" w:color="auto"/>
            </w:tcBorders>
          </w:tcPr>
          <w:p>
            <w:pPr>
              <w:spacing w:after="0"/>
              <w:rPr>
                <w:sz w:val="19"/>
                <w:szCs w:val="19"/>
                <w:color w:val="auto"/>
              </w:rPr>
            </w:pPr>
          </w:p>
        </w:tc>
        <w:tc>
          <w:tcPr>
            <w:tcW w:w="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19</w:t>
            </w:r>
          </w:p>
        </w:tc>
        <w:tc>
          <w:tcPr>
            <w:tcW w:w="160" w:type="dxa"/>
            <w:vAlign w:val="bottom"/>
          </w:tcPr>
          <w:p>
            <w:pPr>
              <w:spacing w:after="0"/>
              <w:rPr>
                <w:sz w:val="19"/>
                <w:szCs w:val="19"/>
                <w:color w:val="auto"/>
              </w:rPr>
            </w:pPr>
          </w:p>
        </w:tc>
        <w:tc>
          <w:tcPr>
            <w:tcW w:w="440" w:type="dxa"/>
            <w:vAlign w:val="bottom"/>
            <w:tcBorders>
              <w:top w:val="single" w:sz="8" w:color="auto"/>
            </w:tcBorders>
          </w:tcPr>
          <w:p>
            <w:pPr>
              <w:spacing w:after="0"/>
              <w:rPr>
                <w:sz w:val="19"/>
                <w:szCs w:val="19"/>
                <w:color w:val="auto"/>
              </w:rPr>
            </w:pPr>
          </w:p>
        </w:tc>
        <w:tc>
          <w:tcPr>
            <w:tcW w:w="2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86"/>
              </w:rPr>
              <w:t>100</w:t>
            </w:r>
          </w:p>
        </w:tc>
        <w:tc>
          <w:tcPr>
            <w:tcW w:w="260" w:type="dxa"/>
            <w:vAlign w:val="bottom"/>
          </w:tcPr>
          <w:p>
            <w:pPr>
              <w:jc w:val="right"/>
              <w:spacing w:after="0"/>
              <w:rPr>
                <w:sz w:val="20"/>
                <w:szCs w:val="20"/>
                <w:color w:val="auto"/>
              </w:rPr>
            </w:pPr>
            <w:r>
              <w:rPr>
                <w:rFonts w:ascii="Arial" w:cs="Arial" w:eastAsia="Arial" w:hAnsi="Arial"/>
                <w:sz w:val="18"/>
                <w:szCs w:val="18"/>
                <w:b w:val="1"/>
                <w:bCs w:val="1"/>
                <w:color w:val="auto"/>
                <w:w w:val="99"/>
              </w:rPr>
              <w:t>%</w:t>
            </w:r>
          </w:p>
        </w:tc>
        <w:tc>
          <w:tcPr>
            <w:tcW w:w="600" w:type="dxa"/>
            <w:vAlign w:val="bottom"/>
            <w:tcBorders>
              <w:top w:val="single" w:sz="8" w:color="auto"/>
            </w:tcBorders>
          </w:tcPr>
          <w:p>
            <w:pPr>
              <w:jc w:val="right"/>
              <w:ind w:right="410"/>
              <w:spacing w:after="0"/>
              <w:rPr>
                <w:sz w:val="20"/>
                <w:szCs w:val="20"/>
                <w:color w:val="auto"/>
              </w:rPr>
            </w:pPr>
            <w:r>
              <w:rPr>
                <w:rFonts w:ascii="Arial" w:cs="Arial" w:eastAsia="Arial" w:hAnsi="Arial"/>
                <w:sz w:val="18"/>
                <w:szCs w:val="18"/>
                <w:b w:val="1"/>
                <w:bCs w:val="1"/>
                <w:color w:val="auto"/>
                <w:w w:val="79"/>
              </w:rPr>
              <w:t>$</w:t>
            </w:r>
          </w:p>
        </w:tc>
        <w:tc>
          <w:tcPr>
            <w:tcW w:w="1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w:t>
            </w:r>
          </w:p>
        </w:tc>
        <w:tc>
          <w:tcPr>
            <w:tcW w:w="160" w:type="dxa"/>
            <w:vAlign w:val="bottom"/>
          </w:tcPr>
          <w:p>
            <w:pPr>
              <w:spacing w:after="0"/>
              <w:rPr>
                <w:sz w:val="19"/>
                <w:szCs w:val="19"/>
                <w:color w:val="auto"/>
              </w:rPr>
            </w:pPr>
          </w:p>
        </w:tc>
        <w:tc>
          <w:tcPr>
            <w:tcW w:w="7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w:t>
            </w:r>
          </w:p>
        </w:tc>
        <w:tc>
          <w:tcPr>
            <w:tcW w:w="2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w w:val="99"/>
              </w:rPr>
              <w:t>%</w:t>
            </w:r>
          </w:p>
        </w:tc>
      </w:tr>
      <w:tr>
        <w:trPr>
          <w:trHeight w:val="20"/>
        </w:trPr>
        <w:tc>
          <w:tcPr>
            <w:tcW w:w="216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During the year ended December 31, 2017, the Bank had charge-offs against the allowance for ECL on loans at amortized cost totaling $33 million, representing 0.60% of the Loan Portfolio, compared to $19 million, or 0.31% of the Loan Portfolio, along with an $8 million nominal amount of bonds charged-off against the allowance for ECL on investment securities in 2016, and compared to $6 million, or 0.09% of the Loan Portfolio, in 2015.</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1" w:name="page62"/>
    <w:bookmarkEnd w:id="61"/>
    <w:p>
      <w:pPr>
        <w:jc w:val="both"/>
        <w:spacing w:after="0" w:line="277" w:lineRule="auto"/>
        <w:rPr>
          <w:sz w:val="20"/>
          <w:szCs w:val="20"/>
          <w:color w:val="auto"/>
        </w:rPr>
      </w:pPr>
      <w:r>
        <w:rPr>
          <w:rFonts w:ascii="Arial" w:cs="Arial" w:eastAsia="Arial" w:hAnsi="Arial"/>
          <w:sz w:val="18"/>
          <w:szCs w:val="18"/>
          <w:color w:val="auto"/>
        </w:rPr>
        <w:t>In the three-year period ended December 31, 2017, the Bank disbursed approximately $39 billion in credits and had charged-off loans for $58 million, representing 0.15% of credits disbursed.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221E1F"/>
        </w:rPr>
        <w:t>The following table summarizes information regarding outstanding credit-impaired balances as of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920" w:type="dxa"/>
            <w:vAlign w:val="bottom"/>
          </w:tcPr>
          <w:p>
            <w:pPr>
              <w:spacing w:after="0"/>
              <w:rPr>
                <w:sz w:val="20"/>
                <w:szCs w:val="20"/>
                <w:color w:val="auto"/>
              </w:rPr>
            </w:pPr>
          </w:p>
        </w:tc>
        <w:tc>
          <w:tcPr>
            <w:tcW w:w="218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640" w:type="dxa"/>
            <w:vAlign w:val="bottom"/>
            <w:tcBorders>
              <w:bottom w:val="single" w:sz="8" w:color="auto"/>
            </w:tcBorders>
            <w:gridSpan w:val="4"/>
          </w:tcPr>
          <w:p>
            <w:pPr>
              <w:jc w:val="center"/>
              <w:ind w:right="80"/>
              <w:spacing w:after="0"/>
              <w:rPr>
                <w:sz w:val="20"/>
                <w:szCs w:val="20"/>
                <w:color w:val="auto"/>
              </w:rPr>
            </w:pPr>
            <w:r>
              <w:rPr>
                <w:rFonts w:ascii="Arial" w:cs="Arial" w:eastAsia="Arial" w:hAnsi="Arial"/>
                <w:sz w:val="18"/>
                <w:szCs w:val="18"/>
                <w:b w:val="1"/>
                <w:bCs w:val="1"/>
                <w:color w:val="auto"/>
                <w:w w:val="88"/>
              </w:rPr>
              <w:t>As of December 31,</w:t>
            </w:r>
          </w:p>
        </w:tc>
        <w:tc>
          <w:tcPr>
            <w:tcW w:w="2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4920" w:type="dxa"/>
            <w:vAlign w:val="bottom"/>
          </w:tcPr>
          <w:p>
            <w:pPr>
              <w:spacing w:after="0"/>
              <w:rPr>
                <w:sz w:val="19"/>
                <w:szCs w:val="19"/>
                <w:color w:val="auto"/>
              </w:rPr>
            </w:pPr>
          </w:p>
        </w:tc>
        <w:tc>
          <w:tcPr>
            <w:tcW w:w="218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0"/>
        </w:trPr>
        <w:tc>
          <w:tcPr>
            <w:tcW w:w="4920" w:type="dxa"/>
            <w:vAlign w:val="bottom"/>
          </w:tcPr>
          <w:p>
            <w:pPr>
              <w:spacing w:after="0"/>
              <w:rPr>
                <w:sz w:val="18"/>
                <w:szCs w:val="18"/>
                <w:color w:val="auto"/>
              </w:rPr>
            </w:pPr>
          </w:p>
        </w:tc>
        <w:tc>
          <w:tcPr>
            <w:tcW w:w="2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4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9"/>
              </w:rPr>
              <w:t>(in $ thousands)</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Non-performing loans:</w:t>
            </w:r>
          </w:p>
        </w:tc>
        <w:tc>
          <w:tcPr>
            <w:tcW w:w="21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4920" w:type="dxa"/>
            <w:vAlign w:val="bottom"/>
          </w:tcPr>
          <w:p>
            <w:pPr>
              <w:ind w:left="180"/>
              <w:spacing w:after="0"/>
              <w:rPr>
                <w:sz w:val="20"/>
                <w:szCs w:val="20"/>
                <w:color w:val="auto"/>
              </w:rPr>
            </w:pPr>
            <w:r>
              <w:rPr>
                <w:rFonts w:ascii="Arial" w:cs="Arial" w:eastAsia="Arial" w:hAnsi="Arial"/>
                <w:sz w:val="18"/>
                <w:szCs w:val="18"/>
                <w:color w:val="auto"/>
              </w:rPr>
              <w:t>Brazil:</w:t>
            </w:r>
          </w:p>
        </w:tc>
        <w:tc>
          <w:tcPr>
            <w:tcW w:w="2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2460" w:type="dxa"/>
            <w:vAlign w:val="bottom"/>
            <w:gridSpan w:val="2"/>
            <w:shd w:val="clear" w:color="auto" w:fill="CCEEFF"/>
          </w:tcPr>
          <w:p>
            <w:pPr>
              <w:jc w:val="right"/>
              <w:ind w:right="125"/>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19,275</w:t>
            </w:r>
          </w:p>
        </w:tc>
        <w:tc>
          <w:tcPr>
            <w:tcW w:w="460" w:type="dxa"/>
            <w:vAlign w:val="bottom"/>
            <w:gridSpan w:val="2"/>
            <w:shd w:val="clear" w:color="auto" w:fill="CCEEFF"/>
          </w:tcPr>
          <w:p>
            <w:pPr>
              <w:jc w:val="right"/>
              <w:ind w:right="105"/>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14,364</w:t>
            </w:r>
          </w:p>
        </w:tc>
        <w:tc>
          <w:tcPr>
            <w:tcW w:w="280" w:type="dxa"/>
            <w:vAlign w:val="bottom"/>
            <w:gridSpan w:val="2"/>
            <w:shd w:val="clear" w:color="auto" w:fill="CCEEFF"/>
          </w:tcPr>
          <w:p>
            <w:pPr>
              <w:jc w:val="right"/>
              <w:ind w:right="105"/>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4,706</w:t>
            </w:r>
          </w:p>
        </w:tc>
        <w:tc>
          <w:tcPr>
            <w:tcW w:w="80" w:type="dxa"/>
            <w:vAlign w:val="bottom"/>
            <w:shd w:val="clear" w:color="auto" w:fill="CCEEFF"/>
          </w:tcPr>
          <w:p>
            <w:pPr>
              <w:spacing w:after="0"/>
              <w:rPr>
                <w:sz w:val="18"/>
                <w:szCs w:val="18"/>
                <w:color w:val="auto"/>
              </w:rPr>
            </w:pPr>
          </w:p>
        </w:tc>
      </w:tr>
      <w:tr>
        <w:trPr>
          <w:trHeight w:val="230"/>
        </w:trPr>
        <w:tc>
          <w:tcPr>
            <w:tcW w:w="4920" w:type="dxa"/>
            <w:vAlign w:val="bottom"/>
          </w:tcPr>
          <w:p>
            <w:pPr>
              <w:ind w:left="340"/>
              <w:spacing w:after="0"/>
              <w:rPr>
                <w:sz w:val="20"/>
                <w:szCs w:val="20"/>
                <w:color w:val="auto"/>
              </w:rPr>
            </w:pPr>
            <w:r>
              <w:rPr>
                <w:rFonts w:ascii="Arial" w:cs="Arial" w:eastAsia="Arial" w:hAnsi="Arial"/>
                <w:sz w:val="18"/>
                <w:szCs w:val="18"/>
                <w:color w:val="auto"/>
              </w:rPr>
              <w:t>Private middle-market companies</w:t>
            </w:r>
          </w:p>
        </w:tc>
        <w:tc>
          <w:tcPr>
            <w:tcW w:w="21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35,000</w:t>
            </w:r>
          </w:p>
        </w:tc>
        <w:tc>
          <w:tcPr>
            <w:tcW w:w="2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35,000</w:t>
            </w:r>
          </w:p>
        </w:tc>
        <w:tc>
          <w:tcPr>
            <w:tcW w:w="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9"/>
                <w:szCs w:val="19"/>
                <w:color w:val="auto"/>
              </w:rPr>
            </w:pPr>
          </w:p>
        </w:tc>
      </w:tr>
      <w:tr>
        <w:trPr>
          <w:trHeight w:val="210"/>
        </w:trPr>
        <w:tc>
          <w:tcPr>
            <w:tcW w:w="492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Subtotal Brazil</w:t>
            </w:r>
          </w:p>
        </w:tc>
        <w:tc>
          <w:tcPr>
            <w:tcW w:w="21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54,275</w:t>
            </w: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49,364</w:t>
            </w: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4,706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4920" w:type="dxa"/>
            <w:vAlign w:val="bottom"/>
          </w:tcPr>
          <w:p>
            <w:pPr>
              <w:ind w:left="180"/>
              <w:spacing w:after="0"/>
              <w:rPr>
                <w:sz w:val="20"/>
                <w:szCs w:val="20"/>
                <w:color w:val="auto"/>
              </w:rPr>
            </w:pPr>
            <w:r>
              <w:rPr>
                <w:rFonts w:ascii="Arial" w:cs="Arial" w:eastAsia="Arial" w:hAnsi="Arial"/>
                <w:sz w:val="18"/>
                <w:szCs w:val="18"/>
                <w:color w:val="auto"/>
              </w:rPr>
              <w:t>Colombia:</w:t>
            </w:r>
          </w:p>
        </w:tc>
        <w:tc>
          <w:tcPr>
            <w:tcW w:w="2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21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46,716</w:t>
            </w:r>
          </w:p>
        </w:tc>
        <w:tc>
          <w:tcPr>
            <w:tcW w:w="80" w:type="dxa"/>
            <w:vAlign w:val="bottom"/>
            <w:shd w:val="clear" w:color="auto" w:fill="CCEEFF"/>
          </w:tcPr>
          <w:p>
            <w:pPr>
              <w:spacing w:after="0"/>
              <w:rPr>
                <w:sz w:val="18"/>
                <w:szCs w:val="18"/>
                <w:color w:val="auto"/>
              </w:rPr>
            </w:pPr>
          </w:p>
        </w:tc>
      </w:tr>
      <w:tr>
        <w:trPr>
          <w:trHeight w:val="216"/>
        </w:trPr>
        <w:tc>
          <w:tcPr>
            <w:tcW w:w="4920" w:type="dxa"/>
            <w:vAlign w:val="bottom"/>
          </w:tcPr>
          <w:p>
            <w:pPr>
              <w:ind w:left="180"/>
              <w:spacing w:after="0"/>
              <w:rPr>
                <w:sz w:val="20"/>
                <w:szCs w:val="20"/>
                <w:color w:val="auto"/>
              </w:rPr>
            </w:pPr>
            <w:r>
              <w:rPr>
                <w:rFonts w:ascii="Arial" w:cs="Arial" w:eastAsia="Arial" w:hAnsi="Arial"/>
                <w:sz w:val="18"/>
                <w:szCs w:val="18"/>
                <w:color w:val="auto"/>
              </w:rPr>
              <w:t>Mexico:</w:t>
            </w:r>
          </w:p>
        </w:tc>
        <w:tc>
          <w:tcPr>
            <w:tcW w:w="2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middle-market companies</w:t>
            </w:r>
          </w:p>
        </w:tc>
        <w:tc>
          <w:tcPr>
            <w:tcW w:w="21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907</w:t>
            </w:r>
          </w:p>
        </w:tc>
        <w:tc>
          <w:tcPr>
            <w:tcW w:w="80" w:type="dxa"/>
            <w:vAlign w:val="bottom"/>
            <w:shd w:val="clear" w:color="auto" w:fill="CCEEFF"/>
          </w:tcPr>
          <w:p>
            <w:pPr>
              <w:spacing w:after="0"/>
              <w:rPr>
                <w:sz w:val="18"/>
                <w:szCs w:val="18"/>
                <w:color w:val="auto"/>
              </w:rPr>
            </w:pPr>
          </w:p>
        </w:tc>
      </w:tr>
      <w:tr>
        <w:trPr>
          <w:trHeight w:val="216"/>
        </w:trPr>
        <w:tc>
          <w:tcPr>
            <w:tcW w:w="4920" w:type="dxa"/>
            <w:vAlign w:val="bottom"/>
          </w:tcPr>
          <w:p>
            <w:pPr>
              <w:ind w:left="180"/>
              <w:spacing w:after="0"/>
              <w:rPr>
                <w:sz w:val="20"/>
                <w:szCs w:val="20"/>
                <w:color w:val="auto"/>
              </w:rPr>
            </w:pPr>
            <w:r>
              <w:rPr>
                <w:rFonts w:ascii="Arial" w:cs="Arial" w:eastAsia="Arial" w:hAnsi="Arial"/>
                <w:sz w:val="18"/>
                <w:szCs w:val="18"/>
                <w:color w:val="auto"/>
              </w:rPr>
              <w:t>Panama:</w:t>
            </w:r>
          </w:p>
        </w:tc>
        <w:tc>
          <w:tcPr>
            <w:tcW w:w="2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21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12,000</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r>
      <w:tr>
        <w:trPr>
          <w:trHeight w:val="216"/>
        </w:trPr>
        <w:tc>
          <w:tcPr>
            <w:tcW w:w="4920" w:type="dxa"/>
            <w:vAlign w:val="bottom"/>
          </w:tcPr>
          <w:p>
            <w:pPr>
              <w:ind w:left="180"/>
              <w:spacing w:after="0"/>
              <w:rPr>
                <w:sz w:val="20"/>
                <w:szCs w:val="20"/>
                <w:color w:val="auto"/>
              </w:rPr>
            </w:pPr>
            <w:r>
              <w:rPr>
                <w:rFonts w:ascii="Arial" w:cs="Arial" w:eastAsia="Arial" w:hAnsi="Arial"/>
                <w:sz w:val="18"/>
                <w:szCs w:val="18"/>
                <w:color w:val="auto"/>
              </w:rPr>
              <w:t>Paraguay:</w:t>
            </w:r>
          </w:p>
        </w:tc>
        <w:tc>
          <w:tcPr>
            <w:tcW w:w="2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21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4,484</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r>
      <w:tr>
        <w:trPr>
          <w:trHeight w:val="216"/>
        </w:trPr>
        <w:tc>
          <w:tcPr>
            <w:tcW w:w="4920" w:type="dxa"/>
            <w:vAlign w:val="bottom"/>
          </w:tcPr>
          <w:p>
            <w:pPr>
              <w:ind w:left="180"/>
              <w:spacing w:after="0"/>
              <w:rPr>
                <w:sz w:val="20"/>
                <w:szCs w:val="20"/>
                <w:color w:val="auto"/>
              </w:rPr>
            </w:pPr>
            <w:r>
              <w:rPr>
                <w:rFonts w:ascii="Arial" w:cs="Arial" w:eastAsia="Arial" w:hAnsi="Arial"/>
                <w:sz w:val="18"/>
                <w:szCs w:val="18"/>
                <w:color w:val="auto"/>
              </w:rPr>
              <w:t>Uruguay:</w:t>
            </w:r>
          </w:p>
        </w:tc>
        <w:tc>
          <w:tcPr>
            <w:tcW w:w="21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4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218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4,000</w:t>
            </w:r>
          </w:p>
        </w:tc>
        <w:tc>
          <w:tcPr>
            <w:tcW w:w="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r>
      <w:tr>
        <w:trPr>
          <w:trHeight w:val="223"/>
        </w:trPr>
        <w:tc>
          <w:tcPr>
            <w:tcW w:w="4920" w:type="dxa"/>
            <w:vAlign w:val="bottom"/>
          </w:tcPr>
          <w:p>
            <w:pPr>
              <w:spacing w:after="0"/>
              <w:rPr>
                <w:sz w:val="20"/>
                <w:szCs w:val="20"/>
                <w:color w:val="auto"/>
              </w:rPr>
            </w:pPr>
            <w:r>
              <w:rPr>
                <w:rFonts w:ascii="Arial" w:cs="Arial" w:eastAsia="Arial" w:hAnsi="Arial"/>
                <w:sz w:val="18"/>
                <w:szCs w:val="18"/>
                <w:color w:val="auto"/>
              </w:rPr>
              <w:t>Total non-performing loans</w:t>
            </w:r>
          </w:p>
        </w:tc>
        <w:tc>
          <w:tcPr>
            <w:tcW w:w="2180" w:type="dxa"/>
            <w:vAlign w:val="bottom"/>
          </w:tcPr>
          <w:p>
            <w:pPr>
              <w:spacing w:after="0"/>
              <w:rPr>
                <w:sz w:val="19"/>
                <w:szCs w:val="19"/>
                <w:color w:val="auto"/>
              </w:rPr>
            </w:pPr>
          </w:p>
        </w:tc>
        <w:tc>
          <w:tcPr>
            <w:tcW w:w="280" w:type="dxa"/>
            <w:vAlign w:val="bottom"/>
            <w:tcBorders>
              <w:top w:val="single" w:sz="8" w:color="auto"/>
              <w:bottom w:val="single" w:sz="8" w:color="auto"/>
            </w:tcBorders>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58,759</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60" w:type="dxa"/>
            <w:vAlign w:val="bottom"/>
            <w:tcBorders>
              <w:top w:val="single" w:sz="8" w:color="auto"/>
              <w:bottom w:val="single" w:sz="8" w:color="auto"/>
            </w:tcBorders>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65,364</w:t>
            </w:r>
          </w:p>
        </w:tc>
        <w:tc>
          <w:tcPr>
            <w:tcW w:w="20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52,329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920" w:type="dxa"/>
            <w:vAlign w:val="bottom"/>
          </w:tcPr>
          <w:p>
            <w:pPr>
              <w:spacing w:after="0" w:line="20" w:lineRule="exact"/>
              <w:rPr>
                <w:sz w:val="1"/>
                <w:szCs w:val="1"/>
                <w:color w:val="auto"/>
              </w:rPr>
            </w:pPr>
          </w:p>
        </w:tc>
        <w:tc>
          <w:tcPr>
            <w:tcW w:w="218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221E1F"/>
        </w:rPr>
        <w:t>As of the end of each reported period, the Bank did not have, other than those specified above, accrual loans with principal or interest payments contractually past due by 90 days or more.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Allowance for ECL</w:t>
      </w:r>
    </w:p>
    <w:p>
      <w:pPr>
        <w:spacing w:after="0" w:line="225"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The allowance for ECL is provided for losses derived from the credit extension process, inherent in the Loan Portfolio and loan commitments and financial guarantee contracts, using the reserve methodology to determine ECL. Additions to the allowance for ECL are made by debiting earnings. Credit losses are deducted from the allowance, and subsequent recoveries are added. The allowance is also decreased by reversals of the allowance back to earnings. The allowance for expected credit losses for loans at amortized cost is reported as a deduction of loans and, as a liability, the allowance for expected credit losses on loan commitments and financial guarantee contracts, such as letters of credit and guarantees.</w:t>
      </w:r>
    </w:p>
    <w:p>
      <w:pPr>
        <w:spacing w:after="0" w:line="173"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measures ECL in a way that reflects: (a) an unbiased and probability-weighted amount that is determined by evaluating a range of possible outcomes; (b) the time value of money; and (c) reasonable and supportable information that is available without undue cost or effort at the reporting date about past events, current conditions and forecast of future economic conditions.</w:t>
      </w:r>
    </w:p>
    <w:p>
      <w:pPr>
        <w:spacing w:after="0" w:line="181"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expected credit loss model reflects the general pattern of deterioration or improvement in the credit quality of the loans. The amount of ECL recognized as a loss allowance or provision depends on the extent of credit deterioration since initial recognition. There are two measurement bases:</w:t>
      </w:r>
    </w:p>
    <w:p>
      <w:pPr>
        <w:spacing w:after="0" w:line="147" w:lineRule="exact"/>
        <w:rPr>
          <w:sz w:val="20"/>
          <w:szCs w:val="20"/>
          <w:color w:val="auto"/>
        </w:rPr>
      </w:pPr>
    </w:p>
    <w:p>
      <w:pPr>
        <w:ind w:left="980" w:hanging="324"/>
        <w:spacing w:after="0"/>
        <w:tabs>
          <w:tab w:leader="none" w:pos="980" w:val="left"/>
        </w:tabs>
        <w:numPr>
          <w:ilvl w:val="0"/>
          <w:numId w:val="42"/>
        </w:numPr>
        <w:rPr>
          <w:rFonts w:ascii="Arial" w:cs="Arial" w:eastAsia="Arial" w:hAnsi="Arial"/>
          <w:sz w:val="17"/>
          <w:szCs w:val="17"/>
          <w:color w:val="auto"/>
        </w:rPr>
      </w:pPr>
      <w:r>
        <w:rPr>
          <w:rFonts w:ascii="Arial" w:cs="Arial" w:eastAsia="Arial" w:hAnsi="Arial"/>
          <w:sz w:val="17"/>
          <w:szCs w:val="17"/>
          <w:color w:val="auto"/>
        </w:rPr>
        <w:t>12-month ECL (Stage 1), which applies to all loans (from initial recognition) as long as there is no significant deterioration in credit quality,</w:t>
      </w:r>
    </w:p>
    <w:p>
      <w:pPr>
        <w:spacing w:after="0" w:line="236" w:lineRule="exact"/>
        <w:rPr>
          <w:rFonts w:ascii="Arial" w:cs="Arial" w:eastAsia="Arial" w:hAnsi="Arial"/>
          <w:sz w:val="17"/>
          <w:szCs w:val="17"/>
          <w:color w:val="auto"/>
        </w:rPr>
      </w:pPr>
    </w:p>
    <w:p>
      <w:pPr>
        <w:jc w:val="both"/>
        <w:ind w:left="980" w:hanging="324"/>
        <w:spacing w:after="0" w:line="291" w:lineRule="auto"/>
        <w:tabs>
          <w:tab w:leader="none" w:pos="980" w:val="left"/>
        </w:tabs>
        <w:numPr>
          <w:ilvl w:val="0"/>
          <w:numId w:val="42"/>
        </w:numPr>
        <w:rPr>
          <w:rFonts w:ascii="Arial" w:cs="Arial" w:eastAsia="Arial" w:hAnsi="Arial"/>
          <w:sz w:val="16"/>
          <w:szCs w:val="16"/>
          <w:color w:val="auto"/>
        </w:rPr>
      </w:pPr>
      <w:r>
        <w:rPr>
          <w:rFonts w:ascii="Arial" w:cs="Arial" w:eastAsia="Arial" w:hAnsi="Arial"/>
          <w:sz w:val="16"/>
          <w:szCs w:val="16"/>
          <w:color w:val="auto"/>
        </w:rPr>
        <w:t>Lifetime ECL (Stages 2 and 3), which applies when a significant increase in credit risk has occurred on an individual or collective basis. In Stages 2 and 3 interest revenue is recognized. Under Stage 2 (as under Stage 1), there is a full decoupling between interest recognition and impairment and interest revenue is calculated on the gross carrying amount. Under Stage 3, when a loan subsequently becomes credit impaired (when a credit event has occurred), interest revenue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Bank will once again calculate the interest revenue on a gross basis.</w:t>
      </w:r>
    </w:p>
    <w:p>
      <w:pPr>
        <w:spacing w:after="0" w:line="38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62" w:name="page63"/>
    <w:bookmarkEnd w:id="62"/>
    <w:p>
      <w:pPr>
        <w:jc w:val="both"/>
        <w:spacing w:after="0" w:line="273" w:lineRule="auto"/>
        <w:rPr>
          <w:sz w:val="20"/>
          <w:szCs w:val="20"/>
          <w:color w:val="auto"/>
        </w:rPr>
      </w:pPr>
      <w:r>
        <w:rPr>
          <w:rFonts w:ascii="Arial" w:cs="Arial" w:eastAsia="Arial" w:hAnsi="Arial"/>
          <w:sz w:val="17"/>
          <w:szCs w:val="17"/>
          <w:color w:val="auto"/>
        </w:rPr>
        <w:t>The allowance for ECL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(collective assessment basis), covers the Bank’s performing Credit Portfolio and it is established based in a process that estimates the probable loss inherent in the portfolio, based on statistical analysis and management’s qualitative judgment. This analysis considers comprehensive information that incorporates not only past-due data, but other relevant credit information, such as forward looking macro-economic information.</w:t>
      </w:r>
    </w:p>
    <w:p>
      <w:pPr>
        <w:spacing w:after="0" w:line="17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classification of the Bank’s Credit Portfolio for allowances for credit losses under IFRS is determined by risk management guidelines and approved by the CPER of the Bank’s Board through statistical modeling, internal risk ratings and estimates. Informed judgments must be made when identifying impaired loans, the PD, the expected loss, the value of collateral and current economic conditions. Even though the Bank’s management considers its allowances for ECL to be adequate, the use of different estimates and assumptions could produce different allowances for ECL, and amendments to the allowances may be required in the future due to changes in the value of collateral, the amount of cash expected to be received or other economic events. In addition, risk management has established and maintains allowances for ECL related to the Bank’s loan commitments and financial guarantee contracts.</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color w:val="auto"/>
        </w:rPr>
        <w:t>For additional information regarding allowance for ECL, see Item 18, “Financial Statements,” notes 3.6, 3.22, 5.5 and 6.</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sets forth information regarding the Bank’s allowance for ECL with respect to the total Commercial Portfolio outstanding as of December 31 of each year:</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560" w:type="dxa"/>
            <w:vAlign w:val="bottom"/>
            <w:tcBorders>
              <w:bottom w:val="single" w:sz="8" w:color="auto"/>
            </w:tcBorders>
            <w:gridSpan w:val="4"/>
          </w:tcPr>
          <w:p>
            <w:pPr>
              <w:jc w:val="center"/>
              <w:spacing w:after="0"/>
              <w:rPr>
                <w:sz w:val="20"/>
                <w:szCs w:val="20"/>
                <w:color w:val="auto"/>
              </w:rPr>
            </w:pPr>
            <w:r>
              <w:rPr>
                <w:rFonts w:ascii="Arial" w:cs="Arial" w:eastAsia="Arial" w:hAnsi="Arial"/>
                <w:sz w:val="18"/>
                <w:szCs w:val="18"/>
                <w:b w:val="1"/>
                <w:bCs w:val="1"/>
                <w:color w:val="auto"/>
                <w:w w:val="89"/>
              </w:rPr>
              <w:t>As of December 31,</w:t>
            </w: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8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2017</w:t>
            </w:r>
          </w:p>
        </w:tc>
        <w:tc>
          <w:tcPr>
            <w:tcW w:w="2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840" w:type="dxa"/>
            <w:vAlign w:val="bottom"/>
            <w:tcBorders>
              <w:bottom w:val="single" w:sz="8" w:color="auto"/>
            </w:tcBorders>
          </w:tcPr>
          <w:p>
            <w:pPr>
              <w:jc w:val="center"/>
              <w:ind w:right="150"/>
              <w:spacing w:after="0"/>
              <w:rPr>
                <w:sz w:val="20"/>
                <w:szCs w:val="20"/>
                <w:color w:val="auto"/>
              </w:rPr>
            </w:pPr>
            <w:r>
              <w:rPr>
                <w:rFonts w:ascii="Arial" w:cs="Arial" w:eastAsia="Arial" w:hAnsi="Arial"/>
                <w:sz w:val="18"/>
                <w:szCs w:val="18"/>
                <w:b w:val="1"/>
                <w:bCs w:val="1"/>
                <w:color w:val="auto"/>
                <w:w w:val="89"/>
              </w:rPr>
              <w:t>2016</w:t>
            </w:r>
          </w:p>
        </w:tc>
        <w:tc>
          <w:tcPr>
            <w:tcW w:w="24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8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2015</w:t>
            </w:r>
          </w:p>
        </w:tc>
        <w:tc>
          <w:tcPr>
            <w:tcW w:w="160" w:type="dxa"/>
            <w:vAlign w:val="bottom"/>
          </w:tcPr>
          <w:p>
            <w:pPr>
              <w:spacing w:after="0"/>
              <w:rPr>
                <w:sz w:val="19"/>
                <w:szCs w:val="19"/>
                <w:color w:val="auto"/>
              </w:rPr>
            </w:pP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60" w:type="dxa"/>
            <w:vAlign w:val="bottom"/>
            <w:gridSpan w:val="7"/>
          </w:tcPr>
          <w:p>
            <w:pPr>
              <w:jc w:val="center"/>
              <w:ind w:right="110"/>
              <w:spacing w:after="0"/>
              <w:rPr>
                <w:sz w:val="20"/>
                <w:szCs w:val="20"/>
                <w:color w:val="auto"/>
              </w:rPr>
            </w:pPr>
            <w:r>
              <w:rPr>
                <w:rFonts w:ascii="Arial" w:cs="Arial" w:eastAsia="Arial" w:hAnsi="Arial"/>
                <w:sz w:val="18"/>
                <w:szCs w:val="18"/>
                <w:b w:val="1"/>
                <w:bCs w:val="1"/>
                <w:color w:val="auto"/>
                <w:w w:val="87"/>
              </w:rPr>
              <w:t>(in $ millions, except percentages)</w:t>
            </w:r>
          </w:p>
        </w:tc>
        <w:tc>
          <w:tcPr>
            <w:tcW w:w="16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i w:val="1"/>
                <w:iCs w:val="1"/>
                <w:color w:val="auto"/>
              </w:rPr>
              <w:t>Components of the allowance for ECL</w:t>
            </w:r>
          </w:p>
        </w:tc>
        <w:tc>
          <w:tcPr>
            <w:tcW w:w="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b w:val="1"/>
                <w:bCs w:val="1"/>
                <w:color w:val="auto"/>
              </w:rPr>
              <w:t>Allowance for ECL on loans:</w:t>
            </w:r>
          </w:p>
        </w:tc>
        <w:tc>
          <w:tcPr>
            <w:tcW w:w="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Balance at beginning of the year</w:t>
            </w:r>
          </w:p>
        </w:tc>
        <w:tc>
          <w:tcPr>
            <w:tcW w:w="7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106.0</w:t>
            </w:r>
          </w:p>
        </w:tc>
        <w:tc>
          <w:tcPr>
            <w:tcW w:w="220" w:type="dxa"/>
            <w:vAlign w:val="bottom"/>
            <w:shd w:val="clear" w:color="auto" w:fill="CCEEFF"/>
          </w:tcPr>
          <w:p>
            <w:pPr>
              <w:jc w:val="right"/>
              <w:ind w:right="65"/>
              <w:spacing w:after="0"/>
              <w:rPr>
                <w:sz w:val="20"/>
                <w:szCs w:val="20"/>
                <w:color w:val="auto"/>
              </w:rPr>
            </w:pPr>
            <w:r>
              <w:rPr>
                <w:rFonts w:ascii="Arial" w:cs="Arial" w:eastAsia="Arial" w:hAnsi="Arial"/>
                <w:sz w:val="15"/>
                <w:szCs w:val="15"/>
                <w:color w:val="auto"/>
                <w:w w:val="71"/>
              </w:rPr>
              <w:t>$</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90.0</w:t>
            </w:r>
          </w:p>
        </w:tc>
        <w:tc>
          <w:tcPr>
            <w:tcW w:w="22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77.7</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Impairment loss for ECL</w:t>
            </w:r>
          </w:p>
        </w:tc>
        <w:tc>
          <w:tcPr>
            <w:tcW w:w="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gridSpan w:val="2"/>
          </w:tcPr>
          <w:p>
            <w:pPr>
              <w:jc w:val="right"/>
              <w:ind w:right="170"/>
              <w:spacing w:after="0"/>
              <w:rPr>
                <w:sz w:val="20"/>
                <w:szCs w:val="20"/>
                <w:color w:val="auto"/>
              </w:rPr>
            </w:pPr>
            <w:r>
              <w:rPr>
                <w:rFonts w:ascii="Arial" w:cs="Arial" w:eastAsia="Arial" w:hAnsi="Arial"/>
                <w:sz w:val="18"/>
                <w:szCs w:val="18"/>
                <w:color w:val="auto"/>
              </w:rPr>
              <w:t>8.9</w:t>
            </w:r>
          </w:p>
        </w:tc>
        <w:tc>
          <w:tcPr>
            <w:tcW w:w="220" w:type="dxa"/>
            <w:vAlign w:val="bottom"/>
          </w:tcPr>
          <w:p>
            <w:pPr>
              <w:spacing w:after="0"/>
              <w:rPr>
                <w:sz w:val="18"/>
                <w:szCs w:val="18"/>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34.7</w:t>
            </w:r>
          </w:p>
        </w:tc>
        <w:tc>
          <w:tcPr>
            <w:tcW w:w="2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17.2</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Recoveries</w:t>
            </w:r>
          </w:p>
        </w:tc>
        <w:tc>
          <w:tcPr>
            <w:tcW w:w="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0.0</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0.1</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0.7</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Loans charged-off</w:t>
            </w:r>
          </w:p>
        </w:tc>
        <w:tc>
          <w:tcPr>
            <w:tcW w:w="4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00" w:type="dxa"/>
            <w:vAlign w:val="bottom"/>
            <w:gridSpan w:val="2"/>
          </w:tcPr>
          <w:p>
            <w:pPr>
              <w:jc w:val="right"/>
              <w:ind w:right="110"/>
              <w:spacing w:after="0"/>
              <w:rPr>
                <w:sz w:val="20"/>
                <w:szCs w:val="20"/>
                <w:color w:val="auto"/>
              </w:rPr>
            </w:pPr>
            <w:r>
              <w:rPr>
                <w:rFonts w:ascii="Arial" w:cs="Arial" w:eastAsia="Arial" w:hAnsi="Arial"/>
                <w:sz w:val="18"/>
                <w:szCs w:val="18"/>
                <w:color w:val="auto"/>
              </w:rPr>
              <w:t>(33.6)</w:t>
            </w:r>
          </w:p>
        </w:tc>
        <w:tc>
          <w:tcPr>
            <w:tcW w:w="220" w:type="dxa"/>
            <w:vAlign w:val="bottom"/>
          </w:tcPr>
          <w:p>
            <w:pPr>
              <w:spacing w:after="0"/>
              <w:rPr>
                <w:sz w:val="19"/>
                <w:szCs w:val="19"/>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8"/>
                <w:szCs w:val="18"/>
                <w:color w:val="auto"/>
              </w:rPr>
              <w:t>(18.8)</w:t>
            </w:r>
          </w:p>
        </w:tc>
        <w:tc>
          <w:tcPr>
            <w:tcW w:w="220" w:type="dxa"/>
            <w:vAlign w:val="bottom"/>
          </w:tcPr>
          <w:p>
            <w:pPr>
              <w:spacing w:after="0"/>
              <w:rPr>
                <w:sz w:val="19"/>
                <w:szCs w:val="19"/>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(5.7)</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Balance at the end of the year</w:t>
            </w:r>
          </w:p>
        </w:tc>
        <w:tc>
          <w:tcPr>
            <w:tcW w:w="4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81.3</w:t>
            </w:r>
          </w:p>
        </w:tc>
        <w:tc>
          <w:tcPr>
            <w:tcW w:w="2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jc w:val="right"/>
              <w:ind w:right="65"/>
              <w:spacing w:after="0"/>
              <w:rPr>
                <w:sz w:val="20"/>
                <w:szCs w:val="20"/>
                <w:color w:val="auto"/>
              </w:rPr>
            </w:pPr>
            <w:r>
              <w:rPr>
                <w:rFonts w:ascii="Arial" w:cs="Arial" w:eastAsia="Arial" w:hAnsi="Arial"/>
                <w:sz w:val="15"/>
                <w:szCs w:val="15"/>
                <w:color w:val="auto"/>
                <w:w w:val="71"/>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106.0</w:t>
            </w:r>
          </w:p>
        </w:tc>
        <w:tc>
          <w:tcPr>
            <w:tcW w:w="24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90.0</w:t>
            </w:r>
          </w:p>
        </w:tc>
        <w:tc>
          <w:tcPr>
            <w:tcW w:w="160" w:type="dxa"/>
            <w:vAlign w:val="bottom"/>
            <w:tcBorders>
              <w:top w:val="single" w:sz="8" w:color="CCEEFF"/>
            </w:tcBorders>
            <w:shd w:val="clear" w:color="auto" w:fill="CCEEFF"/>
          </w:tcPr>
          <w:p>
            <w:pPr>
              <w:spacing w:after="0"/>
              <w:rPr>
                <w:sz w:val="18"/>
                <w:szCs w:val="18"/>
                <w:color w:val="auto"/>
              </w:rPr>
            </w:pP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5380" w:type="dxa"/>
            <w:vAlign w:val="bottom"/>
          </w:tcPr>
          <w:p>
            <w:pPr>
              <w:spacing w:after="0" w:line="198" w:lineRule="exact"/>
              <w:rPr>
                <w:sz w:val="20"/>
                <w:szCs w:val="20"/>
                <w:color w:val="auto"/>
              </w:rPr>
            </w:pPr>
            <w:r>
              <w:rPr>
                <w:rFonts w:ascii="Arial" w:cs="Arial" w:eastAsia="Arial" w:hAnsi="Arial"/>
                <w:sz w:val="18"/>
                <w:szCs w:val="18"/>
                <w:b w:val="1"/>
                <w:bCs w:val="1"/>
                <w:color w:val="auto"/>
                <w:w w:val="94"/>
              </w:rPr>
              <w:t>Allowance for ECL on loan commitments and financial guarantees</w:t>
            </w:r>
          </w:p>
        </w:tc>
        <w:tc>
          <w:tcPr>
            <w:tcW w:w="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5380" w:type="dxa"/>
            <w:vAlign w:val="bottom"/>
          </w:tcPr>
          <w:p>
            <w:pPr>
              <w:spacing w:after="0"/>
              <w:rPr>
                <w:sz w:val="20"/>
                <w:szCs w:val="20"/>
                <w:color w:val="auto"/>
              </w:rPr>
            </w:pPr>
            <w:r>
              <w:rPr>
                <w:rFonts w:ascii="Arial" w:cs="Arial" w:eastAsia="Arial" w:hAnsi="Arial"/>
                <w:sz w:val="18"/>
                <w:szCs w:val="18"/>
                <w:b w:val="1"/>
                <w:bCs w:val="1"/>
                <w:color w:val="auto"/>
              </w:rPr>
              <w:t>contracts:</w:t>
            </w:r>
          </w:p>
        </w:tc>
        <w:tc>
          <w:tcPr>
            <w:tcW w:w="4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Balance at beginning of the year</w:t>
            </w:r>
          </w:p>
        </w:tc>
        <w:tc>
          <w:tcPr>
            <w:tcW w:w="7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5.8</w:t>
            </w:r>
          </w:p>
        </w:tc>
        <w:tc>
          <w:tcPr>
            <w:tcW w:w="220" w:type="dxa"/>
            <w:vAlign w:val="bottom"/>
            <w:shd w:val="clear" w:color="auto" w:fill="CCEEFF"/>
          </w:tcPr>
          <w:p>
            <w:pPr>
              <w:jc w:val="right"/>
              <w:ind w:right="65"/>
              <w:spacing w:after="0"/>
              <w:rPr>
                <w:sz w:val="20"/>
                <w:szCs w:val="20"/>
                <w:color w:val="auto"/>
              </w:rPr>
            </w:pPr>
            <w:r>
              <w:rPr>
                <w:rFonts w:ascii="Arial" w:cs="Arial" w:eastAsia="Arial" w:hAnsi="Arial"/>
                <w:sz w:val="15"/>
                <w:szCs w:val="15"/>
                <w:color w:val="auto"/>
                <w:w w:val="71"/>
              </w:rPr>
              <w:t>$</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5.4</w:t>
            </w:r>
          </w:p>
        </w:tc>
        <w:tc>
          <w:tcPr>
            <w:tcW w:w="22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9.9</w:t>
            </w: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Impairment loss (recovery) for ECL</w:t>
            </w:r>
          </w:p>
        </w:tc>
        <w:tc>
          <w:tcPr>
            <w:tcW w:w="4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00" w:type="dxa"/>
            <w:vAlign w:val="bottom"/>
            <w:gridSpan w:val="2"/>
          </w:tcPr>
          <w:p>
            <w:pPr>
              <w:jc w:val="right"/>
              <w:ind w:right="170"/>
              <w:spacing w:after="0"/>
              <w:rPr>
                <w:sz w:val="20"/>
                <w:szCs w:val="20"/>
                <w:color w:val="auto"/>
              </w:rPr>
            </w:pPr>
            <w:r>
              <w:rPr>
                <w:rFonts w:ascii="Arial" w:cs="Arial" w:eastAsia="Arial" w:hAnsi="Arial"/>
                <w:sz w:val="18"/>
                <w:szCs w:val="18"/>
                <w:color w:val="auto"/>
              </w:rPr>
              <w:t>1.0</w:t>
            </w:r>
          </w:p>
        </w:tc>
        <w:tc>
          <w:tcPr>
            <w:tcW w:w="220" w:type="dxa"/>
            <w:vAlign w:val="bottom"/>
          </w:tcPr>
          <w:p>
            <w:pPr>
              <w:spacing w:after="0"/>
              <w:rPr>
                <w:sz w:val="19"/>
                <w:szCs w:val="19"/>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0.4</w:t>
            </w:r>
          </w:p>
        </w:tc>
        <w:tc>
          <w:tcPr>
            <w:tcW w:w="220" w:type="dxa"/>
            <w:vAlign w:val="bottom"/>
          </w:tcPr>
          <w:p>
            <w:pPr>
              <w:spacing w:after="0"/>
              <w:rPr>
                <w:sz w:val="19"/>
                <w:szCs w:val="19"/>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(4.4)</w:t>
            </w:r>
          </w:p>
        </w:tc>
        <w:tc>
          <w:tcPr>
            <w:tcW w:w="17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Balance at end of the year</w:t>
            </w:r>
          </w:p>
        </w:tc>
        <w:tc>
          <w:tcPr>
            <w:tcW w:w="4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w:t>
            </w:r>
          </w:p>
        </w:tc>
        <w:tc>
          <w:tcPr>
            <w:tcW w:w="2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jc w:val="right"/>
              <w:ind w:right="65"/>
              <w:spacing w:after="0"/>
              <w:rPr>
                <w:sz w:val="20"/>
                <w:szCs w:val="20"/>
                <w:color w:val="auto"/>
              </w:rPr>
            </w:pPr>
            <w:r>
              <w:rPr>
                <w:rFonts w:ascii="Arial" w:cs="Arial" w:eastAsia="Arial" w:hAnsi="Arial"/>
                <w:sz w:val="15"/>
                <w:szCs w:val="15"/>
                <w:color w:val="auto"/>
                <w:w w:val="71"/>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w:t>
            </w:r>
          </w:p>
        </w:tc>
        <w:tc>
          <w:tcPr>
            <w:tcW w:w="24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w:t>
            </w:r>
          </w:p>
        </w:tc>
        <w:tc>
          <w:tcPr>
            <w:tcW w:w="160" w:type="dxa"/>
            <w:vAlign w:val="bottom"/>
            <w:tcBorders>
              <w:top w:val="single" w:sz="8" w:color="CCEEFF"/>
            </w:tcBorders>
            <w:shd w:val="clear" w:color="auto" w:fill="CCEEFF"/>
          </w:tcPr>
          <w:p>
            <w:pPr>
              <w:spacing w:after="0"/>
              <w:rPr>
                <w:sz w:val="18"/>
                <w:szCs w:val="18"/>
                <w:color w:val="auto"/>
              </w:rPr>
            </w:pPr>
          </w:p>
        </w:tc>
        <w:tc>
          <w:tcPr>
            <w:tcW w:w="17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5380" w:type="dxa"/>
            <w:vAlign w:val="bottom"/>
          </w:tcPr>
          <w:p>
            <w:pPr>
              <w:spacing w:after="0"/>
              <w:rPr>
                <w:sz w:val="20"/>
                <w:szCs w:val="20"/>
                <w:color w:val="auto"/>
              </w:rPr>
            </w:pPr>
            <w:r>
              <w:rPr>
                <w:rFonts w:ascii="Arial" w:cs="Arial" w:eastAsia="Arial" w:hAnsi="Arial"/>
                <w:sz w:val="18"/>
                <w:szCs w:val="18"/>
                <w:b w:val="1"/>
                <w:bCs w:val="1"/>
                <w:color w:val="auto"/>
              </w:rPr>
              <w:t>Total allowance for ECL</w:t>
            </w:r>
          </w:p>
        </w:tc>
        <w:tc>
          <w:tcPr>
            <w:tcW w:w="480" w:type="dxa"/>
            <w:vAlign w:val="bottom"/>
          </w:tcPr>
          <w:p>
            <w:pPr>
              <w:spacing w:after="0"/>
              <w:rPr>
                <w:sz w:val="22"/>
                <w:szCs w:val="22"/>
                <w:color w:val="auto"/>
              </w:rPr>
            </w:pPr>
          </w:p>
        </w:tc>
        <w:tc>
          <w:tcPr>
            <w:tcW w:w="220" w:type="dxa"/>
            <w:vAlign w:val="bottom"/>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1100" w:type="dxa"/>
            <w:vAlign w:val="bottom"/>
            <w:gridSpan w:val="2"/>
          </w:tcPr>
          <w:p>
            <w:pPr>
              <w:jc w:val="right"/>
              <w:ind w:right="170"/>
              <w:spacing w:after="0"/>
              <w:rPr>
                <w:sz w:val="20"/>
                <w:szCs w:val="20"/>
                <w:color w:val="auto"/>
              </w:rPr>
            </w:pPr>
            <w:r>
              <w:rPr>
                <w:rFonts w:ascii="Arial" w:cs="Arial" w:eastAsia="Arial" w:hAnsi="Arial"/>
                <w:sz w:val="18"/>
                <w:szCs w:val="18"/>
                <w:b w:val="1"/>
                <w:bCs w:val="1"/>
                <w:color w:val="auto"/>
              </w:rPr>
              <w:t>88.1</w:t>
            </w:r>
          </w:p>
        </w:tc>
        <w:tc>
          <w:tcPr>
            <w:tcW w:w="220" w:type="dxa"/>
            <w:vAlign w:val="bottom"/>
          </w:tcPr>
          <w:p>
            <w:pPr>
              <w:jc w:val="right"/>
              <w:ind w:right="65"/>
              <w:spacing w:after="0"/>
              <w:rPr>
                <w:sz w:val="20"/>
                <w:szCs w:val="20"/>
                <w:color w:val="auto"/>
              </w:rPr>
            </w:pPr>
            <w:r>
              <w:rPr>
                <w:rFonts w:ascii="Arial" w:cs="Arial" w:eastAsia="Arial" w:hAnsi="Arial"/>
                <w:sz w:val="15"/>
                <w:szCs w:val="15"/>
                <w:b w:val="1"/>
                <w:bCs w:val="1"/>
                <w:color w:val="auto"/>
                <w:w w:val="71"/>
              </w:rPr>
              <w:t>$</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111.8</w:t>
            </w:r>
          </w:p>
        </w:tc>
        <w:tc>
          <w:tcPr>
            <w:tcW w:w="220" w:type="dxa"/>
            <w:vAlign w:val="bottom"/>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95.4</w:t>
            </w:r>
          </w:p>
        </w:tc>
        <w:tc>
          <w:tcPr>
            <w:tcW w:w="17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5380" w:type="dxa"/>
            <w:vAlign w:val="bottom"/>
            <w:tcBorders>
              <w:top w:val="single" w:sz="8" w:color="CCEEFF"/>
            </w:tcBorders>
            <w:vMerge w:val="restart"/>
            <w:shd w:val="clear" w:color="auto" w:fill="CCEEFF"/>
          </w:tcPr>
          <w:p>
            <w:pPr>
              <w:spacing w:after="0"/>
              <w:rPr>
                <w:sz w:val="20"/>
                <w:szCs w:val="20"/>
                <w:color w:val="auto"/>
              </w:rPr>
            </w:pPr>
            <w:r>
              <w:rPr>
                <w:rFonts w:ascii="Arial" w:cs="Arial" w:eastAsia="Arial" w:hAnsi="Arial"/>
                <w:sz w:val="18"/>
                <w:szCs w:val="18"/>
                <w:color w:val="auto"/>
              </w:rPr>
              <w:t>Allowance for ECL to total Commercial Portfolio</w:t>
            </w: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auto"/>
            </w:tcBorders>
            <w:shd w:val="clear" w:color="auto" w:fill="000000"/>
          </w:tcPr>
          <w:p>
            <w:pPr>
              <w:spacing w:after="0" w:line="20" w:lineRule="exact"/>
              <w:rPr>
                <w:sz w:val="1"/>
                <w:szCs w:val="1"/>
                <w:color w:val="auto"/>
              </w:rPr>
            </w:pPr>
          </w:p>
        </w:tc>
        <w:tc>
          <w:tcPr>
            <w:tcW w:w="840" w:type="dxa"/>
            <w:vAlign w:val="bottom"/>
            <w:tcBorders>
              <w:top w:val="single" w:sz="8" w:color="auto"/>
            </w:tcBorders>
            <w:shd w:val="clear" w:color="auto" w:fill="000000"/>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auto"/>
            </w:tcBorders>
            <w:shd w:val="clear" w:color="auto" w:fill="000000"/>
          </w:tcPr>
          <w:p>
            <w:pPr>
              <w:spacing w:after="0" w:line="20" w:lineRule="exact"/>
              <w:rPr>
                <w:sz w:val="1"/>
                <w:szCs w:val="1"/>
                <w:color w:val="auto"/>
              </w:rPr>
            </w:pPr>
          </w:p>
        </w:tc>
        <w:tc>
          <w:tcPr>
            <w:tcW w:w="840" w:type="dxa"/>
            <w:vAlign w:val="bottom"/>
            <w:tcBorders>
              <w:top w:val="single" w:sz="8" w:color="auto"/>
            </w:tcBorders>
            <w:shd w:val="clear" w:color="auto" w:fill="000000"/>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auto"/>
            </w:tcBorders>
            <w:shd w:val="clear" w:color="auto" w:fill="000000"/>
          </w:tcPr>
          <w:p>
            <w:pPr>
              <w:spacing w:after="0" w:line="20" w:lineRule="exact"/>
              <w:rPr>
                <w:sz w:val="1"/>
                <w:szCs w:val="1"/>
                <w:color w:val="auto"/>
              </w:rPr>
            </w:pPr>
          </w:p>
        </w:tc>
        <w:tc>
          <w:tcPr>
            <w:tcW w:w="840" w:type="dxa"/>
            <w:vAlign w:val="bottom"/>
            <w:tcBorders>
              <w:top w:val="single" w:sz="8" w:color="auto"/>
            </w:tcBorders>
            <w:shd w:val="clear" w:color="auto" w:fill="000000"/>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380" w:type="dxa"/>
            <w:vAlign w:val="bottom"/>
            <w:vMerge w:val="continue"/>
            <w:shd w:val="clear" w:color="auto" w:fill="CCEEFF"/>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10"/>
              <w:spacing w:after="0" w:line="196" w:lineRule="exact"/>
              <w:rPr>
                <w:sz w:val="20"/>
                <w:szCs w:val="20"/>
                <w:color w:val="auto"/>
              </w:rPr>
            </w:pPr>
            <w:r>
              <w:rPr>
                <w:rFonts w:ascii="Arial" w:cs="Arial" w:eastAsia="Arial" w:hAnsi="Arial"/>
                <w:sz w:val="18"/>
                <w:szCs w:val="18"/>
                <w:color w:val="auto"/>
              </w:rPr>
              <w:t>1.47%</w:t>
            </w:r>
          </w:p>
        </w:tc>
        <w:tc>
          <w:tcPr>
            <w:tcW w:w="22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100"/>
              <w:spacing w:after="0" w:line="196" w:lineRule="exact"/>
              <w:rPr>
                <w:sz w:val="20"/>
                <w:szCs w:val="20"/>
                <w:color w:val="auto"/>
              </w:rPr>
            </w:pPr>
            <w:r>
              <w:rPr>
                <w:rFonts w:ascii="Arial" w:cs="Arial" w:eastAsia="Arial" w:hAnsi="Arial"/>
                <w:sz w:val="18"/>
                <w:szCs w:val="18"/>
                <w:color w:val="auto"/>
              </w:rPr>
              <w:t>1.73%</w:t>
            </w:r>
          </w:p>
        </w:tc>
        <w:tc>
          <w:tcPr>
            <w:tcW w:w="220" w:type="dxa"/>
            <w:vAlign w:val="bottom"/>
            <w:shd w:val="clear" w:color="auto" w:fill="CCEEFF"/>
          </w:tcPr>
          <w:p>
            <w:pPr>
              <w:spacing w:after="0"/>
              <w:rPr>
                <w:sz w:val="17"/>
                <w:szCs w:val="17"/>
                <w:color w:val="auto"/>
              </w:rPr>
            </w:pPr>
          </w:p>
        </w:tc>
        <w:tc>
          <w:tcPr>
            <w:tcW w:w="1000" w:type="dxa"/>
            <w:vAlign w:val="bottom"/>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1.33%</w:t>
            </w:r>
          </w:p>
        </w:tc>
        <w:tc>
          <w:tcPr>
            <w:tcW w:w="17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Charge-offs to Loan Portfolio</w:t>
            </w:r>
          </w:p>
        </w:tc>
        <w:tc>
          <w:tcPr>
            <w:tcW w:w="4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00" w:type="dxa"/>
            <w:vAlign w:val="bottom"/>
            <w:gridSpan w:val="2"/>
          </w:tcPr>
          <w:p>
            <w:pPr>
              <w:jc w:val="right"/>
              <w:ind w:right="10"/>
              <w:spacing w:after="0"/>
              <w:rPr>
                <w:sz w:val="20"/>
                <w:szCs w:val="20"/>
                <w:color w:val="auto"/>
              </w:rPr>
            </w:pPr>
            <w:r>
              <w:rPr>
                <w:rFonts w:ascii="Arial" w:cs="Arial" w:eastAsia="Arial" w:hAnsi="Arial"/>
                <w:sz w:val="18"/>
                <w:szCs w:val="18"/>
                <w:color w:val="auto"/>
              </w:rPr>
              <w:t>0.60%</w:t>
            </w:r>
          </w:p>
        </w:tc>
        <w:tc>
          <w:tcPr>
            <w:tcW w:w="220" w:type="dxa"/>
            <w:vAlign w:val="bottom"/>
          </w:tcPr>
          <w:p>
            <w:pPr>
              <w:spacing w:after="0"/>
              <w:rPr>
                <w:sz w:val="20"/>
                <w:szCs w:val="20"/>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0.31%</w:t>
            </w:r>
          </w:p>
        </w:tc>
        <w:tc>
          <w:tcPr>
            <w:tcW w:w="220" w:type="dxa"/>
            <w:vAlign w:val="bottom"/>
          </w:tcPr>
          <w:p>
            <w:pPr>
              <w:spacing w:after="0"/>
              <w:rPr>
                <w:sz w:val="20"/>
                <w:szCs w:val="20"/>
                <w:color w:val="auto"/>
              </w:rPr>
            </w:pPr>
          </w:p>
        </w:tc>
        <w:tc>
          <w:tcPr>
            <w:tcW w:w="1000" w:type="dxa"/>
            <w:vAlign w:val="bottom"/>
            <w:gridSpan w:val="2"/>
          </w:tcPr>
          <w:p>
            <w:pPr>
              <w:jc w:val="right"/>
              <w:spacing w:after="0"/>
              <w:rPr>
                <w:sz w:val="20"/>
                <w:szCs w:val="20"/>
                <w:color w:val="auto"/>
              </w:rPr>
            </w:pPr>
            <w:r>
              <w:rPr>
                <w:rFonts w:ascii="Arial" w:cs="Arial" w:eastAsia="Arial" w:hAnsi="Arial"/>
                <w:sz w:val="18"/>
                <w:szCs w:val="18"/>
                <w:color w:val="auto"/>
              </w:rPr>
              <w:t>0.09%</w:t>
            </w:r>
          </w:p>
        </w:tc>
        <w:tc>
          <w:tcPr>
            <w:tcW w:w="17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34"/>
        </w:trPr>
        <w:tc>
          <w:tcPr>
            <w:tcW w:w="53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60</w:t>
            </w: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8" w:right="239" w:bottom="1440" w:gutter="0" w:footer="0" w:header="0"/>
        </w:sectPr>
      </w:pPr>
    </w:p>
    <w:bookmarkStart w:id="63" w:name="page64"/>
    <w:bookmarkEnd w:id="63"/>
    <w:p>
      <w:pPr>
        <w:jc w:val="both"/>
        <w:spacing w:after="0" w:line="291" w:lineRule="auto"/>
        <w:rPr>
          <w:sz w:val="20"/>
          <w:szCs w:val="20"/>
          <w:color w:val="auto"/>
        </w:rPr>
      </w:pPr>
      <w:r>
        <w:rPr>
          <w:rFonts w:ascii="Arial" w:cs="Arial" w:eastAsia="Arial" w:hAnsi="Arial"/>
          <w:sz w:val="16"/>
          <w:szCs w:val="16"/>
          <w:color w:val="auto"/>
        </w:rPr>
        <w:t>The total allowance for ECL amounted to $88.1 million as of December 31, 2017, representing 1.47% of the total Commercial Portfolio, compared to $111.8 million and 1.73%, respectively, as of December 31, 2016, and compared to $95.4 million and 1.33%, respectively, as of December 31, 2015. The 2017 year-over-year decrease of $23.7 million in credit allowances and 26 basis points in total reserve coverage was primarily attributable to write-offs against existing individually allocated reserves following finalized restructuring processes. The 2016 year-over-year increase of $16.4 million in credit allowances and 40 basis points in total reserve coverage was primarily associated with higher allowances assigned to performing exposures based on lifetime ECL (IFRS Rule 9 Stage 2), and NPL (IFRS Rule 9 Stage 3), partly offset by lower impairment from ECL on performing exposures assessed based on 12-month ECL (IFRS Rule 9 Stage 1), which resulted from both lower end-of-period portfolio balances, and the overall portfolio mix shift towards shorter-term trade exposures.</w:t>
      </w:r>
    </w:p>
    <w:p>
      <w:pPr>
        <w:spacing w:after="0" w:line="167"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information regarding the Bank’s allowance for ECL allocated by country of exposure as of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2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7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66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20" w:type="dxa"/>
            <w:vAlign w:val="bottom"/>
            <w:tcBorders>
              <w:bottom w:val="single" w:sz="8" w:color="auto"/>
            </w:tcBorders>
            <w:gridSpan w:val="5"/>
          </w:tcPr>
          <w:p>
            <w:pPr>
              <w:ind w:left="180"/>
              <w:spacing w:after="0"/>
              <w:rPr>
                <w:sz w:val="20"/>
                <w:szCs w:val="20"/>
                <w:color w:val="auto"/>
              </w:rPr>
            </w:pPr>
            <w:r>
              <w:rPr>
                <w:rFonts w:ascii="Arial" w:cs="Arial" w:eastAsia="Arial" w:hAnsi="Arial"/>
                <w:sz w:val="18"/>
                <w:szCs w:val="18"/>
                <w:b w:val="1"/>
                <w:bCs w:val="1"/>
                <w:color w:val="auto"/>
              </w:rPr>
              <w:t>As of December 31,</w:t>
            </w:r>
          </w:p>
        </w:tc>
        <w:tc>
          <w:tcPr>
            <w:tcW w:w="180" w:type="dxa"/>
            <w:vAlign w:val="bottom"/>
            <w:tcBorders>
              <w:bottom w:val="single" w:sz="8" w:color="auto"/>
            </w:tcBorders>
          </w:tcPr>
          <w:p>
            <w:pPr>
              <w:spacing w:after="0"/>
              <w:rPr>
                <w:sz w:val="20"/>
                <w:szCs w:val="20"/>
                <w:color w:val="auto"/>
              </w:rPr>
            </w:pPr>
          </w:p>
        </w:tc>
        <w:tc>
          <w:tcPr>
            <w:tcW w:w="7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180" w:type="dxa"/>
            <w:vAlign w:val="bottom"/>
          </w:tcPr>
          <w:p>
            <w:pPr>
              <w:spacing w:after="0"/>
              <w:rPr>
                <w:sz w:val="20"/>
                <w:szCs w:val="20"/>
                <w:color w:val="auto"/>
              </w:rPr>
            </w:pPr>
          </w:p>
        </w:tc>
      </w:tr>
      <w:tr>
        <w:trPr>
          <w:trHeight w:val="223"/>
        </w:trPr>
        <w:tc>
          <w:tcPr>
            <w:tcW w:w="42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8"/>
                <w:szCs w:val="18"/>
                <w:b w:val="1"/>
                <w:bCs w:val="1"/>
                <w:color w:val="auto"/>
              </w:rPr>
              <w:t>2017</w:t>
            </w:r>
          </w:p>
        </w:tc>
        <w:tc>
          <w:tcPr>
            <w:tcW w:w="660" w:type="dxa"/>
            <w:vAlign w:val="bottom"/>
            <w:tcBorders>
              <w:bottom w:val="single" w:sz="8" w:color="auto"/>
            </w:tcBorders>
          </w:tcPr>
          <w:p>
            <w:pPr>
              <w:spacing w:after="0"/>
              <w:rPr>
                <w:sz w:val="19"/>
                <w:szCs w:val="19"/>
                <w:color w:val="auto"/>
              </w:rPr>
            </w:pPr>
          </w:p>
        </w:tc>
        <w:tc>
          <w:tcPr>
            <w:tcW w:w="2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8"/>
                <w:szCs w:val="18"/>
                <w:b w:val="1"/>
                <w:bCs w:val="1"/>
                <w:color w:val="auto"/>
              </w:rPr>
              <w:t>2016</w:t>
            </w:r>
          </w:p>
        </w:tc>
        <w:tc>
          <w:tcPr>
            <w:tcW w:w="680" w:type="dxa"/>
            <w:vAlign w:val="bottom"/>
            <w:tcBorders>
              <w:bottom w:val="single" w:sz="8" w:color="auto"/>
            </w:tcBorders>
          </w:tcPr>
          <w:p>
            <w:pPr>
              <w:spacing w:after="0"/>
              <w:rPr>
                <w:sz w:val="19"/>
                <w:szCs w:val="19"/>
                <w:color w:val="auto"/>
              </w:rPr>
            </w:pPr>
          </w:p>
        </w:tc>
        <w:tc>
          <w:tcPr>
            <w:tcW w:w="30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8"/>
                <w:szCs w:val="18"/>
                <w:b w:val="1"/>
                <w:bCs w:val="1"/>
                <w:color w:val="auto"/>
              </w:rPr>
              <w:t>2015</w:t>
            </w:r>
          </w:p>
        </w:tc>
        <w:tc>
          <w:tcPr>
            <w:tcW w:w="70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r>
      <w:tr>
        <w:trPr>
          <w:trHeight w:val="223"/>
        </w:trPr>
        <w:tc>
          <w:tcPr>
            <w:tcW w:w="42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gridSpan w:val="3"/>
          </w:tcPr>
          <w:p>
            <w:pPr>
              <w:jc w:val="right"/>
              <w:ind w:right="700"/>
              <w:spacing w:after="0"/>
              <w:rPr>
                <w:sz w:val="20"/>
                <w:szCs w:val="20"/>
                <w:color w:val="auto"/>
              </w:rPr>
            </w:pPr>
            <w:r>
              <w:rPr>
                <w:rFonts w:ascii="Arial" w:cs="Arial" w:eastAsia="Arial" w:hAnsi="Arial"/>
                <w:sz w:val="18"/>
                <w:szCs w:val="18"/>
                <w:b w:val="1"/>
                <w:bCs w:val="1"/>
                <w:color w:val="auto"/>
              </w:rPr>
              <w:t>Total</w:t>
            </w:r>
          </w:p>
        </w:tc>
        <w:tc>
          <w:tcPr>
            <w:tcW w:w="66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w:t>
            </w:r>
          </w:p>
        </w:tc>
        <w:tc>
          <w:tcPr>
            <w:tcW w:w="24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gridSpan w:val="3"/>
          </w:tcPr>
          <w:p>
            <w:pPr>
              <w:ind w:left="160"/>
              <w:spacing w:after="0"/>
              <w:rPr>
                <w:sz w:val="20"/>
                <w:szCs w:val="20"/>
                <w:color w:val="auto"/>
              </w:rPr>
            </w:pPr>
            <w:r>
              <w:rPr>
                <w:rFonts w:ascii="Arial" w:cs="Arial" w:eastAsia="Arial" w:hAnsi="Arial"/>
                <w:sz w:val="18"/>
                <w:szCs w:val="18"/>
                <w:b w:val="1"/>
                <w:bCs w:val="1"/>
                <w:color w:val="auto"/>
              </w:rPr>
              <w:t>Total</w:t>
            </w:r>
          </w:p>
        </w:tc>
        <w:tc>
          <w:tcPr>
            <w:tcW w:w="6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w:t>
            </w:r>
          </w:p>
        </w:tc>
        <w:tc>
          <w:tcPr>
            <w:tcW w:w="3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gridSpan w:val="3"/>
          </w:tcPr>
          <w:p>
            <w:pPr>
              <w:jc w:val="right"/>
              <w:ind w:right="680"/>
              <w:spacing w:after="0"/>
              <w:rPr>
                <w:sz w:val="20"/>
                <w:szCs w:val="20"/>
                <w:color w:val="auto"/>
              </w:rPr>
            </w:pPr>
            <w:r>
              <w:rPr>
                <w:rFonts w:ascii="Arial" w:cs="Arial" w:eastAsia="Arial" w:hAnsi="Arial"/>
                <w:sz w:val="18"/>
                <w:szCs w:val="18"/>
                <w:b w:val="1"/>
                <w:bCs w:val="1"/>
                <w:color w:val="auto"/>
              </w:rPr>
              <w:t>Total</w:t>
            </w:r>
          </w:p>
        </w:tc>
        <w:tc>
          <w:tcPr>
            <w:tcW w:w="70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r>
      <w:tr>
        <w:trPr>
          <w:trHeight w:val="210"/>
        </w:trPr>
        <w:tc>
          <w:tcPr>
            <w:tcW w:w="42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00" w:type="dxa"/>
            <w:vAlign w:val="bottom"/>
            <w:gridSpan w:val="3"/>
          </w:tcPr>
          <w:p>
            <w:pPr>
              <w:jc w:val="right"/>
              <w:spacing w:after="0"/>
              <w:rPr>
                <w:sz w:val="20"/>
                <w:szCs w:val="20"/>
                <w:color w:val="auto"/>
              </w:rPr>
            </w:pPr>
            <w:r>
              <w:rPr>
                <w:rFonts w:ascii="Arial" w:cs="Arial" w:eastAsia="Arial" w:hAnsi="Arial"/>
                <w:sz w:val="18"/>
                <w:szCs w:val="18"/>
                <w:b w:val="1"/>
                <w:bCs w:val="1"/>
                <w:color w:val="auto"/>
                <w:w w:val="97"/>
              </w:rPr>
              <w:t>(in $</w:t>
            </w:r>
          </w:p>
        </w:tc>
        <w:tc>
          <w:tcPr>
            <w:tcW w:w="2220" w:type="dxa"/>
            <w:vAlign w:val="bottom"/>
            <w:gridSpan w:val="5"/>
          </w:tcPr>
          <w:p>
            <w:pPr>
              <w:jc w:val="right"/>
              <w:spacing w:after="0"/>
              <w:rPr>
                <w:sz w:val="20"/>
                <w:szCs w:val="20"/>
                <w:color w:val="auto"/>
              </w:rPr>
            </w:pPr>
            <w:r>
              <w:rPr>
                <w:rFonts w:ascii="Arial" w:cs="Arial" w:eastAsia="Arial" w:hAnsi="Arial"/>
                <w:sz w:val="18"/>
                <w:szCs w:val="18"/>
                <w:b w:val="1"/>
                <w:bCs w:val="1"/>
                <w:color w:val="auto"/>
                <w:w w:val="87"/>
              </w:rPr>
              <w:t>millions, except percentages)</w:t>
            </w:r>
          </w:p>
        </w:tc>
        <w:tc>
          <w:tcPr>
            <w:tcW w:w="1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42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Allowance for ECL on loans at amortized cost</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r>
      <w:tr>
        <w:trPr>
          <w:trHeight w:val="216"/>
        </w:trPr>
        <w:tc>
          <w:tcPr>
            <w:tcW w:w="4280" w:type="dxa"/>
            <w:vAlign w:val="bottom"/>
          </w:tcPr>
          <w:p>
            <w:pPr>
              <w:ind w:left="340"/>
              <w:spacing w:after="0"/>
              <w:rPr>
                <w:sz w:val="20"/>
                <w:szCs w:val="20"/>
                <w:color w:val="auto"/>
              </w:rPr>
            </w:pPr>
            <w:r>
              <w:rPr>
                <w:rFonts w:ascii="Arial" w:cs="Arial" w:eastAsia="Arial" w:hAnsi="Arial"/>
                <w:sz w:val="18"/>
                <w:szCs w:val="18"/>
                <w:color w:val="auto"/>
              </w:rPr>
              <w:t>Argentina</w:t>
            </w:r>
          </w:p>
        </w:tc>
        <w:tc>
          <w:tcPr>
            <w:tcW w:w="46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5.0</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6.1</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7.3</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6.9</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14.5</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16.1</w:t>
            </w:r>
          </w:p>
        </w:tc>
      </w:tr>
      <w:tr>
        <w:trPr>
          <w:trHeight w:val="216"/>
        </w:trPr>
        <w:tc>
          <w:tcPr>
            <w:tcW w:w="42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Brazil</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42.4</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52.1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49.1</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46.4</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10.9</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12.1</w:t>
            </w:r>
          </w:p>
        </w:tc>
      </w:tr>
      <w:tr>
        <w:trPr>
          <w:trHeight w:val="216"/>
        </w:trPr>
        <w:tc>
          <w:tcPr>
            <w:tcW w:w="4280" w:type="dxa"/>
            <w:vAlign w:val="bottom"/>
          </w:tcPr>
          <w:p>
            <w:pPr>
              <w:ind w:left="340"/>
              <w:spacing w:after="0"/>
              <w:rPr>
                <w:sz w:val="20"/>
                <w:szCs w:val="20"/>
                <w:color w:val="auto"/>
              </w:rPr>
            </w:pPr>
            <w:r>
              <w:rPr>
                <w:rFonts w:ascii="Arial" w:cs="Arial" w:eastAsia="Arial" w:hAnsi="Arial"/>
                <w:sz w:val="18"/>
                <w:szCs w:val="18"/>
                <w:color w:val="auto"/>
              </w:rPr>
              <w:t>Chile</w:t>
            </w: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0.6</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0.7</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1.1</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0.5</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0.6</w:t>
            </w:r>
          </w:p>
        </w:tc>
      </w:tr>
      <w:tr>
        <w:trPr>
          <w:trHeight w:val="216"/>
        </w:trPr>
        <w:tc>
          <w:tcPr>
            <w:tcW w:w="42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Colombia</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4.3</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6.3</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24.7</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27.5</w:t>
            </w:r>
          </w:p>
        </w:tc>
      </w:tr>
      <w:tr>
        <w:trPr>
          <w:trHeight w:val="216"/>
        </w:trPr>
        <w:tc>
          <w:tcPr>
            <w:tcW w:w="4280" w:type="dxa"/>
            <w:vAlign w:val="bottom"/>
          </w:tcPr>
          <w:p>
            <w:pPr>
              <w:ind w:left="340"/>
              <w:spacing w:after="0"/>
              <w:rPr>
                <w:sz w:val="20"/>
                <w:szCs w:val="20"/>
                <w:color w:val="auto"/>
              </w:rPr>
            </w:pPr>
            <w:r>
              <w:rPr>
                <w:rFonts w:ascii="Arial" w:cs="Arial" w:eastAsia="Arial" w:hAnsi="Arial"/>
                <w:sz w:val="18"/>
                <w:szCs w:val="18"/>
                <w:color w:val="auto"/>
              </w:rPr>
              <w:t>Costa Rica</w:t>
            </w: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1.7</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2.1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1.7</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1.6</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2.9</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3.2</w:t>
            </w:r>
          </w:p>
        </w:tc>
      </w:tr>
      <w:tr>
        <w:trPr>
          <w:trHeight w:val="216"/>
        </w:trPr>
        <w:tc>
          <w:tcPr>
            <w:tcW w:w="42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Dominican Republic</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1.5</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4.3</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9.0</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10.0</w:t>
            </w:r>
          </w:p>
        </w:tc>
      </w:tr>
      <w:tr>
        <w:trPr>
          <w:trHeight w:val="216"/>
        </w:trPr>
        <w:tc>
          <w:tcPr>
            <w:tcW w:w="4280" w:type="dxa"/>
            <w:vAlign w:val="bottom"/>
          </w:tcPr>
          <w:p>
            <w:pPr>
              <w:ind w:left="340"/>
              <w:spacing w:after="0"/>
              <w:rPr>
                <w:sz w:val="20"/>
                <w:szCs w:val="20"/>
                <w:color w:val="auto"/>
              </w:rPr>
            </w:pPr>
            <w:r>
              <w:rPr>
                <w:rFonts w:ascii="Arial" w:cs="Arial" w:eastAsia="Arial" w:hAnsi="Arial"/>
                <w:sz w:val="18"/>
                <w:szCs w:val="18"/>
                <w:color w:val="auto"/>
              </w:rPr>
              <w:t>Ecuador</w:t>
            </w: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2.7</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3.3</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2.3</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2.2</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6.9</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7.7</w:t>
            </w:r>
          </w:p>
        </w:tc>
      </w:tr>
      <w:tr>
        <w:trPr>
          <w:trHeight w:val="216"/>
        </w:trPr>
        <w:tc>
          <w:tcPr>
            <w:tcW w:w="42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El Salvador</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2.3</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3.3</w:t>
            </w:r>
          </w:p>
        </w:tc>
      </w:tr>
      <w:tr>
        <w:trPr>
          <w:trHeight w:val="216"/>
        </w:trPr>
        <w:tc>
          <w:tcPr>
            <w:tcW w:w="4280" w:type="dxa"/>
            <w:vAlign w:val="bottom"/>
          </w:tcPr>
          <w:p>
            <w:pPr>
              <w:ind w:left="340"/>
              <w:spacing w:after="0"/>
              <w:rPr>
                <w:sz w:val="20"/>
                <w:szCs w:val="20"/>
                <w:color w:val="auto"/>
              </w:rPr>
            </w:pPr>
            <w:r>
              <w:rPr>
                <w:rFonts w:ascii="Arial" w:cs="Arial" w:eastAsia="Arial" w:hAnsi="Arial"/>
                <w:sz w:val="18"/>
                <w:szCs w:val="18"/>
                <w:color w:val="auto"/>
              </w:rPr>
              <w:t>Guatemala</w:t>
            </w: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3.3</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4.1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1.1</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2.6</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2.9</w:t>
            </w:r>
          </w:p>
        </w:tc>
      </w:tr>
      <w:tr>
        <w:trPr>
          <w:trHeight w:val="216"/>
        </w:trPr>
        <w:tc>
          <w:tcPr>
            <w:tcW w:w="42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Honduras</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7.6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1.6</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5.1</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5.7</w:t>
            </w:r>
          </w:p>
        </w:tc>
      </w:tr>
      <w:tr>
        <w:trPr>
          <w:trHeight w:val="216"/>
        </w:trPr>
        <w:tc>
          <w:tcPr>
            <w:tcW w:w="4280" w:type="dxa"/>
            <w:vAlign w:val="bottom"/>
          </w:tcPr>
          <w:p>
            <w:pPr>
              <w:ind w:left="340"/>
              <w:spacing w:after="0"/>
              <w:rPr>
                <w:sz w:val="20"/>
                <w:szCs w:val="20"/>
                <w:color w:val="auto"/>
              </w:rPr>
            </w:pPr>
            <w:r>
              <w:rPr>
                <w:rFonts w:ascii="Arial" w:cs="Arial" w:eastAsia="Arial" w:hAnsi="Arial"/>
                <w:sz w:val="18"/>
                <w:szCs w:val="18"/>
                <w:color w:val="auto"/>
              </w:rPr>
              <w:t>Mexico</w:t>
            </w: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1.2</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1.5</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6.7</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6.3</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3.1</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3.5</w:t>
            </w:r>
          </w:p>
        </w:tc>
      </w:tr>
      <w:tr>
        <w:trPr>
          <w:trHeight w:val="216"/>
        </w:trPr>
        <w:tc>
          <w:tcPr>
            <w:tcW w:w="42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Nicaragua</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2.6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0.9</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0.8</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0.7</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0.8</w:t>
            </w:r>
          </w:p>
        </w:tc>
      </w:tr>
      <w:tr>
        <w:trPr>
          <w:trHeight w:val="216"/>
        </w:trPr>
        <w:tc>
          <w:tcPr>
            <w:tcW w:w="4280" w:type="dxa"/>
            <w:vAlign w:val="bottom"/>
          </w:tcPr>
          <w:p>
            <w:pPr>
              <w:ind w:left="340"/>
              <w:spacing w:after="0"/>
              <w:rPr>
                <w:sz w:val="20"/>
                <w:szCs w:val="20"/>
                <w:color w:val="auto"/>
              </w:rPr>
            </w:pPr>
            <w:r>
              <w:rPr>
                <w:rFonts w:ascii="Arial" w:cs="Arial" w:eastAsia="Arial" w:hAnsi="Arial"/>
                <w:sz w:val="18"/>
                <w:szCs w:val="18"/>
                <w:color w:val="auto"/>
              </w:rPr>
              <w:t>Panama</w:t>
            </w: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3.6</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4.5</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9.8</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9.3</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1.0</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1.1</w:t>
            </w:r>
          </w:p>
        </w:tc>
      </w:tr>
      <w:tr>
        <w:trPr>
          <w:trHeight w:val="216"/>
        </w:trPr>
        <w:tc>
          <w:tcPr>
            <w:tcW w:w="42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Paraguay</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5.9</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6.0</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0.9</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1.0</w:t>
            </w:r>
          </w:p>
        </w:tc>
      </w:tr>
      <w:tr>
        <w:trPr>
          <w:trHeight w:val="216"/>
        </w:trPr>
        <w:tc>
          <w:tcPr>
            <w:tcW w:w="4280" w:type="dxa"/>
            <w:vAlign w:val="bottom"/>
          </w:tcPr>
          <w:p>
            <w:pPr>
              <w:ind w:left="340"/>
              <w:spacing w:after="0"/>
              <w:rPr>
                <w:sz w:val="20"/>
                <w:szCs w:val="20"/>
                <w:color w:val="auto"/>
              </w:rPr>
            </w:pPr>
            <w:r>
              <w:rPr>
                <w:rFonts w:ascii="Arial" w:cs="Arial" w:eastAsia="Arial" w:hAnsi="Arial"/>
                <w:sz w:val="18"/>
                <w:szCs w:val="18"/>
                <w:color w:val="auto"/>
              </w:rPr>
              <w:t>Uruguay</w:t>
            </w: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0.0</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0.1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2.2</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2.1</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0.7</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0.8</w:t>
            </w:r>
          </w:p>
        </w:tc>
      </w:tr>
      <w:tr>
        <w:trPr>
          <w:trHeight w:val="270"/>
        </w:trPr>
        <w:tc>
          <w:tcPr>
            <w:tcW w:w="4280" w:type="dxa"/>
            <w:vAlign w:val="bottom"/>
            <w:shd w:val="clear" w:color="auto" w:fill="CCEEFF"/>
          </w:tcPr>
          <w:p>
            <w:pPr>
              <w:ind w:left="340"/>
              <w:spacing w:after="0" w:line="269" w:lineRule="exact"/>
              <w:rPr>
                <w:sz w:val="20"/>
                <w:szCs w:val="20"/>
                <w:color w:val="auto"/>
              </w:rPr>
            </w:pPr>
            <w:r>
              <w:rPr>
                <w:rFonts w:ascii="Arial" w:cs="Arial" w:eastAsia="Arial" w:hAnsi="Arial"/>
                <w:sz w:val="18"/>
                <w:szCs w:val="18"/>
                <w:color w:val="auto"/>
              </w:rPr>
              <w:t xml:space="preserve">Other </w:t>
            </w:r>
            <w:r>
              <w:rPr>
                <w:rFonts w:ascii="Arial" w:cs="Arial" w:eastAsia="Arial" w:hAnsi="Arial"/>
                <w:sz w:val="30"/>
                <w:szCs w:val="30"/>
                <w:color w:val="auto"/>
                <w:vertAlign w:val="superscript"/>
              </w:rPr>
              <w:t>(1)</w:t>
            </w:r>
          </w:p>
        </w:tc>
        <w:tc>
          <w:tcPr>
            <w:tcW w:w="300" w:type="dxa"/>
            <w:vAlign w:val="bottom"/>
            <w:shd w:val="clear" w:color="auto" w:fill="CCEEFF"/>
          </w:tcPr>
          <w:p>
            <w:pPr>
              <w:spacing w:after="0"/>
              <w:rPr>
                <w:sz w:val="23"/>
                <w:szCs w:val="23"/>
                <w:color w:val="auto"/>
              </w:rPr>
            </w:pPr>
          </w:p>
        </w:tc>
        <w:tc>
          <w:tcPr>
            <w:tcW w:w="16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w:t>
            </w:r>
          </w:p>
        </w:tc>
        <w:tc>
          <w:tcPr>
            <w:tcW w:w="240" w:type="dxa"/>
            <w:vAlign w:val="bottom"/>
            <w:shd w:val="clear" w:color="auto" w:fill="CCEEFF"/>
          </w:tcPr>
          <w:p>
            <w:pPr>
              <w:spacing w:after="0"/>
              <w:rPr>
                <w:sz w:val="23"/>
                <w:szCs w:val="23"/>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2.1</w:t>
            </w:r>
          </w:p>
        </w:tc>
        <w:tc>
          <w:tcPr>
            <w:tcW w:w="6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w:t>
            </w:r>
          </w:p>
        </w:tc>
        <w:tc>
          <w:tcPr>
            <w:tcW w:w="22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1.7</w:t>
            </w:r>
          </w:p>
        </w:tc>
        <w:tc>
          <w:tcPr>
            <w:tcW w:w="18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w:t>
            </w:r>
          </w:p>
        </w:tc>
        <w:tc>
          <w:tcPr>
            <w:tcW w:w="220" w:type="dxa"/>
            <w:vAlign w:val="bottom"/>
            <w:shd w:val="clear" w:color="auto" w:fill="CCEEFF"/>
          </w:tcPr>
          <w:p>
            <w:pPr>
              <w:spacing w:after="0"/>
              <w:rPr>
                <w:sz w:val="23"/>
                <w:szCs w:val="23"/>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3.7</w:t>
            </w:r>
          </w:p>
        </w:tc>
      </w:tr>
      <w:tr>
        <w:trPr>
          <w:trHeight w:val="263"/>
        </w:trPr>
        <w:tc>
          <w:tcPr>
            <w:tcW w:w="42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w w:val="97"/>
              </w:rPr>
              <w:t>Total Allowance for ECL on loans at amortized cost</w:t>
            </w:r>
          </w:p>
        </w:tc>
        <w:tc>
          <w:tcPr>
            <w:tcW w:w="30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81.3</w:t>
            </w:r>
          </w:p>
        </w:tc>
        <w:tc>
          <w:tcPr>
            <w:tcW w:w="22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spacing w:after="0"/>
              <w:rPr>
                <w:sz w:val="22"/>
                <w:szCs w:val="22"/>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40" w:type="dxa"/>
            <w:vAlign w:val="bottom"/>
            <w:tcBorders>
              <w:bottom w:val="single" w:sz="8" w:color="CCEEFF"/>
            </w:tcBorders>
          </w:tcPr>
          <w:p>
            <w:pPr>
              <w:jc w:val="right"/>
              <w:spacing w:after="0"/>
              <w:rPr>
                <w:sz w:val="20"/>
                <w:szCs w:val="20"/>
                <w:color w:val="auto"/>
              </w:rPr>
            </w:pPr>
            <w:r>
              <w:rPr>
                <w:rFonts w:ascii="Arial" w:cs="Arial" w:eastAsia="Arial" w:hAnsi="Arial"/>
                <w:sz w:val="18"/>
                <w:szCs w:val="18"/>
                <w:b w:val="1"/>
                <w:bCs w:val="1"/>
                <w:color w:val="auto"/>
                <w:w w:val="99"/>
              </w:rPr>
              <w:t>%</w:t>
            </w:r>
          </w:p>
        </w:tc>
        <w:tc>
          <w:tcPr>
            <w:tcW w:w="6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106.0</w:t>
            </w:r>
          </w:p>
        </w:tc>
        <w:tc>
          <w:tcPr>
            <w:tcW w:w="220" w:type="dxa"/>
            <w:vAlign w:val="bottom"/>
            <w:tcBorders>
              <w:bottom w:val="single" w:sz="8" w:color="CCEEFF"/>
            </w:tcBorders>
          </w:tcPr>
          <w:p>
            <w:pPr>
              <w:spacing w:after="0"/>
              <w:rPr>
                <w:sz w:val="22"/>
                <w:szCs w:val="22"/>
                <w:color w:val="auto"/>
              </w:rPr>
            </w:pPr>
          </w:p>
        </w:tc>
        <w:tc>
          <w:tcPr>
            <w:tcW w:w="220" w:type="dxa"/>
            <w:vAlign w:val="bottom"/>
            <w:tcBorders>
              <w:top w:val="single" w:sz="8" w:color="auto"/>
              <w:bottom w:val="single" w:sz="8" w:color="auto"/>
            </w:tcBorders>
          </w:tcPr>
          <w:p>
            <w:pPr>
              <w:spacing w:after="0"/>
              <w:rPr>
                <w:sz w:val="22"/>
                <w:szCs w:val="22"/>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300" w:type="dxa"/>
            <w:vAlign w:val="bottom"/>
            <w:tcBorders>
              <w:bottom w:val="single" w:sz="8" w:color="CCEEFF"/>
            </w:tcBorders>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90.0</w:t>
            </w:r>
          </w:p>
        </w:tc>
        <w:tc>
          <w:tcPr>
            <w:tcW w:w="220" w:type="dxa"/>
            <w:vAlign w:val="bottom"/>
            <w:tcBorders>
              <w:bottom w:val="single" w:sz="8" w:color="CCEEFF"/>
            </w:tcBorders>
          </w:tcPr>
          <w:p>
            <w:pPr>
              <w:spacing w:after="0"/>
              <w:rPr>
                <w:sz w:val="22"/>
                <w:szCs w:val="22"/>
                <w:color w:val="auto"/>
              </w:rPr>
            </w:pPr>
          </w:p>
        </w:tc>
        <w:tc>
          <w:tcPr>
            <w:tcW w:w="220" w:type="dxa"/>
            <w:vAlign w:val="bottom"/>
            <w:tcBorders>
              <w:top w:val="single" w:sz="8" w:color="auto"/>
              <w:bottom w:val="single" w:sz="8" w:color="auto"/>
            </w:tcBorders>
          </w:tcPr>
          <w:p>
            <w:pPr>
              <w:spacing w:after="0"/>
              <w:rPr>
                <w:sz w:val="22"/>
                <w:szCs w:val="22"/>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80" w:type="dxa"/>
            <w:vAlign w:val="bottom"/>
            <w:tcBorders>
              <w:bottom w:val="single" w:sz="8" w:color="CCEEFF"/>
            </w:tcBorders>
          </w:tcPr>
          <w:p>
            <w:pPr>
              <w:jc w:val="right"/>
              <w:spacing w:after="0"/>
              <w:rPr>
                <w:sz w:val="20"/>
                <w:szCs w:val="20"/>
                <w:color w:val="auto"/>
              </w:rPr>
            </w:pPr>
            <w:r>
              <w:rPr>
                <w:rFonts w:ascii="Arial" w:cs="Arial" w:eastAsia="Arial" w:hAnsi="Arial"/>
                <w:sz w:val="18"/>
                <w:szCs w:val="18"/>
                <w:b w:val="1"/>
                <w:bCs w:val="1"/>
                <w:color w:val="auto"/>
                <w:w w:val="99"/>
              </w:rPr>
              <w:t>%</w:t>
            </w:r>
          </w:p>
        </w:tc>
      </w:tr>
      <w:tr>
        <w:trPr>
          <w:trHeight w:val="170"/>
        </w:trPr>
        <w:tc>
          <w:tcPr>
            <w:tcW w:w="5680" w:type="dxa"/>
            <w:vAlign w:val="bottom"/>
            <w:gridSpan w:val="5"/>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8"/>
              </w:rPr>
              <w:t>Allowance for ECL on loan commitments and financial guarantee contracts</w:t>
            </w:r>
          </w:p>
        </w:tc>
        <w:tc>
          <w:tcPr>
            <w:tcW w:w="240" w:type="dxa"/>
            <w:vAlign w:val="bottom"/>
            <w:shd w:val="clear" w:color="auto" w:fill="CCEEFF"/>
          </w:tcPr>
          <w:p>
            <w:pPr>
              <w:spacing w:after="0"/>
              <w:rPr>
                <w:sz w:val="14"/>
                <w:szCs w:val="14"/>
                <w:color w:val="auto"/>
              </w:rPr>
            </w:pPr>
          </w:p>
        </w:tc>
        <w:tc>
          <w:tcPr>
            <w:tcW w:w="6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r>
      <w:tr>
        <w:trPr>
          <w:trHeight w:val="216"/>
        </w:trPr>
        <w:tc>
          <w:tcPr>
            <w:tcW w:w="4280" w:type="dxa"/>
            <w:vAlign w:val="bottom"/>
          </w:tcPr>
          <w:p>
            <w:pPr>
              <w:ind w:left="260"/>
              <w:spacing w:after="0"/>
              <w:rPr>
                <w:sz w:val="20"/>
                <w:szCs w:val="20"/>
                <w:color w:val="auto"/>
              </w:rPr>
            </w:pPr>
            <w:r>
              <w:rPr>
                <w:rFonts w:ascii="Arial" w:cs="Arial" w:eastAsia="Arial" w:hAnsi="Arial"/>
                <w:sz w:val="18"/>
                <w:szCs w:val="18"/>
                <w:color w:val="auto"/>
              </w:rPr>
              <w:t>Argentina</w:t>
            </w:r>
          </w:p>
        </w:tc>
        <w:tc>
          <w:tcPr>
            <w:tcW w:w="46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0.1</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1.1</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0.0</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0.0</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1.0</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19.2</w:t>
            </w:r>
          </w:p>
        </w:tc>
      </w:tr>
      <w:tr>
        <w:trPr>
          <w:trHeight w:val="216"/>
        </w:trPr>
        <w:tc>
          <w:tcPr>
            <w:tcW w:w="4280" w:type="dxa"/>
            <w:vAlign w:val="bottom"/>
            <w:shd w:val="clear" w:color="auto" w:fill="CCEEFF"/>
          </w:tcPr>
          <w:p>
            <w:pPr>
              <w:ind w:left="260"/>
              <w:spacing w:after="0"/>
              <w:rPr>
                <w:sz w:val="20"/>
                <w:szCs w:val="20"/>
                <w:color w:val="auto"/>
              </w:rPr>
            </w:pPr>
            <w:r>
              <w:rPr>
                <w:rFonts w:ascii="Arial" w:cs="Arial" w:eastAsia="Arial" w:hAnsi="Arial"/>
                <w:sz w:val="18"/>
                <w:szCs w:val="18"/>
                <w:color w:val="auto"/>
              </w:rPr>
              <w:t>Colombia</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5.5</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80.8</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82.2</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51.9</w:t>
            </w:r>
          </w:p>
        </w:tc>
      </w:tr>
      <w:tr>
        <w:trPr>
          <w:trHeight w:val="216"/>
        </w:trPr>
        <w:tc>
          <w:tcPr>
            <w:tcW w:w="4280" w:type="dxa"/>
            <w:vAlign w:val="bottom"/>
          </w:tcPr>
          <w:p>
            <w:pPr>
              <w:ind w:left="260"/>
              <w:spacing w:after="0"/>
              <w:rPr>
                <w:sz w:val="20"/>
                <w:szCs w:val="20"/>
                <w:color w:val="auto"/>
              </w:rPr>
            </w:pPr>
            <w:r>
              <w:rPr>
                <w:rFonts w:ascii="Arial" w:cs="Arial" w:eastAsia="Arial" w:hAnsi="Arial"/>
                <w:sz w:val="18"/>
                <w:szCs w:val="18"/>
                <w:color w:val="auto"/>
              </w:rPr>
              <w:t>Ecuador</w:t>
            </w: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15.4</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0.8</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13.2</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0.8</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15.4</w:t>
            </w:r>
          </w:p>
        </w:tc>
      </w:tr>
      <w:tr>
        <w:trPr>
          <w:trHeight w:val="270"/>
        </w:trPr>
        <w:tc>
          <w:tcPr>
            <w:tcW w:w="4280" w:type="dxa"/>
            <w:vAlign w:val="bottom"/>
            <w:shd w:val="clear" w:color="auto" w:fill="CCEEFF"/>
          </w:tcPr>
          <w:p>
            <w:pPr>
              <w:ind w:left="260"/>
              <w:spacing w:after="0" w:line="269" w:lineRule="exact"/>
              <w:rPr>
                <w:sz w:val="20"/>
                <w:szCs w:val="20"/>
                <w:color w:val="auto"/>
              </w:rPr>
            </w:pPr>
            <w:r>
              <w:rPr>
                <w:rFonts w:ascii="Arial" w:cs="Arial" w:eastAsia="Arial" w:hAnsi="Arial"/>
                <w:sz w:val="18"/>
                <w:szCs w:val="18"/>
                <w:color w:val="auto"/>
              </w:rPr>
              <w:t xml:space="preserve">Other </w:t>
            </w:r>
            <w:r>
              <w:rPr>
                <w:rFonts w:ascii="Arial" w:cs="Arial" w:eastAsia="Arial" w:hAnsi="Arial"/>
                <w:sz w:val="30"/>
                <w:szCs w:val="30"/>
                <w:color w:val="auto"/>
                <w:vertAlign w:val="superscript"/>
              </w:rPr>
              <w:t>(1)</w:t>
            </w:r>
          </w:p>
        </w:tc>
        <w:tc>
          <w:tcPr>
            <w:tcW w:w="300" w:type="dxa"/>
            <w:vAlign w:val="bottom"/>
            <w:shd w:val="clear" w:color="auto" w:fill="CCEEFF"/>
          </w:tcPr>
          <w:p>
            <w:pPr>
              <w:spacing w:after="0"/>
              <w:rPr>
                <w:sz w:val="23"/>
                <w:szCs w:val="23"/>
                <w:color w:val="auto"/>
              </w:rPr>
            </w:pPr>
          </w:p>
        </w:tc>
        <w:tc>
          <w:tcPr>
            <w:tcW w:w="16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240" w:type="dxa"/>
            <w:vAlign w:val="bottom"/>
            <w:shd w:val="clear" w:color="auto" w:fill="CCEEFF"/>
          </w:tcPr>
          <w:p>
            <w:pPr>
              <w:spacing w:after="0"/>
              <w:rPr>
                <w:sz w:val="23"/>
                <w:szCs w:val="23"/>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2.7</w:t>
            </w:r>
          </w:p>
        </w:tc>
        <w:tc>
          <w:tcPr>
            <w:tcW w:w="6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0.3</w:t>
            </w:r>
          </w:p>
        </w:tc>
        <w:tc>
          <w:tcPr>
            <w:tcW w:w="22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4.6</w:t>
            </w:r>
          </w:p>
        </w:tc>
        <w:tc>
          <w:tcPr>
            <w:tcW w:w="18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0.8</w:t>
            </w:r>
          </w:p>
        </w:tc>
        <w:tc>
          <w:tcPr>
            <w:tcW w:w="220" w:type="dxa"/>
            <w:vAlign w:val="bottom"/>
            <w:shd w:val="clear" w:color="auto" w:fill="CCEEFF"/>
          </w:tcPr>
          <w:p>
            <w:pPr>
              <w:spacing w:after="0"/>
              <w:rPr>
                <w:sz w:val="23"/>
                <w:szCs w:val="23"/>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13.5</w:t>
            </w:r>
          </w:p>
        </w:tc>
      </w:tr>
      <w:tr>
        <w:trPr>
          <w:trHeight w:val="178"/>
        </w:trPr>
        <w:tc>
          <w:tcPr>
            <w:tcW w:w="4280" w:type="dxa"/>
            <w:vAlign w:val="bottom"/>
          </w:tcPr>
          <w:p>
            <w:pPr>
              <w:spacing w:after="0" w:line="178" w:lineRule="exact"/>
              <w:rPr>
                <w:sz w:val="20"/>
                <w:szCs w:val="20"/>
                <w:color w:val="auto"/>
              </w:rPr>
            </w:pPr>
            <w:r>
              <w:rPr>
                <w:rFonts w:ascii="Arial" w:cs="Arial" w:eastAsia="Arial" w:hAnsi="Arial"/>
                <w:sz w:val="18"/>
                <w:szCs w:val="18"/>
                <w:b w:val="1"/>
                <w:bCs w:val="1"/>
                <w:color w:val="auto"/>
                <w:w w:val="98"/>
              </w:rPr>
              <w:t>Total allowance for ECL on loan commitments and</w:t>
            </w:r>
          </w:p>
        </w:tc>
        <w:tc>
          <w:tcPr>
            <w:tcW w:w="300" w:type="dxa"/>
            <w:vAlign w:val="bottom"/>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7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300" w:type="dxa"/>
            <w:vAlign w:val="bottom"/>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7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r>
      <w:tr>
        <w:trPr>
          <w:trHeight w:val="301"/>
        </w:trPr>
        <w:tc>
          <w:tcPr>
            <w:tcW w:w="4280" w:type="dxa"/>
            <w:vAlign w:val="bottom"/>
          </w:tcPr>
          <w:p>
            <w:pPr>
              <w:spacing w:after="0"/>
              <w:rPr>
                <w:sz w:val="20"/>
                <w:szCs w:val="20"/>
                <w:color w:val="auto"/>
              </w:rPr>
            </w:pPr>
            <w:r>
              <w:rPr>
                <w:rFonts w:ascii="Arial" w:cs="Arial" w:eastAsia="Arial" w:hAnsi="Arial"/>
                <w:sz w:val="18"/>
                <w:szCs w:val="18"/>
                <w:b w:val="1"/>
                <w:bCs w:val="1"/>
                <w:color w:val="auto"/>
              </w:rPr>
              <w:t>financial guarantee contracts</w:t>
            </w:r>
          </w:p>
        </w:tc>
        <w:tc>
          <w:tcPr>
            <w:tcW w:w="460" w:type="dxa"/>
            <w:vAlign w:val="bottom"/>
            <w:gridSpan w:val="2"/>
          </w:tcPr>
          <w:p>
            <w:pPr>
              <w:jc w:val="right"/>
              <w:ind w:right="5"/>
              <w:spacing w:after="0"/>
              <w:rPr>
                <w:sz w:val="20"/>
                <w:szCs w:val="20"/>
                <w:color w:val="auto"/>
              </w:rPr>
            </w:pPr>
            <w:r>
              <w:rPr>
                <w:rFonts w:ascii="Arial" w:cs="Arial" w:eastAsia="Arial" w:hAnsi="Arial"/>
                <w:sz w:val="18"/>
                <w:szCs w:val="18"/>
                <w:b w:val="1"/>
                <w:bCs w:val="1"/>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6.8</w:t>
            </w:r>
          </w:p>
        </w:tc>
        <w:tc>
          <w:tcPr>
            <w:tcW w:w="240" w:type="dxa"/>
            <w:vAlign w:val="bottom"/>
          </w:tcPr>
          <w:p>
            <w:pPr>
              <w:spacing w:after="0"/>
              <w:rPr>
                <w:sz w:val="24"/>
                <w:szCs w:val="24"/>
                <w:color w:val="auto"/>
              </w:rPr>
            </w:pPr>
          </w:p>
        </w:tc>
        <w:tc>
          <w:tcPr>
            <w:tcW w:w="900" w:type="dxa"/>
            <w:vAlign w:val="bottom"/>
            <w:gridSpan w:val="2"/>
          </w:tcPr>
          <w:p>
            <w:pPr>
              <w:jc w:val="right"/>
              <w:spacing w:after="0"/>
              <w:rPr>
                <w:sz w:val="20"/>
                <w:szCs w:val="20"/>
                <w:color w:val="auto"/>
              </w:rPr>
            </w:pPr>
            <w:r>
              <w:rPr>
                <w:rFonts w:ascii="Arial" w:cs="Arial" w:eastAsia="Arial" w:hAnsi="Arial"/>
                <w:sz w:val="18"/>
                <w:szCs w:val="18"/>
                <w:b w:val="1"/>
                <w:bCs w:val="1"/>
                <w:color w:val="auto"/>
              </w:rPr>
              <w:t>100.0%</w:t>
            </w:r>
          </w:p>
        </w:tc>
        <w:tc>
          <w:tcPr>
            <w:tcW w:w="16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5.8</w:t>
            </w:r>
          </w:p>
        </w:tc>
        <w:tc>
          <w:tcPr>
            <w:tcW w:w="220" w:type="dxa"/>
            <w:vAlign w:val="bottom"/>
          </w:tcPr>
          <w:p>
            <w:pPr>
              <w:spacing w:after="0"/>
              <w:rPr>
                <w:sz w:val="24"/>
                <w:szCs w:val="24"/>
                <w:color w:val="auto"/>
              </w:rPr>
            </w:pPr>
          </w:p>
        </w:tc>
        <w:tc>
          <w:tcPr>
            <w:tcW w:w="980" w:type="dxa"/>
            <w:vAlign w:val="bottom"/>
            <w:gridSpan w:val="2"/>
          </w:tcPr>
          <w:p>
            <w:pPr>
              <w:jc w:val="right"/>
              <w:ind w:right="30"/>
              <w:spacing w:after="0"/>
              <w:rPr>
                <w:sz w:val="20"/>
                <w:szCs w:val="20"/>
                <w:color w:val="auto"/>
              </w:rPr>
            </w:pPr>
            <w:r>
              <w:rPr>
                <w:rFonts w:ascii="Arial" w:cs="Arial" w:eastAsia="Arial" w:hAnsi="Arial"/>
                <w:sz w:val="18"/>
                <w:szCs w:val="18"/>
                <w:b w:val="1"/>
                <w:bCs w:val="1"/>
                <w:color w:val="auto"/>
              </w:rPr>
              <w:t>100.0%</w:t>
            </w: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5.4</w:t>
            </w:r>
          </w:p>
        </w:tc>
        <w:tc>
          <w:tcPr>
            <w:tcW w:w="220" w:type="dxa"/>
            <w:vAlign w:val="bottom"/>
          </w:tcPr>
          <w:p>
            <w:pPr>
              <w:spacing w:after="0"/>
              <w:rPr>
                <w:sz w:val="24"/>
                <w:szCs w:val="24"/>
                <w:color w:val="auto"/>
              </w:rPr>
            </w:pPr>
          </w:p>
        </w:tc>
        <w:tc>
          <w:tcPr>
            <w:tcW w:w="880" w:type="dxa"/>
            <w:vAlign w:val="bottom"/>
            <w:gridSpan w:val="2"/>
          </w:tcPr>
          <w:p>
            <w:pPr>
              <w:jc w:val="right"/>
              <w:spacing w:after="0"/>
              <w:rPr>
                <w:sz w:val="20"/>
                <w:szCs w:val="20"/>
                <w:color w:val="auto"/>
              </w:rPr>
            </w:pPr>
            <w:r>
              <w:rPr>
                <w:rFonts w:ascii="Arial" w:cs="Arial" w:eastAsia="Arial" w:hAnsi="Arial"/>
                <w:sz w:val="18"/>
                <w:szCs w:val="18"/>
                <w:b w:val="1"/>
                <w:bCs w:val="1"/>
                <w:color w:val="auto"/>
              </w:rPr>
              <w:t>100.0%</w:t>
            </w:r>
          </w:p>
        </w:tc>
      </w:tr>
      <w:tr>
        <w:trPr>
          <w:trHeight w:val="170"/>
        </w:trPr>
        <w:tc>
          <w:tcPr>
            <w:tcW w:w="4280" w:type="dxa"/>
            <w:vAlign w:val="bottom"/>
            <w:tcBorders>
              <w:top w:val="single" w:sz="8" w:color="CCEEFF"/>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Total allowance for ECL</w:t>
            </w:r>
          </w:p>
        </w:tc>
        <w:tc>
          <w:tcPr>
            <w:tcW w:w="300" w:type="dxa"/>
            <w:vAlign w:val="bottom"/>
            <w:tcBorders>
              <w:top w:val="single" w:sz="8" w:color="CCEEFF"/>
            </w:tcBorders>
            <w:shd w:val="clear" w:color="auto" w:fill="CCEEFF"/>
          </w:tcPr>
          <w:p>
            <w:pPr>
              <w:spacing w:after="0"/>
              <w:rPr>
                <w:sz w:val="14"/>
                <w:szCs w:val="14"/>
                <w:color w:val="auto"/>
              </w:rPr>
            </w:pPr>
          </w:p>
        </w:tc>
        <w:tc>
          <w:tcPr>
            <w:tcW w:w="160" w:type="dxa"/>
            <w:vAlign w:val="bottom"/>
            <w:tcBorders>
              <w:top w:val="single" w:sz="8" w:color="auto"/>
            </w:tcBorders>
            <w:shd w:val="clear" w:color="auto" w:fill="CCEEFF"/>
          </w:tcPr>
          <w:p>
            <w:pPr>
              <w:spacing w:after="0"/>
              <w:rPr>
                <w:sz w:val="14"/>
                <w:szCs w:val="14"/>
                <w:color w:val="auto"/>
              </w:rPr>
            </w:pPr>
          </w:p>
        </w:tc>
        <w:tc>
          <w:tcPr>
            <w:tcW w:w="7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240" w:type="dxa"/>
            <w:vAlign w:val="bottom"/>
            <w:tcBorders>
              <w:top w:val="single" w:sz="8" w:color="auto"/>
            </w:tcBorders>
            <w:shd w:val="clear" w:color="auto" w:fill="CCEEFF"/>
          </w:tcPr>
          <w:p>
            <w:pPr>
              <w:spacing w:after="0"/>
              <w:rPr>
                <w:sz w:val="14"/>
                <w:szCs w:val="14"/>
                <w:color w:val="auto"/>
              </w:rPr>
            </w:pPr>
          </w:p>
        </w:tc>
        <w:tc>
          <w:tcPr>
            <w:tcW w:w="66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60" w:type="dxa"/>
            <w:vAlign w:val="bottom"/>
            <w:tcBorders>
              <w:top w:val="single" w:sz="8" w:color="CCEEFF"/>
            </w:tcBorders>
            <w:shd w:val="clear" w:color="auto" w:fill="CCEEFF"/>
          </w:tcPr>
          <w:p>
            <w:pPr>
              <w:spacing w:after="0"/>
              <w:rPr>
                <w:sz w:val="14"/>
                <w:szCs w:val="14"/>
                <w:color w:val="auto"/>
              </w:rPr>
            </w:pPr>
          </w:p>
        </w:tc>
        <w:tc>
          <w:tcPr>
            <w:tcW w:w="100" w:type="dxa"/>
            <w:vAlign w:val="bottom"/>
            <w:tcBorders>
              <w:top w:val="single" w:sz="8" w:color="auto"/>
            </w:tcBorders>
            <w:shd w:val="clear" w:color="auto" w:fill="CCEEFF"/>
          </w:tcPr>
          <w:p>
            <w:pPr>
              <w:spacing w:after="0"/>
              <w:rPr>
                <w:sz w:val="14"/>
                <w:szCs w:val="14"/>
                <w:color w:val="auto"/>
              </w:rPr>
            </w:pPr>
          </w:p>
        </w:tc>
        <w:tc>
          <w:tcPr>
            <w:tcW w:w="8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220" w:type="dxa"/>
            <w:vAlign w:val="bottom"/>
            <w:tcBorders>
              <w:top w:val="single" w:sz="8" w:color="auto"/>
            </w:tcBorders>
            <w:shd w:val="clear" w:color="auto" w:fill="CCEEFF"/>
          </w:tcPr>
          <w:p>
            <w:pPr>
              <w:spacing w:after="0"/>
              <w:rPr>
                <w:sz w:val="14"/>
                <w:szCs w:val="14"/>
                <w:color w:val="auto"/>
              </w:rPr>
            </w:pPr>
          </w:p>
        </w:tc>
        <w:tc>
          <w:tcPr>
            <w:tcW w:w="680" w:type="dxa"/>
            <w:vAlign w:val="bottom"/>
            <w:tcBorders>
              <w:top w:val="single" w:sz="8" w:color="auto"/>
            </w:tcBorders>
            <w:shd w:val="clear" w:color="auto" w:fill="CCEEFF"/>
          </w:tcPr>
          <w:p>
            <w:pPr>
              <w:spacing w:after="0"/>
              <w:rPr>
                <w:sz w:val="14"/>
                <w:szCs w:val="14"/>
                <w:color w:val="auto"/>
              </w:rPr>
            </w:pPr>
          </w:p>
        </w:tc>
        <w:tc>
          <w:tcPr>
            <w:tcW w:w="300" w:type="dxa"/>
            <w:vAlign w:val="bottom"/>
            <w:tcBorders>
              <w:top w:val="single" w:sz="8" w:color="CCEEFF"/>
            </w:tcBorders>
            <w:shd w:val="clear" w:color="auto" w:fill="CCEEFF"/>
          </w:tcPr>
          <w:p>
            <w:pPr>
              <w:spacing w:after="0"/>
              <w:rPr>
                <w:sz w:val="14"/>
                <w:szCs w:val="14"/>
                <w:color w:val="auto"/>
              </w:rPr>
            </w:pPr>
          </w:p>
        </w:tc>
        <w:tc>
          <w:tcPr>
            <w:tcW w:w="180" w:type="dxa"/>
            <w:vAlign w:val="bottom"/>
            <w:tcBorders>
              <w:top w:val="single" w:sz="8" w:color="auto"/>
            </w:tcBorders>
            <w:shd w:val="clear" w:color="auto" w:fill="CCEEFF"/>
          </w:tcPr>
          <w:p>
            <w:pPr>
              <w:spacing w:after="0"/>
              <w:rPr>
                <w:sz w:val="14"/>
                <w:szCs w:val="14"/>
                <w:color w:val="auto"/>
              </w:rPr>
            </w:pPr>
          </w:p>
        </w:tc>
        <w:tc>
          <w:tcPr>
            <w:tcW w:w="7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220" w:type="dxa"/>
            <w:vAlign w:val="bottom"/>
            <w:tcBorders>
              <w:top w:val="single" w:sz="8" w:color="auto"/>
            </w:tcBorders>
            <w:shd w:val="clear" w:color="auto" w:fill="CCEEFF"/>
          </w:tcPr>
          <w:p>
            <w:pPr>
              <w:spacing w:after="0"/>
              <w:rPr>
                <w:sz w:val="14"/>
                <w:szCs w:val="14"/>
                <w:color w:val="auto"/>
              </w:rPr>
            </w:pPr>
          </w:p>
        </w:tc>
        <w:tc>
          <w:tcPr>
            <w:tcW w:w="700" w:type="dxa"/>
            <w:vAlign w:val="bottom"/>
            <w:tcBorders>
              <w:top w:val="single" w:sz="8" w:color="auto"/>
            </w:tcBorders>
            <w:shd w:val="clear" w:color="auto" w:fill="CCEEFF"/>
          </w:tcPr>
          <w:p>
            <w:pPr>
              <w:spacing w:after="0"/>
              <w:rPr>
                <w:sz w:val="14"/>
                <w:szCs w:val="14"/>
                <w:color w:val="auto"/>
              </w:rPr>
            </w:pPr>
          </w:p>
        </w:tc>
        <w:tc>
          <w:tcPr>
            <w:tcW w:w="180" w:type="dxa"/>
            <w:vAlign w:val="bottom"/>
            <w:tcBorders>
              <w:top w:val="single" w:sz="8" w:color="CCEEFF"/>
            </w:tcBorders>
            <w:shd w:val="clear" w:color="auto" w:fill="CCEEFF"/>
          </w:tcPr>
          <w:p>
            <w:pPr>
              <w:spacing w:after="0"/>
              <w:rPr>
                <w:sz w:val="14"/>
                <w:szCs w:val="14"/>
                <w:color w:val="auto"/>
              </w:rPr>
            </w:pPr>
          </w:p>
        </w:tc>
      </w:tr>
      <w:tr>
        <w:trPr>
          <w:trHeight w:val="216"/>
        </w:trPr>
        <w:tc>
          <w:tcPr>
            <w:tcW w:w="4280" w:type="dxa"/>
            <w:vAlign w:val="bottom"/>
          </w:tcPr>
          <w:p>
            <w:pPr>
              <w:ind w:left="260"/>
              <w:spacing w:after="0"/>
              <w:rPr>
                <w:sz w:val="20"/>
                <w:szCs w:val="20"/>
                <w:color w:val="auto"/>
              </w:rPr>
            </w:pPr>
            <w:r>
              <w:rPr>
                <w:rFonts w:ascii="Arial" w:cs="Arial" w:eastAsia="Arial" w:hAnsi="Arial"/>
                <w:sz w:val="18"/>
                <w:szCs w:val="18"/>
                <w:color w:val="auto"/>
              </w:rPr>
              <w:t>Argentina</w:t>
            </w:r>
          </w:p>
        </w:tc>
        <w:tc>
          <w:tcPr>
            <w:tcW w:w="46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5.0</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5.7</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7.3</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6.5</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15.5</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16.3</w:t>
            </w:r>
          </w:p>
        </w:tc>
      </w:tr>
      <w:tr>
        <w:trPr>
          <w:trHeight w:val="216"/>
        </w:trPr>
        <w:tc>
          <w:tcPr>
            <w:tcW w:w="4280" w:type="dxa"/>
            <w:vAlign w:val="bottom"/>
            <w:shd w:val="clear" w:color="auto" w:fill="CCEEFF"/>
          </w:tcPr>
          <w:p>
            <w:pPr>
              <w:ind w:left="260"/>
              <w:spacing w:after="0"/>
              <w:rPr>
                <w:sz w:val="20"/>
                <w:szCs w:val="20"/>
                <w:color w:val="auto"/>
              </w:rPr>
            </w:pPr>
            <w:r>
              <w:rPr>
                <w:rFonts w:ascii="Arial" w:cs="Arial" w:eastAsia="Arial" w:hAnsi="Arial"/>
                <w:sz w:val="18"/>
                <w:szCs w:val="18"/>
                <w:color w:val="auto"/>
              </w:rPr>
              <w:t>Brazil</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42.4</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48.1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49.1</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44.0</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11.0</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11.5</w:t>
            </w:r>
          </w:p>
        </w:tc>
      </w:tr>
      <w:tr>
        <w:trPr>
          <w:trHeight w:val="216"/>
        </w:trPr>
        <w:tc>
          <w:tcPr>
            <w:tcW w:w="4280" w:type="dxa"/>
            <w:vAlign w:val="bottom"/>
          </w:tcPr>
          <w:p>
            <w:pPr>
              <w:ind w:left="260"/>
              <w:spacing w:after="0"/>
              <w:rPr>
                <w:sz w:val="20"/>
                <w:szCs w:val="20"/>
                <w:color w:val="auto"/>
              </w:rPr>
            </w:pPr>
            <w:r>
              <w:rPr>
                <w:rFonts w:ascii="Arial" w:cs="Arial" w:eastAsia="Arial" w:hAnsi="Arial"/>
                <w:sz w:val="18"/>
                <w:szCs w:val="18"/>
                <w:color w:val="auto"/>
              </w:rPr>
              <w:t>Chile</w:t>
            </w: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0.6</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0.7</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1.0</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0.5</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0.6</w:t>
            </w:r>
          </w:p>
        </w:tc>
      </w:tr>
      <w:tr>
        <w:trPr>
          <w:trHeight w:val="216"/>
        </w:trPr>
        <w:tc>
          <w:tcPr>
            <w:tcW w:w="4280" w:type="dxa"/>
            <w:vAlign w:val="bottom"/>
            <w:shd w:val="clear" w:color="auto" w:fill="CCEEFF"/>
          </w:tcPr>
          <w:p>
            <w:pPr>
              <w:ind w:left="260"/>
              <w:spacing w:after="0"/>
              <w:rPr>
                <w:sz w:val="20"/>
                <w:szCs w:val="20"/>
                <w:color w:val="auto"/>
              </w:rPr>
            </w:pPr>
            <w:r>
              <w:rPr>
                <w:rFonts w:ascii="Arial" w:cs="Arial" w:eastAsia="Arial" w:hAnsi="Arial"/>
                <w:sz w:val="18"/>
                <w:szCs w:val="18"/>
                <w:color w:val="auto"/>
              </w:rPr>
              <w:t>Colombia</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9.1</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10.3</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11.4</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10.2</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27.5</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28.9</w:t>
            </w:r>
          </w:p>
        </w:tc>
      </w:tr>
      <w:tr>
        <w:trPr>
          <w:trHeight w:val="216"/>
        </w:trPr>
        <w:tc>
          <w:tcPr>
            <w:tcW w:w="4280" w:type="dxa"/>
            <w:vAlign w:val="bottom"/>
          </w:tcPr>
          <w:p>
            <w:pPr>
              <w:ind w:left="260"/>
              <w:spacing w:after="0"/>
              <w:rPr>
                <w:sz w:val="20"/>
                <w:szCs w:val="20"/>
                <w:color w:val="auto"/>
              </w:rPr>
            </w:pPr>
            <w:r>
              <w:rPr>
                <w:rFonts w:ascii="Arial" w:cs="Arial" w:eastAsia="Arial" w:hAnsi="Arial"/>
                <w:sz w:val="18"/>
                <w:szCs w:val="18"/>
                <w:color w:val="auto"/>
              </w:rPr>
              <w:t>Costa Rica</w:t>
            </w: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1.7</w:t>
            </w:r>
          </w:p>
        </w:tc>
        <w:tc>
          <w:tcPr>
            <w:tcW w:w="240" w:type="dxa"/>
            <w:vAlign w:val="bottom"/>
          </w:tcPr>
          <w:p>
            <w:pPr>
              <w:spacing w:after="0"/>
              <w:rPr>
                <w:sz w:val="18"/>
                <w:szCs w:val="18"/>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1.9</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1.7</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1.5</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2.9</w:t>
            </w:r>
          </w:p>
        </w:tc>
        <w:tc>
          <w:tcPr>
            <w:tcW w:w="220" w:type="dxa"/>
            <w:vAlign w:val="bottom"/>
          </w:tcPr>
          <w:p>
            <w:pPr>
              <w:spacing w:after="0"/>
              <w:rPr>
                <w:sz w:val="18"/>
                <w:szCs w:val="18"/>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3.0</w:t>
            </w:r>
          </w:p>
        </w:tc>
      </w:tr>
      <w:tr>
        <w:trPr>
          <w:trHeight w:val="216"/>
        </w:trPr>
        <w:tc>
          <w:tcPr>
            <w:tcW w:w="4280" w:type="dxa"/>
            <w:vAlign w:val="bottom"/>
            <w:shd w:val="clear" w:color="auto" w:fill="CCEEFF"/>
          </w:tcPr>
          <w:p>
            <w:pPr>
              <w:ind w:left="260"/>
              <w:spacing w:after="0"/>
              <w:rPr>
                <w:sz w:val="20"/>
                <w:szCs w:val="20"/>
                <w:color w:val="auto"/>
              </w:rPr>
            </w:pPr>
            <w:r>
              <w:rPr>
                <w:rFonts w:ascii="Arial" w:cs="Arial" w:eastAsia="Arial" w:hAnsi="Arial"/>
                <w:sz w:val="18"/>
                <w:szCs w:val="18"/>
                <w:color w:val="auto"/>
              </w:rPr>
              <w:t>Dominican Republic</w:t>
            </w: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1.4</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4.2</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9.0</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9.4</w:t>
            </w:r>
          </w:p>
        </w:tc>
      </w:tr>
      <w:tr>
        <w:trPr>
          <w:trHeight w:val="230"/>
        </w:trPr>
        <w:tc>
          <w:tcPr>
            <w:tcW w:w="4280" w:type="dxa"/>
            <w:vAlign w:val="bottom"/>
          </w:tcPr>
          <w:p>
            <w:pPr>
              <w:ind w:left="260"/>
              <w:spacing w:after="0"/>
              <w:rPr>
                <w:sz w:val="20"/>
                <w:szCs w:val="20"/>
                <w:color w:val="auto"/>
              </w:rPr>
            </w:pPr>
            <w:r>
              <w:rPr>
                <w:rFonts w:ascii="Arial" w:cs="Arial" w:eastAsia="Arial" w:hAnsi="Arial"/>
                <w:sz w:val="18"/>
                <w:szCs w:val="18"/>
                <w:color w:val="auto"/>
              </w:rPr>
              <w:t>Ecuador</w:t>
            </w:r>
          </w:p>
        </w:tc>
        <w:tc>
          <w:tcPr>
            <w:tcW w:w="3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3.8</w:t>
            </w:r>
          </w:p>
        </w:tc>
        <w:tc>
          <w:tcPr>
            <w:tcW w:w="240" w:type="dxa"/>
            <w:vAlign w:val="bottom"/>
          </w:tcPr>
          <w:p>
            <w:pPr>
              <w:spacing w:after="0"/>
              <w:rPr>
                <w:sz w:val="20"/>
                <w:szCs w:val="20"/>
                <w:color w:val="auto"/>
              </w:rPr>
            </w:pPr>
          </w:p>
        </w:tc>
        <w:tc>
          <w:tcPr>
            <w:tcW w:w="900" w:type="dxa"/>
            <w:vAlign w:val="bottom"/>
            <w:gridSpan w:val="2"/>
          </w:tcPr>
          <w:p>
            <w:pPr>
              <w:jc w:val="right"/>
              <w:ind w:right="150"/>
              <w:spacing w:after="0"/>
              <w:rPr>
                <w:sz w:val="20"/>
                <w:szCs w:val="20"/>
                <w:color w:val="auto"/>
              </w:rPr>
            </w:pPr>
            <w:r>
              <w:rPr>
                <w:rFonts w:ascii="Arial" w:cs="Arial" w:eastAsia="Arial" w:hAnsi="Arial"/>
                <w:sz w:val="18"/>
                <w:szCs w:val="18"/>
                <w:color w:val="auto"/>
              </w:rPr>
              <w:t>4.3</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3.1</w:t>
            </w:r>
          </w:p>
        </w:tc>
        <w:tc>
          <w:tcPr>
            <w:tcW w:w="220" w:type="dxa"/>
            <w:vAlign w:val="bottom"/>
          </w:tcPr>
          <w:p>
            <w:pPr>
              <w:spacing w:after="0"/>
              <w:rPr>
                <w:sz w:val="20"/>
                <w:szCs w:val="20"/>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2.8</w:t>
            </w:r>
          </w:p>
        </w:tc>
        <w:tc>
          <w:tcPr>
            <w:tcW w:w="180" w:type="dxa"/>
            <w:vAlign w:val="bottom"/>
          </w:tcPr>
          <w:p>
            <w:pPr>
              <w:spacing w:after="0"/>
              <w:rPr>
                <w:sz w:val="20"/>
                <w:szCs w:val="20"/>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7.7</w:t>
            </w:r>
          </w:p>
        </w:tc>
        <w:tc>
          <w:tcPr>
            <w:tcW w:w="220" w:type="dxa"/>
            <w:vAlign w:val="bottom"/>
          </w:tcPr>
          <w:p>
            <w:pPr>
              <w:spacing w:after="0"/>
              <w:rPr>
                <w:sz w:val="20"/>
                <w:szCs w:val="20"/>
                <w:color w:val="auto"/>
              </w:rPr>
            </w:pPr>
          </w:p>
        </w:tc>
        <w:tc>
          <w:tcPr>
            <w:tcW w:w="880" w:type="dxa"/>
            <w:vAlign w:val="bottom"/>
            <w:gridSpan w:val="2"/>
          </w:tcPr>
          <w:p>
            <w:pPr>
              <w:jc w:val="right"/>
              <w:ind w:right="90"/>
              <w:spacing w:after="0"/>
              <w:rPr>
                <w:sz w:val="20"/>
                <w:szCs w:val="20"/>
                <w:color w:val="auto"/>
              </w:rPr>
            </w:pPr>
            <w:r>
              <w:rPr>
                <w:rFonts w:ascii="Arial" w:cs="Arial" w:eastAsia="Arial" w:hAnsi="Arial"/>
                <w:sz w:val="18"/>
                <w:szCs w:val="18"/>
                <w:color w:val="auto"/>
              </w:rPr>
              <w:t>8.1</w:t>
            </w:r>
          </w:p>
        </w:tc>
      </w:tr>
      <w:tr>
        <w:trPr>
          <w:trHeight w:val="634"/>
        </w:trPr>
        <w:tc>
          <w:tcPr>
            <w:tcW w:w="42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8"/>
                <w:szCs w:val="18"/>
                <w:color w:val="auto"/>
              </w:rPr>
              <w:t>61</w:t>
            </w:r>
          </w:p>
        </w:tc>
        <w:tc>
          <w:tcPr>
            <w:tcW w:w="6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9" w:right="239" w:bottom="1440" w:gutter="0" w:footer="0" w:header="0"/>
        </w:sectPr>
      </w:pPr>
    </w:p>
    <w:bookmarkStart w:id="64" w:name="page65"/>
    <w:bookmarkEnd w:id="64"/>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580" w:type="dxa"/>
            <w:vAlign w:val="bottom"/>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7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68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320" w:type="dxa"/>
            <w:vAlign w:val="bottom"/>
            <w:tcBorders>
              <w:bottom w:val="single" w:sz="8" w:color="auto"/>
            </w:tcBorders>
            <w:gridSpan w:val="6"/>
          </w:tcPr>
          <w:p>
            <w:pPr>
              <w:jc w:val="center"/>
              <w:ind w:right="550"/>
              <w:spacing w:after="0"/>
              <w:rPr>
                <w:sz w:val="20"/>
                <w:szCs w:val="20"/>
                <w:color w:val="auto"/>
              </w:rPr>
            </w:pPr>
            <w:r>
              <w:rPr>
                <w:rFonts w:ascii="Arial" w:cs="Arial" w:eastAsia="Arial" w:hAnsi="Arial"/>
                <w:sz w:val="18"/>
                <w:szCs w:val="18"/>
                <w:b w:val="1"/>
                <w:bCs w:val="1"/>
                <w:color w:val="auto"/>
                <w:w w:val="88"/>
              </w:rPr>
              <w:t>As of December 31,</w:t>
            </w:r>
          </w:p>
        </w:tc>
        <w:tc>
          <w:tcPr>
            <w:tcW w:w="7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223"/>
        </w:trPr>
        <w:tc>
          <w:tcPr>
            <w:tcW w:w="458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8"/>
                <w:szCs w:val="18"/>
                <w:b w:val="1"/>
                <w:bCs w:val="1"/>
                <w:color w:val="auto"/>
              </w:rPr>
              <w:t>2017</w:t>
            </w:r>
          </w:p>
        </w:tc>
        <w:tc>
          <w:tcPr>
            <w:tcW w:w="680" w:type="dxa"/>
            <w:vAlign w:val="bottom"/>
            <w:tcBorders>
              <w:bottom w:val="single" w:sz="8" w:color="auto"/>
            </w:tcBorders>
          </w:tcPr>
          <w:p>
            <w:pPr>
              <w:spacing w:after="0"/>
              <w:rPr>
                <w:sz w:val="19"/>
                <w:szCs w:val="19"/>
                <w:color w:val="auto"/>
              </w:rPr>
            </w:pPr>
          </w:p>
        </w:tc>
        <w:tc>
          <w:tcPr>
            <w:tcW w:w="30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gridSpan w:val="3"/>
          </w:tcPr>
          <w:p>
            <w:pPr>
              <w:jc w:val="center"/>
              <w:ind w:left="430"/>
              <w:spacing w:after="0"/>
              <w:rPr>
                <w:sz w:val="20"/>
                <w:szCs w:val="20"/>
                <w:color w:val="auto"/>
              </w:rPr>
            </w:pPr>
            <w:r>
              <w:rPr>
                <w:rFonts w:ascii="Arial" w:cs="Arial" w:eastAsia="Arial" w:hAnsi="Arial"/>
                <w:sz w:val="18"/>
                <w:szCs w:val="18"/>
                <w:b w:val="1"/>
                <w:bCs w:val="1"/>
                <w:color w:val="auto"/>
                <w:w w:val="89"/>
              </w:rPr>
              <w:t>2016</w:t>
            </w:r>
          </w:p>
        </w:tc>
        <w:tc>
          <w:tcPr>
            <w:tcW w:w="680" w:type="dxa"/>
            <w:vAlign w:val="bottom"/>
            <w:tcBorders>
              <w:bottom w:val="single" w:sz="8" w:color="auto"/>
            </w:tcBorders>
          </w:tcPr>
          <w:p>
            <w:pPr>
              <w:spacing w:after="0"/>
              <w:rPr>
                <w:sz w:val="19"/>
                <w:szCs w:val="19"/>
                <w:color w:val="auto"/>
              </w:rPr>
            </w:pPr>
          </w:p>
        </w:tc>
        <w:tc>
          <w:tcPr>
            <w:tcW w:w="30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8"/>
                <w:szCs w:val="18"/>
                <w:b w:val="1"/>
                <w:bCs w:val="1"/>
                <w:color w:val="auto"/>
              </w:rPr>
              <w:t>2015</w:t>
            </w:r>
          </w:p>
        </w:tc>
        <w:tc>
          <w:tcPr>
            <w:tcW w:w="70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23"/>
        </w:trPr>
        <w:tc>
          <w:tcPr>
            <w:tcW w:w="458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gridSpan w:val="3"/>
          </w:tcPr>
          <w:p>
            <w:pPr>
              <w:jc w:val="right"/>
              <w:ind w:right="680"/>
              <w:spacing w:after="0"/>
              <w:rPr>
                <w:sz w:val="20"/>
                <w:szCs w:val="20"/>
                <w:color w:val="auto"/>
              </w:rPr>
            </w:pPr>
            <w:r>
              <w:rPr>
                <w:rFonts w:ascii="Arial" w:cs="Arial" w:eastAsia="Arial" w:hAnsi="Arial"/>
                <w:sz w:val="18"/>
                <w:szCs w:val="18"/>
                <w:b w:val="1"/>
                <w:bCs w:val="1"/>
                <w:color w:val="auto"/>
              </w:rPr>
              <w:t>Total</w:t>
            </w:r>
          </w:p>
        </w:tc>
        <w:tc>
          <w:tcPr>
            <w:tcW w:w="6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w:t>
            </w:r>
          </w:p>
        </w:tc>
        <w:tc>
          <w:tcPr>
            <w:tcW w:w="3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gridSpan w:val="3"/>
          </w:tcPr>
          <w:p>
            <w:pPr>
              <w:ind w:left="80"/>
              <w:spacing w:after="0"/>
              <w:rPr>
                <w:sz w:val="20"/>
                <w:szCs w:val="20"/>
                <w:color w:val="auto"/>
              </w:rPr>
            </w:pPr>
            <w:r>
              <w:rPr>
                <w:rFonts w:ascii="Arial" w:cs="Arial" w:eastAsia="Arial" w:hAnsi="Arial"/>
                <w:sz w:val="18"/>
                <w:szCs w:val="18"/>
                <w:b w:val="1"/>
                <w:bCs w:val="1"/>
                <w:color w:val="auto"/>
              </w:rPr>
              <w:t>Total</w:t>
            </w:r>
          </w:p>
        </w:tc>
        <w:tc>
          <w:tcPr>
            <w:tcW w:w="6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w:t>
            </w:r>
          </w:p>
        </w:tc>
        <w:tc>
          <w:tcPr>
            <w:tcW w:w="3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gridSpan w:val="3"/>
          </w:tcPr>
          <w:p>
            <w:pPr>
              <w:jc w:val="right"/>
              <w:ind w:right="680"/>
              <w:spacing w:after="0"/>
              <w:rPr>
                <w:sz w:val="20"/>
                <w:szCs w:val="20"/>
                <w:color w:val="auto"/>
              </w:rPr>
            </w:pPr>
            <w:r>
              <w:rPr>
                <w:rFonts w:ascii="Arial" w:cs="Arial" w:eastAsia="Arial" w:hAnsi="Arial"/>
                <w:sz w:val="18"/>
                <w:szCs w:val="18"/>
                <w:b w:val="1"/>
                <w:bCs w:val="1"/>
                <w:color w:val="auto"/>
              </w:rPr>
              <w:t>Total</w:t>
            </w:r>
          </w:p>
        </w:tc>
        <w:tc>
          <w:tcPr>
            <w:tcW w:w="70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10"/>
        </w:trPr>
        <w:tc>
          <w:tcPr>
            <w:tcW w:w="45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800" w:type="dxa"/>
            <w:vAlign w:val="bottom"/>
            <w:gridSpan w:val="8"/>
          </w:tcPr>
          <w:p>
            <w:pPr>
              <w:jc w:val="center"/>
              <w:ind w:right="70"/>
              <w:spacing w:after="0"/>
              <w:rPr>
                <w:sz w:val="20"/>
                <w:szCs w:val="20"/>
                <w:color w:val="auto"/>
              </w:rPr>
            </w:pPr>
            <w:r>
              <w:rPr>
                <w:rFonts w:ascii="Arial" w:cs="Arial" w:eastAsia="Arial" w:hAnsi="Arial"/>
                <w:sz w:val="18"/>
                <w:szCs w:val="18"/>
                <w:b w:val="1"/>
                <w:bCs w:val="1"/>
                <w:color w:val="auto"/>
                <w:w w:val="88"/>
              </w:rPr>
              <w:t>(in $ millions, except percentages)</w:t>
            </w: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4580" w:type="dxa"/>
            <w:vAlign w:val="bottom"/>
            <w:shd w:val="clear" w:color="auto" w:fill="CCEEFF"/>
          </w:tcPr>
          <w:p>
            <w:pPr>
              <w:ind w:left="260"/>
              <w:spacing w:after="0"/>
              <w:rPr>
                <w:sz w:val="20"/>
                <w:szCs w:val="20"/>
                <w:color w:val="auto"/>
              </w:rPr>
            </w:pPr>
            <w:r>
              <w:rPr>
                <w:rFonts w:ascii="Arial" w:cs="Arial" w:eastAsia="Arial" w:hAnsi="Arial"/>
                <w:sz w:val="18"/>
                <w:szCs w:val="18"/>
                <w:color w:val="auto"/>
              </w:rPr>
              <w:t>El Salvador</w:t>
            </w: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1.5</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2.2</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w:t>
            </w:r>
          </w:p>
        </w:tc>
        <w:tc>
          <w:tcPr>
            <w:tcW w:w="22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3.1</w:t>
            </w:r>
          </w:p>
        </w:tc>
        <w:tc>
          <w:tcPr>
            <w:tcW w:w="160" w:type="dxa"/>
            <w:vAlign w:val="bottom"/>
            <w:shd w:val="clear" w:color="auto" w:fill="CCEEFF"/>
          </w:tcPr>
          <w:p>
            <w:pPr>
              <w:spacing w:after="0"/>
              <w:rPr>
                <w:sz w:val="18"/>
                <w:szCs w:val="18"/>
                <w:color w:val="auto"/>
              </w:rPr>
            </w:pPr>
          </w:p>
        </w:tc>
      </w:tr>
      <w:tr>
        <w:trPr>
          <w:trHeight w:val="216"/>
        </w:trPr>
        <w:tc>
          <w:tcPr>
            <w:tcW w:w="4580" w:type="dxa"/>
            <w:vAlign w:val="bottom"/>
          </w:tcPr>
          <w:p>
            <w:pPr>
              <w:ind w:left="260"/>
              <w:spacing w:after="0"/>
              <w:rPr>
                <w:sz w:val="20"/>
                <w:szCs w:val="20"/>
                <w:color w:val="auto"/>
              </w:rPr>
            </w:pPr>
            <w:r>
              <w:rPr>
                <w:rFonts w:ascii="Arial" w:cs="Arial" w:eastAsia="Arial" w:hAnsi="Arial"/>
                <w:sz w:val="18"/>
                <w:szCs w:val="18"/>
                <w:color w:val="auto"/>
              </w:rPr>
              <w:t>Guatemala</w:t>
            </w: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3.3</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3.8</w:t>
            </w:r>
          </w:p>
        </w:tc>
        <w:tc>
          <w:tcPr>
            <w:tcW w:w="18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1.0</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2.6</w:t>
            </w:r>
          </w:p>
        </w:tc>
        <w:tc>
          <w:tcPr>
            <w:tcW w:w="220" w:type="dxa"/>
            <w:vAlign w:val="bottom"/>
          </w:tcPr>
          <w:p>
            <w:pPr>
              <w:spacing w:after="0"/>
              <w:rPr>
                <w:sz w:val="18"/>
                <w:szCs w:val="18"/>
                <w:color w:val="auto"/>
              </w:rPr>
            </w:pP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2.7</w:t>
            </w:r>
          </w:p>
        </w:tc>
        <w:tc>
          <w:tcPr>
            <w:tcW w:w="160" w:type="dxa"/>
            <w:vAlign w:val="bottom"/>
          </w:tcPr>
          <w:p>
            <w:pPr>
              <w:spacing w:after="0"/>
              <w:rPr>
                <w:sz w:val="18"/>
                <w:szCs w:val="18"/>
                <w:color w:val="auto"/>
              </w:rPr>
            </w:pPr>
          </w:p>
        </w:tc>
      </w:tr>
      <w:tr>
        <w:trPr>
          <w:trHeight w:val="216"/>
        </w:trPr>
        <w:tc>
          <w:tcPr>
            <w:tcW w:w="4580" w:type="dxa"/>
            <w:vAlign w:val="bottom"/>
            <w:shd w:val="clear" w:color="auto" w:fill="CCEEFF"/>
          </w:tcPr>
          <w:p>
            <w:pPr>
              <w:ind w:left="260"/>
              <w:spacing w:after="0"/>
              <w:rPr>
                <w:sz w:val="20"/>
                <w:szCs w:val="20"/>
                <w:color w:val="auto"/>
              </w:rPr>
            </w:pPr>
            <w:r>
              <w:rPr>
                <w:rFonts w:ascii="Arial" w:cs="Arial" w:eastAsia="Arial" w:hAnsi="Arial"/>
                <w:sz w:val="18"/>
                <w:szCs w:val="18"/>
                <w:color w:val="auto"/>
              </w:rPr>
              <w:t>Honduras</w:t>
            </w: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7.0</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1.5</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5.2</w:t>
            </w:r>
          </w:p>
        </w:tc>
        <w:tc>
          <w:tcPr>
            <w:tcW w:w="22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5.4</w:t>
            </w:r>
          </w:p>
        </w:tc>
        <w:tc>
          <w:tcPr>
            <w:tcW w:w="160" w:type="dxa"/>
            <w:vAlign w:val="bottom"/>
            <w:shd w:val="clear" w:color="auto" w:fill="CCEEFF"/>
          </w:tcPr>
          <w:p>
            <w:pPr>
              <w:spacing w:after="0"/>
              <w:rPr>
                <w:sz w:val="18"/>
                <w:szCs w:val="18"/>
                <w:color w:val="auto"/>
              </w:rPr>
            </w:pPr>
          </w:p>
        </w:tc>
      </w:tr>
      <w:tr>
        <w:trPr>
          <w:trHeight w:val="216"/>
        </w:trPr>
        <w:tc>
          <w:tcPr>
            <w:tcW w:w="4580" w:type="dxa"/>
            <w:vAlign w:val="bottom"/>
          </w:tcPr>
          <w:p>
            <w:pPr>
              <w:ind w:left="260"/>
              <w:spacing w:after="0"/>
              <w:rPr>
                <w:sz w:val="20"/>
                <w:szCs w:val="20"/>
                <w:color w:val="auto"/>
              </w:rPr>
            </w:pPr>
            <w:r>
              <w:rPr>
                <w:rFonts w:ascii="Arial" w:cs="Arial" w:eastAsia="Arial" w:hAnsi="Arial"/>
                <w:sz w:val="18"/>
                <w:szCs w:val="18"/>
                <w:color w:val="auto"/>
              </w:rPr>
              <w:t>Mexico</w:t>
            </w: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1.4</w:t>
            </w:r>
          </w:p>
        </w:tc>
        <w:tc>
          <w:tcPr>
            <w:tcW w:w="18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6.7</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6.0</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3.3</w:t>
            </w:r>
          </w:p>
        </w:tc>
        <w:tc>
          <w:tcPr>
            <w:tcW w:w="220" w:type="dxa"/>
            <w:vAlign w:val="bottom"/>
          </w:tcPr>
          <w:p>
            <w:pPr>
              <w:spacing w:after="0"/>
              <w:rPr>
                <w:sz w:val="18"/>
                <w:szCs w:val="18"/>
                <w:color w:val="auto"/>
              </w:rPr>
            </w:pP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3.4</w:t>
            </w:r>
          </w:p>
        </w:tc>
        <w:tc>
          <w:tcPr>
            <w:tcW w:w="160" w:type="dxa"/>
            <w:vAlign w:val="bottom"/>
          </w:tcPr>
          <w:p>
            <w:pPr>
              <w:spacing w:after="0"/>
              <w:rPr>
                <w:sz w:val="18"/>
                <w:szCs w:val="18"/>
                <w:color w:val="auto"/>
              </w:rPr>
            </w:pPr>
          </w:p>
        </w:tc>
      </w:tr>
      <w:tr>
        <w:trPr>
          <w:trHeight w:val="216"/>
        </w:trPr>
        <w:tc>
          <w:tcPr>
            <w:tcW w:w="4580" w:type="dxa"/>
            <w:vAlign w:val="bottom"/>
            <w:shd w:val="clear" w:color="auto" w:fill="CCEEFF"/>
          </w:tcPr>
          <w:p>
            <w:pPr>
              <w:ind w:left="260"/>
              <w:spacing w:after="0"/>
              <w:rPr>
                <w:sz w:val="20"/>
                <w:szCs w:val="20"/>
                <w:color w:val="auto"/>
              </w:rPr>
            </w:pPr>
            <w:r>
              <w:rPr>
                <w:rFonts w:ascii="Arial" w:cs="Arial" w:eastAsia="Arial" w:hAnsi="Arial"/>
                <w:sz w:val="18"/>
                <w:szCs w:val="18"/>
                <w:color w:val="auto"/>
              </w:rPr>
              <w:t>Nicaragua</w:t>
            </w: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2.4</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0.9</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0.8</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0.7</w:t>
            </w:r>
          </w:p>
        </w:tc>
        <w:tc>
          <w:tcPr>
            <w:tcW w:w="22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0.8</w:t>
            </w:r>
          </w:p>
        </w:tc>
        <w:tc>
          <w:tcPr>
            <w:tcW w:w="160" w:type="dxa"/>
            <w:vAlign w:val="bottom"/>
            <w:shd w:val="clear" w:color="auto" w:fill="CCEEFF"/>
          </w:tcPr>
          <w:p>
            <w:pPr>
              <w:spacing w:after="0"/>
              <w:rPr>
                <w:sz w:val="18"/>
                <w:szCs w:val="18"/>
                <w:color w:val="auto"/>
              </w:rPr>
            </w:pPr>
          </w:p>
        </w:tc>
      </w:tr>
      <w:tr>
        <w:trPr>
          <w:trHeight w:val="216"/>
        </w:trPr>
        <w:tc>
          <w:tcPr>
            <w:tcW w:w="4580" w:type="dxa"/>
            <w:vAlign w:val="bottom"/>
          </w:tcPr>
          <w:p>
            <w:pPr>
              <w:ind w:left="260"/>
              <w:spacing w:after="0"/>
              <w:rPr>
                <w:sz w:val="20"/>
                <w:szCs w:val="20"/>
                <w:color w:val="auto"/>
              </w:rPr>
            </w:pPr>
            <w:r>
              <w:rPr>
                <w:rFonts w:ascii="Arial" w:cs="Arial" w:eastAsia="Arial" w:hAnsi="Arial"/>
                <w:sz w:val="18"/>
                <w:szCs w:val="18"/>
                <w:color w:val="auto"/>
              </w:rPr>
              <w:t>Panama</w:t>
            </w: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3.7</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4.2</w:t>
            </w:r>
          </w:p>
        </w:tc>
        <w:tc>
          <w:tcPr>
            <w:tcW w:w="18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9.9</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8.9</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1.4</w:t>
            </w:r>
          </w:p>
        </w:tc>
        <w:tc>
          <w:tcPr>
            <w:tcW w:w="220" w:type="dxa"/>
            <w:vAlign w:val="bottom"/>
          </w:tcPr>
          <w:p>
            <w:pPr>
              <w:spacing w:after="0"/>
              <w:rPr>
                <w:sz w:val="18"/>
                <w:szCs w:val="18"/>
                <w:color w:val="auto"/>
              </w:rPr>
            </w:pP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1.5</w:t>
            </w:r>
          </w:p>
        </w:tc>
        <w:tc>
          <w:tcPr>
            <w:tcW w:w="160" w:type="dxa"/>
            <w:vAlign w:val="bottom"/>
          </w:tcPr>
          <w:p>
            <w:pPr>
              <w:spacing w:after="0"/>
              <w:rPr>
                <w:sz w:val="18"/>
                <w:szCs w:val="18"/>
                <w:color w:val="auto"/>
              </w:rPr>
            </w:pPr>
          </w:p>
        </w:tc>
      </w:tr>
      <w:tr>
        <w:trPr>
          <w:trHeight w:val="216"/>
        </w:trPr>
        <w:tc>
          <w:tcPr>
            <w:tcW w:w="4580" w:type="dxa"/>
            <w:vAlign w:val="bottom"/>
            <w:shd w:val="clear" w:color="auto" w:fill="CCEEFF"/>
          </w:tcPr>
          <w:p>
            <w:pPr>
              <w:ind w:left="260"/>
              <w:spacing w:after="0"/>
              <w:rPr>
                <w:sz w:val="20"/>
                <w:szCs w:val="20"/>
                <w:color w:val="auto"/>
              </w:rPr>
            </w:pPr>
            <w:r>
              <w:rPr>
                <w:rFonts w:ascii="Arial" w:cs="Arial" w:eastAsia="Arial" w:hAnsi="Arial"/>
                <w:sz w:val="18"/>
                <w:szCs w:val="18"/>
                <w:color w:val="auto"/>
              </w:rPr>
              <w:t>Paraguay</w:t>
            </w:r>
          </w:p>
        </w:tc>
        <w:tc>
          <w:tcPr>
            <w:tcW w:w="1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5.4</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w:t>
            </w: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5.7</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0.9</w:t>
            </w:r>
          </w:p>
        </w:tc>
        <w:tc>
          <w:tcPr>
            <w:tcW w:w="22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0.9</w:t>
            </w:r>
          </w:p>
        </w:tc>
        <w:tc>
          <w:tcPr>
            <w:tcW w:w="160" w:type="dxa"/>
            <w:vAlign w:val="bottom"/>
            <w:shd w:val="clear" w:color="auto" w:fill="CCEEFF"/>
          </w:tcPr>
          <w:p>
            <w:pPr>
              <w:spacing w:after="0"/>
              <w:rPr>
                <w:sz w:val="18"/>
                <w:szCs w:val="18"/>
                <w:color w:val="auto"/>
              </w:rPr>
            </w:pPr>
          </w:p>
        </w:tc>
      </w:tr>
      <w:tr>
        <w:trPr>
          <w:trHeight w:val="216"/>
        </w:trPr>
        <w:tc>
          <w:tcPr>
            <w:tcW w:w="4580" w:type="dxa"/>
            <w:vAlign w:val="bottom"/>
          </w:tcPr>
          <w:p>
            <w:pPr>
              <w:ind w:left="260"/>
              <w:spacing w:after="0"/>
              <w:rPr>
                <w:sz w:val="20"/>
                <w:szCs w:val="20"/>
                <w:color w:val="auto"/>
              </w:rPr>
            </w:pPr>
            <w:r>
              <w:rPr>
                <w:rFonts w:ascii="Arial" w:cs="Arial" w:eastAsia="Arial" w:hAnsi="Arial"/>
                <w:sz w:val="18"/>
                <w:szCs w:val="18"/>
                <w:color w:val="auto"/>
              </w:rPr>
              <w:t>Uruguay</w:t>
            </w:r>
          </w:p>
        </w:tc>
        <w:tc>
          <w:tcPr>
            <w:tcW w:w="16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0.0</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0.0</w:t>
            </w:r>
          </w:p>
        </w:tc>
        <w:tc>
          <w:tcPr>
            <w:tcW w:w="18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2.2</w:t>
            </w:r>
          </w:p>
        </w:tc>
        <w:tc>
          <w:tcPr>
            <w:tcW w:w="220" w:type="dxa"/>
            <w:vAlign w:val="bottom"/>
          </w:tcPr>
          <w:p>
            <w:pPr>
              <w:spacing w:after="0"/>
              <w:rPr>
                <w:sz w:val="18"/>
                <w:szCs w:val="18"/>
                <w:color w:val="auto"/>
              </w:rPr>
            </w:pPr>
          </w:p>
        </w:tc>
        <w:tc>
          <w:tcPr>
            <w:tcW w:w="980" w:type="dxa"/>
            <w:vAlign w:val="bottom"/>
            <w:gridSpan w:val="2"/>
          </w:tcPr>
          <w:p>
            <w:pPr>
              <w:jc w:val="right"/>
              <w:ind w:right="210"/>
              <w:spacing w:after="0"/>
              <w:rPr>
                <w:sz w:val="20"/>
                <w:szCs w:val="20"/>
                <w:color w:val="auto"/>
              </w:rPr>
            </w:pPr>
            <w:r>
              <w:rPr>
                <w:rFonts w:ascii="Arial" w:cs="Arial" w:eastAsia="Arial" w:hAnsi="Arial"/>
                <w:sz w:val="18"/>
                <w:szCs w:val="18"/>
                <w:color w:val="auto"/>
              </w:rPr>
              <w:t>2.0</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0.7</w:t>
            </w:r>
          </w:p>
        </w:tc>
        <w:tc>
          <w:tcPr>
            <w:tcW w:w="220" w:type="dxa"/>
            <w:vAlign w:val="bottom"/>
          </w:tcPr>
          <w:p>
            <w:pPr>
              <w:spacing w:after="0"/>
              <w:rPr>
                <w:sz w:val="18"/>
                <w:szCs w:val="18"/>
                <w:color w:val="auto"/>
              </w:rPr>
            </w:pP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0.8</w:t>
            </w:r>
          </w:p>
        </w:tc>
        <w:tc>
          <w:tcPr>
            <w:tcW w:w="160" w:type="dxa"/>
            <w:vAlign w:val="bottom"/>
          </w:tcPr>
          <w:p>
            <w:pPr>
              <w:spacing w:after="0"/>
              <w:rPr>
                <w:sz w:val="18"/>
                <w:szCs w:val="18"/>
                <w:color w:val="auto"/>
              </w:rPr>
            </w:pPr>
          </w:p>
        </w:tc>
      </w:tr>
      <w:tr>
        <w:trPr>
          <w:trHeight w:val="270"/>
        </w:trPr>
        <w:tc>
          <w:tcPr>
            <w:tcW w:w="4580" w:type="dxa"/>
            <w:vAlign w:val="bottom"/>
            <w:shd w:val="clear" w:color="auto" w:fill="CCEEFF"/>
          </w:tcPr>
          <w:p>
            <w:pPr>
              <w:ind w:left="260"/>
              <w:spacing w:after="0" w:line="269" w:lineRule="exact"/>
              <w:rPr>
                <w:sz w:val="20"/>
                <w:szCs w:val="20"/>
                <w:color w:val="auto"/>
              </w:rPr>
            </w:pPr>
            <w:r>
              <w:rPr>
                <w:rFonts w:ascii="Arial" w:cs="Arial" w:eastAsia="Arial" w:hAnsi="Arial"/>
                <w:sz w:val="18"/>
                <w:szCs w:val="18"/>
                <w:color w:val="auto"/>
              </w:rPr>
              <w:t xml:space="preserve">Other </w:t>
            </w:r>
            <w:r>
              <w:rPr>
                <w:rFonts w:ascii="Arial" w:cs="Arial" w:eastAsia="Arial" w:hAnsi="Arial"/>
                <w:sz w:val="30"/>
                <w:szCs w:val="30"/>
                <w:color w:val="auto"/>
                <w:vertAlign w:val="superscript"/>
              </w:rPr>
              <w:t>(1)</w:t>
            </w:r>
          </w:p>
        </w:tc>
        <w:tc>
          <w:tcPr>
            <w:tcW w:w="16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w:t>
            </w:r>
          </w:p>
        </w:tc>
        <w:tc>
          <w:tcPr>
            <w:tcW w:w="22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1.9</w:t>
            </w:r>
          </w:p>
        </w:tc>
        <w:tc>
          <w:tcPr>
            <w:tcW w:w="18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w:t>
            </w:r>
          </w:p>
        </w:tc>
        <w:tc>
          <w:tcPr>
            <w:tcW w:w="22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1.7</w:t>
            </w:r>
          </w:p>
        </w:tc>
        <w:tc>
          <w:tcPr>
            <w:tcW w:w="18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w:t>
            </w:r>
          </w:p>
        </w:tc>
        <w:tc>
          <w:tcPr>
            <w:tcW w:w="220" w:type="dxa"/>
            <w:vAlign w:val="bottom"/>
            <w:shd w:val="clear" w:color="auto" w:fill="CCEEFF"/>
          </w:tcPr>
          <w:p>
            <w:pPr>
              <w:spacing w:after="0"/>
              <w:rPr>
                <w:sz w:val="23"/>
                <w:szCs w:val="23"/>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w:t>
            </w:r>
          </w:p>
        </w:tc>
        <w:tc>
          <w:tcPr>
            <w:tcW w:w="160" w:type="dxa"/>
            <w:vAlign w:val="bottom"/>
            <w:shd w:val="clear" w:color="auto" w:fill="CCEEFF"/>
          </w:tcPr>
          <w:p>
            <w:pPr>
              <w:spacing w:after="0"/>
              <w:rPr>
                <w:sz w:val="23"/>
                <w:szCs w:val="23"/>
                <w:color w:val="auto"/>
              </w:rPr>
            </w:pPr>
          </w:p>
        </w:tc>
      </w:tr>
      <w:tr>
        <w:trPr>
          <w:trHeight w:val="223"/>
        </w:trPr>
        <w:tc>
          <w:tcPr>
            <w:tcW w:w="4580" w:type="dxa"/>
            <w:vAlign w:val="bottom"/>
          </w:tcPr>
          <w:p>
            <w:pPr>
              <w:spacing w:after="0"/>
              <w:rPr>
                <w:sz w:val="20"/>
                <w:szCs w:val="20"/>
                <w:color w:val="auto"/>
              </w:rPr>
            </w:pPr>
            <w:r>
              <w:rPr>
                <w:rFonts w:ascii="Arial" w:cs="Arial" w:eastAsia="Arial" w:hAnsi="Arial"/>
                <w:sz w:val="18"/>
                <w:szCs w:val="18"/>
                <w:b w:val="1"/>
                <w:bCs w:val="1"/>
                <w:color w:val="auto"/>
              </w:rPr>
              <w:t>Total Allowance for ECL</w:t>
            </w:r>
          </w:p>
        </w:tc>
        <w:tc>
          <w:tcPr>
            <w:tcW w:w="160" w:type="dxa"/>
            <w:vAlign w:val="bottom"/>
            <w:tcBorders>
              <w:top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7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88.1</w:t>
            </w:r>
          </w:p>
        </w:tc>
        <w:tc>
          <w:tcPr>
            <w:tcW w:w="220" w:type="dxa"/>
            <w:vAlign w:val="bottom"/>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6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300" w:type="dxa"/>
            <w:vAlign w:val="bottom"/>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7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111.8</w:t>
            </w:r>
          </w:p>
        </w:tc>
        <w:tc>
          <w:tcPr>
            <w:tcW w:w="220" w:type="dxa"/>
            <w:vAlign w:val="bottom"/>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6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300" w:type="dxa"/>
            <w:vAlign w:val="bottom"/>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7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95.4</w:t>
            </w:r>
          </w:p>
        </w:tc>
        <w:tc>
          <w:tcPr>
            <w:tcW w:w="220" w:type="dxa"/>
            <w:vAlign w:val="bottom"/>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7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80" w:type="dxa"/>
            <w:vAlign w:val="bottom"/>
            <w:gridSpan w:val="2"/>
          </w:tcPr>
          <w:p>
            <w:pPr>
              <w:jc w:val="right"/>
              <w:spacing w:after="0"/>
              <w:rPr>
                <w:sz w:val="20"/>
                <w:szCs w:val="20"/>
                <w:color w:val="auto"/>
              </w:rPr>
            </w:pPr>
            <w:r>
              <w:rPr>
                <w:rFonts w:ascii="Arial" w:cs="Arial" w:eastAsia="Arial" w:hAnsi="Arial"/>
                <w:sz w:val="18"/>
                <w:szCs w:val="18"/>
                <w:b w:val="1"/>
                <w:bCs w:val="1"/>
                <w:color w:val="auto"/>
                <w:w w:val="99"/>
              </w:rPr>
              <w:t>%</w:t>
            </w:r>
          </w:p>
        </w:tc>
      </w:tr>
      <w:tr>
        <w:trPr>
          <w:trHeight w:val="20"/>
        </w:trPr>
        <w:tc>
          <w:tcPr>
            <w:tcW w:w="458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120" w:lineRule="exact"/>
        <w:rPr>
          <w:sz w:val="20"/>
          <w:szCs w:val="20"/>
          <w:color w:val="auto"/>
        </w:rPr>
      </w:pPr>
    </w:p>
    <w:p>
      <w:pPr>
        <w:ind w:left="340" w:hanging="332"/>
        <w:spacing w:after="0"/>
        <w:tabs>
          <w:tab w:leader="none" w:pos="340" w:val="left"/>
        </w:tabs>
        <w:numPr>
          <w:ilvl w:val="0"/>
          <w:numId w:val="43"/>
        </w:numPr>
        <w:rPr>
          <w:rFonts w:ascii="Arial" w:cs="Arial" w:eastAsia="Arial" w:hAnsi="Arial"/>
          <w:sz w:val="26"/>
          <w:szCs w:val="26"/>
          <w:color w:val="auto"/>
          <w:vertAlign w:val="superscript"/>
        </w:rPr>
      </w:pPr>
      <w:r>
        <w:rPr>
          <w:rFonts w:ascii="Arial" w:cs="Arial" w:eastAsia="Arial" w:hAnsi="Arial"/>
          <w:sz w:val="16"/>
          <w:szCs w:val="16"/>
          <w:color w:val="auto"/>
        </w:rPr>
        <w:t>Other consists of allowances for ECL allocated to countries in which allowances for ECL outstanding did not exceed $1 million for any of the periods.</w:t>
      </w:r>
    </w:p>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information regarding the Bank’s allowance for ECL on loans at amortized cost, and loan commitments and financial guarantee contracts, by type of borrower as of the dates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4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76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7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2080" w:type="dxa"/>
            <w:vAlign w:val="bottom"/>
            <w:tcBorders>
              <w:bottom w:val="single" w:sz="8" w:color="auto"/>
            </w:tcBorders>
            <w:gridSpan w:val="5"/>
          </w:tcPr>
          <w:p>
            <w:pPr>
              <w:jc w:val="center"/>
              <w:ind w:right="460"/>
              <w:spacing w:after="0"/>
              <w:rPr>
                <w:sz w:val="20"/>
                <w:szCs w:val="20"/>
                <w:color w:val="auto"/>
              </w:rPr>
            </w:pPr>
            <w:r>
              <w:rPr>
                <w:rFonts w:ascii="Arial" w:cs="Arial" w:eastAsia="Arial" w:hAnsi="Arial"/>
                <w:sz w:val="18"/>
                <w:szCs w:val="18"/>
                <w:b w:val="1"/>
                <w:bCs w:val="1"/>
                <w:color w:val="auto"/>
                <w:w w:val="89"/>
              </w:rPr>
              <w:t>As of December 31,</w:t>
            </w:r>
          </w:p>
        </w:tc>
        <w:tc>
          <w:tcPr>
            <w:tcW w:w="18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446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8"/>
                <w:szCs w:val="18"/>
                <w:b w:val="1"/>
                <w:bCs w:val="1"/>
                <w:color w:val="auto"/>
              </w:rPr>
              <w:t>2017</w:t>
            </w:r>
          </w:p>
        </w:tc>
        <w:tc>
          <w:tcPr>
            <w:tcW w:w="7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8"/>
                <w:szCs w:val="18"/>
                <w:b w:val="1"/>
                <w:bCs w:val="1"/>
                <w:color w:val="auto"/>
              </w:rPr>
              <w:t>2016</w:t>
            </w:r>
          </w:p>
        </w:tc>
        <w:tc>
          <w:tcPr>
            <w:tcW w:w="70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8"/>
                <w:szCs w:val="18"/>
                <w:b w:val="1"/>
                <w:bCs w:val="1"/>
                <w:color w:val="auto"/>
              </w:rPr>
              <w:t>2015</w:t>
            </w:r>
          </w:p>
        </w:tc>
        <w:tc>
          <w:tcPr>
            <w:tcW w:w="70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223"/>
        </w:trPr>
        <w:tc>
          <w:tcPr>
            <w:tcW w:w="446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3"/>
          </w:tcPr>
          <w:p>
            <w:pPr>
              <w:jc w:val="right"/>
              <w:ind w:right="720"/>
              <w:spacing w:after="0"/>
              <w:rPr>
                <w:sz w:val="20"/>
                <w:szCs w:val="20"/>
                <w:color w:val="auto"/>
              </w:rPr>
            </w:pPr>
            <w:r>
              <w:rPr>
                <w:rFonts w:ascii="Arial" w:cs="Arial" w:eastAsia="Arial" w:hAnsi="Arial"/>
                <w:sz w:val="18"/>
                <w:szCs w:val="18"/>
                <w:b w:val="1"/>
                <w:bCs w:val="1"/>
                <w:color w:val="auto"/>
              </w:rPr>
              <w:t>Total</w:t>
            </w:r>
          </w:p>
        </w:tc>
        <w:tc>
          <w:tcPr>
            <w:tcW w:w="7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gridSpan w:val="3"/>
          </w:tcPr>
          <w:p>
            <w:pPr>
              <w:jc w:val="right"/>
              <w:ind w:right="680"/>
              <w:spacing w:after="0"/>
              <w:rPr>
                <w:sz w:val="20"/>
                <w:szCs w:val="20"/>
                <w:color w:val="auto"/>
              </w:rPr>
            </w:pPr>
            <w:r>
              <w:rPr>
                <w:rFonts w:ascii="Arial" w:cs="Arial" w:eastAsia="Arial" w:hAnsi="Arial"/>
                <w:sz w:val="18"/>
                <w:szCs w:val="18"/>
                <w:b w:val="1"/>
                <w:bCs w:val="1"/>
                <w:color w:val="auto"/>
              </w:rPr>
              <w:t>Total</w:t>
            </w:r>
          </w:p>
        </w:tc>
        <w:tc>
          <w:tcPr>
            <w:tcW w:w="70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gridSpan w:val="3"/>
          </w:tcPr>
          <w:p>
            <w:pPr>
              <w:jc w:val="right"/>
              <w:ind w:right="680"/>
              <w:spacing w:after="0"/>
              <w:rPr>
                <w:sz w:val="20"/>
                <w:szCs w:val="20"/>
                <w:color w:val="auto"/>
              </w:rPr>
            </w:pPr>
            <w:r>
              <w:rPr>
                <w:rFonts w:ascii="Arial" w:cs="Arial" w:eastAsia="Arial" w:hAnsi="Arial"/>
                <w:sz w:val="18"/>
                <w:szCs w:val="18"/>
                <w:b w:val="1"/>
                <w:bCs w:val="1"/>
                <w:color w:val="auto"/>
              </w:rPr>
              <w:t>Total</w:t>
            </w:r>
          </w:p>
        </w:tc>
        <w:tc>
          <w:tcPr>
            <w:tcW w:w="70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r>
      <w:tr>
        <w:trPr>
          <w:trHeight w:val="210"/>
        </w:trPr>
        <w:tc>
          <w:tcPr>
            <w:tcW w:w="44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60" w:type="dxa"/>
            <w:vAlign w:val="bottom"/>
            <w:gridSpan w:val="10"/>
          </w:tcPr>
          <w:p>
            <w:pPr>
              <w:jc w:val="center"/>
              <w:ind w:left="370"/>
              <w:spacing w:after="0"/>
              <w:rPr>
                <w:sz w:val="20"/>
                <w:szCs w:val="20"/>
                <w:color w:val="auto"/>
              </w:rPr>
            </w:pPr>
            <w:r>
              <w:rPr>
                <w:rFonts w:ascii="Arial" w:cs="Arial" w:eastAsia="Arial" w:hAnsi="Arial"/>
                <w:sz w:val="18"/>
                <w:szCs w:val="18"/>
                <w:b w:val="1"/>
                <w:bCs w:val="1"/>
                <w:color w:val="auto"/>
                <w:w w:val="87"/>
              </w:rPr>
              <w:t>(in $ millions, except percentages)</w:t>
            </w:r>
          </w:p>
        </w:tc>
        <w:tc>
          <w:tcPr>
            <w:tcW w:w="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w w:val="95"/>
              </w:rPr>
              <w:t>Private sector commercial banks and Financial Institutions</w:t>
            </w:r>
          </w:p>
        </w:tc>
        <w:tc>
          <w:tcPr>
            <w:tcW w:w="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17.2</w:t>
            </w:r>
          </w:p>
        </w:tc>
        <w:tc>
          <w:tcPr>
            <w:tcW w:w="2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19.6</w:t>
            </w:r>
          </w:p>
        </w:tc>
        <w:tc>
          <w:tcPr>
            <w:tcW w:w="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11.3</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10.1</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16.5</w:t>
            </w:r>
          </w:p>
        </w:tc>
        <w:tc>
          <w:tcPr>
            <w:tcW w:w="2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17.3</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State-owned commercial banks</w:t>
            </w: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8"/>
                <w:szCs w:val="18"/>
                <w:color w:val="auto"/>
              </w:rPr>
              <w:t>3.6</w:t>
            </w:r>
          </w:p>
        </w:tc>
        <w:tc>
          <w:tcPr>
            <w:tcW w:w="22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4.1</w:t>
            </w: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6.7</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6.0</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13.6</w:t>
            </w:r>
          </w:p>
        </w:tc>
        <w:tc>
          <w:tcPr>
            <w:tcW w:w="220" w:type="dxa"/>
            <w:vAlign w:val="bottom"/>
          </w:tcPr>
          <w:p>
            <w:pPr>
              <w:spacing w:after="0"/>
              <w:rPr>
                <w:sz w:val="18"/>
                <w:szCs w:val="18"/>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8"/>
                <w:szCs w:val="18"/>
                <w:color w:val="auto"/>
              </w:rPr>
              <w:t>14.2</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Central banks</w:t>
            </w: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0.0</w:t>
            </w:r>
          </w:p>
        </w:tc>
        <w:tc>
          <w:tcPr>
            <w:tcW w:w="2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0.7</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0.6</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0.0</w:t>
            </w:r>
          </w:p>
        </w:tc>
        <w:tc>
          <w:tcPr>
            <w:tcW w:w="2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State-owned organization</w:t>
            </w: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8"/>
                <w:szCs w:val="18"/>
                <w:color w:val="auto"/>
              </w:rPr>
              <w:t>4.3</w:t>
            </w:r>
          </w:p>
        </w:tc>
        <w:tc>
          <w:tcPr>
            <w:tcW w:w="22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4.9</w:t>
            </w: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3.9</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3.5</w:t>
            </w:r>
          </w:p>
        </w:tc>
        <w:tc>
          <w:tcPr>
            <w:tcW w:w="180" w:type="dxa"/>
            <w:vAlign w:val="bottom"/>
          </w:tcPr>
          <w:p>
            <w:pPr>
              <w:spacing w:after="0"/>
              <w:rPr>
                <w:sz w:val="18"/>
                <w:szCs w:val="18"/>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10.7</w:t>
            </w:r>
          </w:p>
        </w:tc>
        <w:tc>
          <w:tcPr>
            <w:tcW w:w="220" w:type="dxa"/>
            <w:vAlign w:val="bottom"/>
          </w:tcPr>
          <w:p>
            <w:pPr>
              <w:spacing w:after="0"/>
              <w:rPr>
                <w:sz w:val="18"/>
                <w:szCs w:val="18"/>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8"/>
                <w:szCs w:val="18"/>
                <w:color w:val="auto"/>
              </w:rPr>
              <w:t>11.2</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Private middle - market companies</w:t>
            </w: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22.2</w:t>
            </w:r>
          </w:p>
        </w:tc>
        <w:tc>
          <w:tcPr>
            <w:tcW w:w="2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25.1</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17.8</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15.9</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w:t>
            </w:r>
          </w:p>
        </w:tc>
        <w:tc>
          <w:tcPr>
            <w:tcW w:w="2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w:t>
            </w:r>
          </w:p>
        </w:tc>
      </w:tr>
      <w:tr>
        <w:trPr>
          <w:trHeight w:val="230"/>
        </w:trPr>
        <w:tc>
          <w:tcPr>
            <w:tcW w:w="4460" w:type="dxa"/>
            <w:vAlign w:val="bottom"/>
          </w:tcPr>
          <w:p>
            <w:pPr>
              <w:spacing w:after="0"/>
              <w:rPr>
                <w:sz w:val="20"/>
                <w:szCs w:val="20"/>
                <w:color w:val="auto"/>
              </w:rPr>
            </w:pPr>
            <w:r>
              <w:rPr>
                <w:rFonts w:ascii="Arial" w:cs="Arial" w:eastAsia="Arial" w:hAnsi="Arial"/>
                <w:sz w:val="18"/>
                <w:szCs w:val="18"/>
                <w:color w:val="auto"/>
              </w:rPr>
              <w:t>Private corporations</w:t>
            </w:r>
          </w:p>
        </w:tc>
        <w:tc>
          <w:tcPr>
            <w:tcW w:w="2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8"/>
                <w:szCs w:val="18"/>
                <w:color w:val="auto"/>
              </w:rPr>
              <w:t>40.8</w:t>
            </w:r>
          </w:p>
        </w:tc>
        <w:tc>
          <w:tcPr>
            <w:tcW w:w="220" w:type="dxa"/>
            <w:vAlign w:val="bottom"/>
          </w:tcPr>
          <w:p>
            <w:pPr>
              <w:spacing w:after="0"/>
              <w:rPr>
                <w:sz w:val="19"/>
                <w:szCs w:val="19"/>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46.3</w:t>
            </w:r>
          </w:p>
        </w:tc>
        <w:tc>
          <w:tcPr>
            <w:tcW w:w="1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71.4</w:t>
            </w:r>
          </w:p>
        </w:tc>
        <w:tc>
          <w:tcPr>
            <w:tcW w:w="220" w:type="dxa"/>
            <w:vAlign w:val="bottom"/>
          </w:tcPr>
          <w:p>
            <w:pPr>
              <w:spacing w:after="0"/>
              <w:rPr>
                <w:sz w:val="19"/>
                <w:szCs w:val="19"/>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63.9</w:t>
            </w:r>
          </w:p>
        </w:tc>
        <w:tc>
          <w:tcPr>
            <w:tcW w:w="180" w:type="dxa"/>
            <w:vAlign w:val="bottom"/>
          </w:tcPr>
          <w:p>
            <w:pPr>
              <w:spacing w:after="0"/>
              <w:rPr>
                <w:sz w:val="19"/>
                <w:szCs w:val="19"/>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8"/>
                <w:szCs w:val="18"/>
                <w:color w:val="auto"/>
              </w:rPr>
              <w:t>49.6</w:t>
            </w:r>
          </w:p>
        </w:tc>
        <w:tc>
          <w:tcPr>
            <w:tcW w:w="220" w:type="dxa"/>
            <w:vAlign w:val="bottom"/>
          </w:tcPr>
          <w:p>
            <w:pPr>
              <w:spacing w:after="0"/>
              <w:rPr>
                <w:sz w:val="19"/>
                <w:szCs w:val="19"/>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8"/>
                <w:szCs w:val="18"/>
                <w:color w:val="auto"/>
              </w:rPr>
              <w:t>52.0</w:t>
            </w:r>
          </w:p>
        </w:tc>
      </w:tr>
      <w:tr>
        <w:trPr>
          <w:trHeight w:val="223"/>
        </w:trPr>
        <w:tc>
          <w:tcPr>
            <w:tcW w:w="4460" w:type="dxa"/>
            <w:vAlign w:val="bottom"/>
            <w:tcBorders>
              <w:top w:val="single" w:sz="8" w:color="CCEEFF"/>
              <w:bottom w:val="single" w:sz="8" w:color="CCEEFF"/>
            </w:tcBorders>
            <w:shd w:val="clear" w:color="auto" w:fill="CCEEFF"/>
          </w:tcPr>
          <w:p>
            <w:pPr>
              <w:ind w:left="340"/>
              <w:spacing w:after="0"/>
              <w:rPr>
                <w:sz w:val="20"/>
                <w:szCs w:val="20"/>
                <w:color w:val="auto"/>
              </w:rPr>
            </w:pPr>
            <w:r>
              <w:rPr>
                <w:rFonts w:ascii="Arial" w:cs="Arial" w:eastAsia="Arial" w:hAnsi="Arial"/>
                <w:sz w:val="18"/>
                <w:szCs w:val="18"/>
                <w:b w:val="1"/>
                <w:bCs w:val="1"/>
                <w:color w:val="auto"/>
              </w:rPr>
              <w:t>Total</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88.1</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95.4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4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Critical Accounting Policies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Bank prepares its Consolidated Financial Statements in conformity with IFRS as issued by the IASB and Interpretations issued by the IFRIC. For years up to and including the year ended December 31, 2014, the Bank prepared its financial statements in accordance with U.S. GAAP.</w:t>
      </w:r>
    </w:p>
    <w:p>
      <w:pPr>
        <w:spacing w:after="0" w:line="14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consolidated financial statements have been prepared on the basis of fair value for financial assets and liabilities through profit or loss, derivative financial instruments, investments and other financial assets at FVOCI. The carrying values of recognized assets and liabilities that are designated as hedged items in fair value hedges, that would otherwise be carried at amortized cost are adjusted to record changes in the fair values attributable to the risks that are being hedged in effective hedge relationships. Other financial assets and liabilities and other non-financial assets and liabilities are presented at amortized cost or on a historical cost basis.</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year. Material estimates that are particularly susceptible to significant changes relate to the determination of the allowances for ECL, impairment of securities, and the fair value of financial instruments. Actual results could differ from those estimates. Management believes these estimates are adequate.</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8" w:right="239" w:bottom="1440" w:gutter="0" w:footer="0" w:header="0"/>
        </w:sectPr>
      </w:pPr>
    </w:p>
    <w:bookmarkStart w:id="65" w:name="page66"/>
    <w:bookmarkEnd w:id="65"/>
    <w:p>
      <w:pPr>
        <w:jc w:val="both"/>
        <w:spacing w:after="0" w:line="279" w:lineRule="auto"/>
        <w:rPr>
          <w:sz w:val="20"/>
          <w:szCs w:val="20"/>
          <w:color w:val="auto"/>
        </w:rPr>
      </w:pPr>
      <w:r>
        <w:rPr>
          <w:rFonts w:ascii="Arial" w:cs="Arial" w:eastAsia="Arial" w:hAnsi="Arial"/>
          <w:sz w:val="17"/>
          <w:szCs w:val="17"/>
          <w:color w:val="auto"/>
        </w:rPr>
        <w:t>For information regarding the Bank’s basis of preparation, significant accounting policies and future changes in applicable accounting policies, see Item 18, “Financial Statements,” notes 2, 3 and 3.23, respectively. Additionally, for information regarding the Bank’s discussion on principal policies on impairment of financial assets and the allowance for ECL, see Item 5, “Operating and Financial Review and Prospects–Operating Results–Asset Quality” and “–Allowance for ECL,” and for the Bank’s fair value of financial instruments, see Item 18, “Financial Statements,” note 18.</w:t>
      </w:r>
    </w:p>
    <w:p>
      <w:pPr>
        <w:spacing w:after="0" w:line="167" w:lineRule="exact"/>
        <w:rPr>
          <w:sz w:val="20"/>
          <w:szCs w:val="20"/>
          <w:color w:val="auto"/>
        </w:rPr>
      </w:pPr>
    </w:p>
    <w:p>
      <w:pPr>
        <w:ind w:left="480" w:hanging="472"/>
        <w:spacing w:after="0"/>
        <w:tabs>
          <w:tab w:leader="none" w:pos="48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and Capital Resources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Liquidity</w:t>
      </w:r>
    </w:p>
    <w:p>
      <w:pPr>
        <w:spacing w:after="0" w:line="225" w:lineRule="exact"/>
        <w:rPr>
          <w:sz w:val="20"/>
          <w:szCs w:val="20"/>
          <w:color w:val="auto"/>
        </w:rPr>
      </w:pPr>
    </w:p>
    <w:p>
      <w:pPr>
        <w:spacing w:after="0"/>
        <w:rPr>
          <w:sz w:val="20"/>
          <w:szCs w:val="20"/>
          <w:color w:val="auto"/>
        </w:rPr>
      </w:pPr>
      <w:r>
        <w:rPr>
          <w:rFonts w:ascii="Arial" w:cs="Arial" w:eastAsia="Arial" w:hAnsi="Arial"/>
          <w:sz w:val="17"/>
          <w:szCs w:val="17"/>
          <w:color w:val="auto"/>
        </w:rPr>
        <w:t>Liquidity refers to the Bank’s ability to maintain adequate cash flows to fund operations and meet obligations and other commitments on a timely basis.</w:t>
      </w:r>
    </w:p>
    <w:p>
      <w:pPr>
        <w:spacing w:after="0" w:line="237"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58"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an LCR methodology referencing the Basel Committee guidelines. Although the Bank is not yet required to maintain LCR as established by the Superintendency, the Bank is closely monitoring the compliance of the regulatory LCR calculation as determined by the Basel Committee on Banking Supervision and adjusted by the Superintendency prior to the imposing mandatory compliance expected in July 2018. The Bank also monitors the stability of its funding base in alignment with the principles established by Basel’s Net Stable Funding Ratio.</w:t>
      </w:r>
    </w:p>
    <w:p>
      <w:pPr>
        <w:spacing w:after="0" w:line="17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 addition, the Bank monitors cumulative maturity “gaps” between assets and liabilities, for each maturity classification presented in the Bank’s internal liquidity reports and maintains limits for concentrations of deposits taken from any client or economic group and total maximum deposits maturing in one day.</w:t>
      </w:r>
    </w:p>
    <w:p>
      <w:pPr>
        <w:spacing w:after="0" w:line="18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6" w:name="page67"/>
    <w:bookmarkEnd w:id="66"/>
    <w:p>
      <w:pPr>
        <w:spacing w:after="0"/>
        <w:rPr>
          <w:sz w:val="20"/>
          <w:szCs w:val="20"/>
          <w:color w:val="auto"/>
        </w:rPr>
      </w:pPr>
      <w:r>
        <w:rPr>
          <w:rFonts w:ascii="Arial" w:cs="Arial" w:eastAsia="Arial" w:hAnsi="Arial"/>
          <w:sz w:val="18"/>
          <w:szCs w:val="18"/>
          <w:color w:val="auto"/>
        </w:rPr>
        <w:t>The following table shows the Bank’s liquid assets, by principal geographic area as of December 31 of each year:</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460" w:type="dxa"/>
            <w:vAlign w:val="bottom"/>
          </w:tcPr>
          <w:p>
            <w:pPr>
              <w:spacing w:after="0"/>
              <w:rPr>
                <w:sz w:val="20"/>
                <w:szCs w:val="20"/>
                <w:color w:val="auto"/>
              </w:rPr>
            </w:pPr>
          </w:p>
        </w:tc>
        <w:tc>
          <w:tcPr>
            <w:tcW w:w="2640" w:type="dxa"/>
            <w:vAlign w:val="bottom"/>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36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88"/>
              </w:rPr>
              <w:t>As of December 31,</w:t>
            </w:r>
          </w:p>
        </w:tc>
        <w:tc>
          <w:tcPr>
            <w:tcW w:w="6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4460" w:type="dxa"/>
            <w:vAlign w:val="bottom"/>
          </w:tcPr>
          <w:p>
            <w:pPr>
              <w:spacing w:after="0"/>
              <w:rPr>
                <w:sz w:val="19"/>
                <w:szCs w:val="19"/>
                <w:color w:val="auto"/>
              </w:rPr>
            </w:pPr>
          </w:p>
        </w:tc>
        <w:tc>
          <w:tcPr>
            <w:tcW w:w="2640" w:type="dxa"/>
            <w:vAlign w:val="bottom"/>
          </w:tcPr>
          <w:p>
            <w:pPr>
              <w:spacing w:after="0"/>
              <w:rPr>
                <w:sz w:val="19"/>
                <w:szCs w:val="19"/>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36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4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r>
      <w:tr>
        <w:trPr>
          <w:trHeight w:val="210"/>
        </w:trPr>
        <w:tc>
          <w:tcPr>
            <w:tcW w:w="4460" w:type="dxa"/>
            <w:vAlign w:val="bottom"/>
          </w:tcPr>
          <w:p>
            <w:pPr>
              <w:spacing w:after="0"/>
              <w:rPr>
                <w:sz w:val="18"/>
                <w:szCs w:val="18"/>
                <w:color w:val="auto"/>
              </w:rPr>
            </w:pPr>
          </w:p>
        </w:tc>
        <w:tc>
          <w:tcPr>
            <w:tcW w:w="26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1"/>
              </w:rPr>
              <w:t>(in $ millions)</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United States of America</w:t>
            </w:r>
          </w:p>
        </w:tc>
        <w:tc>
          <w:tcPr>
            <w:tcW w:w="3540" w:type="dxa"/>
            <w:vAlign w:val="bottom"/>
            <w:gridSpan w:val="2"/>
            <w:shd w:val="clear" w:color="auto" w:fill="CCEEFF"/>
          </w:tcPr>
          <w:p>
            <w:pPr>
              <w:jc w:val="right"/>
              <w:ind w:right="737"/>
              <w:spacing w:after="0"/>
              <w:rPr>
                <w:sz w:val="20"/>
                <w:szCs w:val="20"/>
                <w:color w:val="auto"/>
              </w:rPr>
            </w:pPr>
            <w:r>
              <w:rPr>
                <w:rFonts w:ascii="Arial" w:cs="Arial" w:eastAsia="Arial" w:hAnsi="Arial"/>
                <w:sz w:val="18"/>
                <w:szCs w:val="18"/>
                <w:color w:val="auto"/>
              </w:rPr>
              <w:t>$</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612</w:t>
            </w:r>
          </w:p>
        </w:tc>
        <w:tc>
          <w:tcPr>
            <w:tcW w:w="460" w:type="dxa"/>
            <w:vAlign w:val="bottom"/>
            <w:gridSpan w:val="2"/>
            <w:shd w:val="clear" w:color="auto" w:fill="CCEEFF"/>
          </w:tcPr>
          <w:p>
            <w:pPr>
              <w:jc w:val="right"/>
              <w:ind w:right="97"/>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591</w:t>
            </w:r>
          </w:p>
        </w:tc>
        <w:tc>
          <w:tcPr>
            <w:tcW w:w="3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1,215</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Other O.E.C.D.</w:t>
            </w:r>
          </w:p>
        </w:tc>
        <w:tc>
          <w:tcPr>
            <w:tcW w:w="26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20" w:type="dxa"/>
            <w:vAlign w:val="bottom"/>
            <w:gridSpan w:val="2"/>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409</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11</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Multilateral</w:t>
            </w:r>
          </w:p>
        </w:tc>
        <w:tc>
          <w:tcPr>
            <w:tcW w:w="26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w:t>
            </w:r>
          </w:p>
        </w:tc>
      </w:tr>
      <w:tr>
        <w:trPr>
          <w:trHeight w:val="230"/>
        </w:trPr>
        <w:tc>
          <w:tcPr>
            <w:tcW w:w="4460" w:type="dxa"/>
            <w:vAlign w:val="bottom"/>
          </w:tcPr>
          <w:p>
            <w:pPr>
              <w:spacing w:after="0"/>
              <w:rPr>
                <w:sz w:val="20"/>
                <w:szCs w:val="20"/>
                <w:color w:val="auto"/>
              </w:rPr>
            </w:pPr>
            <w:r>
              <w:rPr>
                <w:rFonts w:ascii="Arial" w:cs="Arial" w:eastAsia="Arial" w:hAnsi="Arial"/>
                <w:sz w:val="18"/>
                <w:szCs w:val="18"/>
                <w:color w:val="auto"/>
              </w:rPr>
              <w:t>Latin America</w:t>
            </w:r>
          </w:p>
        </w:tc>
        <w:tc>
          <w:tcPr>
            <w:tcW w:w="2640" w:type="dxa"/>
            <w:vAlign w:val="bottom"/>
          </w:tcPr>
          <w:p>
            <w:pPr>
              <w:spacing w:after="0"/>
              <w:rPr>
                <w:sz w:val="19"/>
                <w:szCs w:val="19"/>
                <w:color w:val="auto"/>
              </w:rPr>
            </w:pPr>
          </w:p>
        </w:tc>
        <w:tc>
          <w:tcPr>
            <w:tcW w:w="900" w:type="dxa"/>
            <w:vAlign w:val="bottom"/>
          </w:tcPr>
          <w:p>
            <w:pPr>
              <w:spacing w:after="0"/>
              <w:rPr>
                <w:sz w:val="19"/>
                <w:szCs w:val="19"/>
                <w:color w:val="auto"/>
              </w:rPr>
            </w:pPr>
          </w:p>
        </w:tc>
        <w:tc>
          <w:tcPr>
            <w:tcW w:w="420" w:type="dxa"/>
            <w:vAlign w:val="bottom"/>
            <w:gridSpan w:val="2"/>
          </w:tcPr>
          <w:p>
            <w:pPr>
              <w:jc w:val="right"/>
              <w:ind w:right="60"/>
              <w:spacing w:after="0"/>
              <w:rPr>
                <w:sz w:val="20"/>
                <w:szCs w:val="20"/>
                <w:color w:val="auto"/>
              </w:rPr>
            </w:pPr>
            <w:r>
              <w:rPr>
                <w:rFonts w:ascii="Arial" w:cs="Arial" w:eastAsia="Arial" w:hAnsi="Arial"/>
                <w:sz w:val="18"/>
                <w:szCs w:val="18"/>
                <w:color w:val="auto"/>
              </w:rPr>
              <w:t>7</w:t>
            </w:r>
          </w:p>
        </w:tc>
        <w:tc>
          <w:tcPr>
            <w:tcW w:w="2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8</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r>
      <w:tr>
        <w:trPr>
          <w:trHeight w:val="223"/>
        </w:trPr>
        <w:tc>
          <w:tcPr>
            <w:tcW w:w="4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6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ind w:right="737"/>
              <w:spacing w:after="0"/>
              <w:rPr>
                <w:sz w:val="20"/>
                <w:szCs w:val="20"/>
                <w:color w:val="auto"/>
              </w:rPr>
            </w:pPr>
            <w:r>
              <w:rPr>
                <w:rFonts w:ascii="Arial" w:cs="Arial" w:eastAsia="Arial" w:hAnsi="Arial"/>
                <w:sz w:val="15"/>
                <w:szCs w:val="15"/>
                <w:b w:val="1"/>
                <w:bCs w:val="1"/>
                <w:color w:val="auto"/>
                <w:w w:val="71"/>
              </w:rPr>
              <w:t>$</w:t>
            </w: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619</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9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1,008</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460" w:type="dxa"/>
            <w:vAlign w:val="bottom"/>
          </w:tcPr>
          <w:p>
            <w:pPr>
              <w:spacing w:after="0" w:line="20" w:lineRule="exact"/>
              <w:rPr>
                <w:sz w:val="1"/>
                <w:szCs w:val="1"/>
                <w:color w:val="auto"/>
              </w:rPr>
            </w:pPr>
          </w:p>
        </w:tc>
        <w:tc>
          <w:tcPr>
            <w:tcW w:w="26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As of December 31, 2017 and 2016, the Bank’s 24-hour deposits from customers (demand deposit accounts and call deposits) amounted to $478 million, and $227 million, respectively; representing 16% and 8% of the Bank’s total deposits, for each year reported. The liquidity requirement resulting from these maturities is satisfied by the Bank’s liquid assets, which as of December 31, 2017 and 2016 were $619 million and $1,008 million, respectively (representing 21% and 36% of total deposits, respectively) of which $609 million, or 98%, and $591 million, or 59%, respectively, were deposited at the Federal Reserve Bank of New York. The remaining liquid assets consisted of short-term funds deposited with other banks.</w:t>
      </w:r>
    </w:p>
    <w:p>
      <w:pPr>
        <w:spacing w:after="0" w:line="173"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2017 and 2016, the Bank’s short-term loan and Investment Securities Portfolio (maturing within one year based on original contractual term) totaled $3,746 million and $3,577 million, respectively. As of December 31, 2017 and 2016, it had an average original term to maturity of 203 and 184 days, respectively, and an average remaining term to maturity of 112 and 89 days, respectively.</w:t>
      </w:r>
    </w:p>
    <w:p>
      <w:pPr>
        <w:spacing w:after="0" w:line="18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Medium-term assets (loans and investment securities maturing beyond one year based on original contractual term) totaled $1,872 million and $2,552 million as of December 31, 2017 and 2016, respectively. Of that amount, $86 million and $105 million corresponded to the Bank’s investment securities as of December 31, 2017 and 2016. The remaining $1,786 million and $2,447 million in medium-term assets corresponded to the Bank’s Loan Portfolio as of December 31, 2017 and 2016. As of December 31, 2017 and 2016, the medium-term assets had an average original term to maturity of four years, and three years and nine months, respectively; and an average remaining term to maturity of one year and nine months (655 days), and one year and seven months (588 days), respectively.</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Credit Ratings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cost and availability of financing for the Bank are influenced by its credit ratings, among other factors. The credit ratings of the Bank as of December 31, 2017, were as follows:</w:t>
      </w:r>
    </w:p>
    <w:p>
      <w:pPr>
        <w:spacing w:after="0" w:line="166" w:lineRule="exact"/>
        <w:rPr>
          <w:sz w:val="20"/>
          <w:szCs w:val="20"/>
          <w:color w:val="auto"/>
        </w:rPr>
      </w:pPr>
    </w:p>
    <w:tbl>
      <w:tblPr>
        <w:tblLayout w:type="fixed"/>
        <w:tblInd w:w="2300" w:type="dxa"/>
        <w:tblCellMar>
          <w:top w:w="0" w:type="dxa"/>
          <w:left w:w="0" w:type="dxa"/>
          <w:bottom w:w="0" w:type="dxa"/>
          <w:right w:w="0" w:type="dxa"/>
        </w:tblCellMar>
      </w:tblPr>
      <w:tr>
        <w:trPr>
          <w:trHeight w:val="234"/>
        </w:trPr>
        <w:tc>
          <w:tcPr>
            <w:tcW w:w="42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8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Fitch</w:t>
            </w:r>
          </w:p>
        </w:tc>
        <w:tc>
          <w:tcPr>
            <w:tcW w:w="200" w:type="dxa"/>
            <w:vAlign w:val="bottom"/>
            <w:gridSpan w:val="2"/>
          </w:tcPr>
          <w:p>
            <w:pPr>
              <w:spacing w:after="0"/>
              <w:rPr>
                <w:sz w:val="20"/>
                <w:szCs w:val="20"/>
                <w:color w:val="auto"/>
              </w:rPr>
            </w:pP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87"/>
              </w:rPr>
              <w:t>Moody’s</w:t>
            </w:r>
          </w:p>
        </w:tc>
        <w:tc>
          <w:tcPr>
            <w:tcW w:w="200" w:type="dxa"/>
            <w:vAlign w:val="bottom"/>
            <w:gridSpan w:val="2"/>
          </w:tcPr>
          <w:p>
            <w:pPr>
              <w:spacing w:after="0"/>
              <w:rPr>
                <w:sz w:val="20"/>
                <w:szCs w:val="20"/>
                <w:color w:val="auto"/>
              </w:rPr>
            </w:pPr>
          </w:p>
        </w:tc>
        <w:tc>
          <w:tcPr>
            <w:tcW w:w="68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rPr>
              <w:t>S&amp;P</w:t>
            </w:r>
          </w:p>
        </w:tc>
        <w:tc>
          <w:tcPr>
            <w:tcW w:w="60" w:type="dxa"/>
            <w:vAlign w:val="bottom"/>
          </w:tcPr>
          <w:p>
            <w:pPr>
              <w:spacing w:after="0"/>
              <w:rPr>
                <w:sz w:val="20"/>
                <w:szCs w:val="20"/>
                <w:color w:val="auto"/>
              </w:rPr>
            </w:pPr>
          </w:p>
        </w:tc>
      </w:tr>
      <w:tr>
        <w:trPr>
          <w:trHeight w:val="210"/>
        </w:trPr>
        <w:tc>
          <w:tcPr>
            <w:tcW w:w="4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Short-Term</w:t>
            </w:r>
          </w:p>
        </w:tc>
        <w:tc>
          <w:tcPr>
            <w:tcW w:w="8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F2</w:t>
            </w:r>
          </w:p>
        </w:tc>
        <w:tc>
          <w:tcPr>
            <w:tcW w:w="8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P-2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A-2</w:t>
            </w:r>
          </w:p>
        </w:tc>
      </w:tr>
      <w:tr>
        <w:trPr>
          <w:trHeight w:val="216"/>
        </w:trPr>
        <w:tc>
          <w:tcPr>
            <w:tcW w:w="4340" w:type="dxa"/>
            <w:vAlign w:val="bottom"/>
            <w:gridSpan w:val="2"/>
          </w:tcPr>
          <w:p>
            <w:pPr>
              <w:spacing w:after="0"/>
              <w:rPr>
                <w:sz w:val="20"/>
                <w:szCs w:val="20"/>
                <w:color w:val="auto"/>
              </w:rPr>
            </w:pPr>
            <w:r>
              <w:rPr>
                <w:rFonts w:ascii="Arial" w:cs="Arial" w:eastAsia="Arial" w:hAnsi="Arial"/>
                <w:sz w:val="18"/>
                <w:szCs w:val="18"/>
                <w:color w:val="auto"/>
              </w:rPr>
              <w:t>Long-Term</w:t>
            </w:r>
          </w:p>
        </w:tc>
        <w:tc>
          <w:tcPr>
            <w:tcW w:w="880" w:type="dxa"/>
            <w:vAlign w:val="bottom"/>
            <w:gridSpan w:val="3"/>
          </w:tcPr>
          <w:p>
            <w:pPr>
              <w:jc w:val="right"/>
              <w:ind w:right="200"/>
              <w:spacing w:after="0"/>
              <w:rPr>
                <w:sz w:val="20"/>
                <w:szCs w:val="20"/>
                <w:color w:val="auto"/>
              </w:rPr>
            </w:pPr>
            <w:r>
              <w:rPr>
                <w:rFonts w:ascii="Arial" w:cs="Arial" w:eastAsia="Arial" w:hAnsi="Arial"/>
                <w:sz w:val="18"/>
                <w:szCs w:val="18"/>
                <w:color w:val="auto"/>
              </w:rPr>
              <w:t>BBB+</w:t>
            </w:r>
          </w:p>
        </w:tc>
        <w:tc>
          <w:tcPr>
            <w:tcW w:w="880" w:type="dxa"/>
            <w:vAlign w:val="bottom"/>
            <w:gridSpan w:val="3"/>
          </w:tcPr>
          <w:p>
            <w:pPr>
              <w:jc w:val="right"/>
              <w:ind w:right="200"/>
              <w:spacing w:after="0"/>
              <w:rPr>
                <w:sz w:val="20"/>
                <w:szCs w:val="20"/>
                <w:color w:val="auto"/>
              </w:rPr>
            </w:pPr>
            <w:r>
              <w:rPr>
                <w:rFonts w:ascii="Arial" w:cs="Arial" w:eastAsia="Arial" w:hAnsi="Arial"/>
                <w:sz w:val="18"/>
                <w:szCs w:val="18"/>
                <w:color w:val="auto"/>
              </w:rPr>
              <w:t>Baa2</w:t>
            </w:r>
          </w:p>
        </w:tc>
        <w:tc>
          <w:tcPr>
            <w:tcW w:w="740" w:type="dxa"/>
            <w:vAlign w:val="bottom"/>
            <w:gridSpan w:val="2"/>
          </w:tcPr>
          <w:p>
            <w:pPr>
              <w:jc w:val="right"/>
              <w:ind w:right="60"/>
              <w:spacing w:after="0"/>
              <w:rPr>
                <w:sz w:val="20"/>
                <w:szCs w:val="20"/>
                <w:color w:val="auto"/>
              </w:rPr>
            </w:pPr>
            <w:r>
              <w:rPr>
                <w:rFonts w:ascii="Arial" w:cs="Arial" w:eastAsia="Arial" w:hAnsi="Arial"/>
                <w:sz w:val="18"/>
                <w:szCs w:val="18"/>
                <w:color w:val="auto"/>
              </w:rPr>
              <w:t>BBB</w:t>
            </w:r>
          </w:p>
        </w:tc>
      </w:tr>
      <w:tr>
        <w:trPr>
          <w:trHeight w:val="230"/>
        </w:trPr>
        <w:tc>
          <w:tcPr>
            <w:tcW w:w="4260" w:type="dxa"/>
            <w:vAlign w:val="bottom"/>
            <w:shd w:val="clear" w:color="auto" w:fill="CCEEFF"/>
          </w:tcPr>
          <w:p>
            <w:pPr>
              <w:spacing w:after="0"/>
              <w:rPr>
                <w:sz w:val="20"/>
                <w:szCs w:val="20"/>
                <w:color w:val="auto"/>
              </w:rPr>
            </w:pPr>
            <w:r>
              <w:rPr>
                <w:rFonts w:ascii="Arial" w:cs="Arial" w:eastAsia="Arial" w:hAnsi="Arial"/>
                <w:sz w:val="18"/>
                <w:szCs w:val="18"/>
                <w:color w:val="auto"/>
              </w:rPr>
              <w:t>Rating Outlook</w:t>
            </w:r>
          </w:p>
        </w:tc>
        <w:tc>
          <w:tcPr>
            <w:tcW w:w="80" w:type="dxa"/>
            <w:vAlign w:val="bottom"/>
            <w:tcBorders>
              <w:bottom w:val="single" w:sz="8" w:color="auto"/>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Stable</w:t>
            </w:r>
          </w:p>
        </w:tc>
        <w:tc>
          <w:tcPr>
            <w:tcW w:w="12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2"/>
              </w:rPr>
              <w:t>Negative</w:t>
            </w:r>
          </w:p>
        </w:tc>
        <w:tc>
          <w:tcPr>
            <w:tcW w:w="12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Stable</w:t>
            </w:r>
          </w:p>
        </w:tc>
        <w:tc>
          <w:tcPr>
            <w:tcW w:w="60" w:type="dxa"/>
            <w:vAlign w:val="bottom"/>
            <w:shd w:val="clear" w:color="auto" w:fill="CCEEFF"/>
          </w:tcPr>
          <w:p>
            <w:pPr>
              <w:spacing w:after="0"/>
              <w:rPr>
                <w:sz w:val="19"/>
                <w:szCs w:val="19"/>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Fitch Ratings Ltd. (“Fitch”)</w:t>
      </w:r>
    </w:p>
    <w:p>
      <w:pPr>
        <w:spacing w:after="0" w:line="23" w:lineRule="exact"/>
        <w:rPr>
          <w:sz w:val="20"/>
          <w:szCs w:val="20"/>
          <w:color w:val="auto"/>
        </w:rPr>
      </w:pPr>
    </w:p>
    <w:p>
      <w:pPr>
        <w:spacing w:after="0"/>
        <w:rPr>
          <w:sz w:val="20"/>
          <w:szCs w:val="20"/>
          <w:color w:val="auto"/>
        </w:rPr>
      </w:pPr>
      <w:r>
        <w:rPr>
          <w:rFonts w:ascii="Arial" w:cs="Arial" w:eastAsia="Arial" w:hAnsi="Arial"/>
          <w:sz w:val="16"/>
          <w:szCs w:val="16"/>
          <w:color w:val="auto"/>
        </w:rPr>
        <w:t>On July 19, 2017, Fitch confirmed the Bank’s Issuer Default Rating (“IDR”), at “BBB+”, which had been upgraded on July 31, 2012, with a stable outlook.</w:t>
      </w:r>
    </w:p>
    <w:p>
      <w:pPr>
        <w:spacing w:after="0" w:line="23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Moody’s Investors Service, Inc. (“Moody’s”)</w:t>
      </w:r>
    </w:p>
    <w:p>
      <w:pPr>
        <w:spacing w:after="0" w:line="23" w:lineRule="exact"/>
        <w:rPr>
          <w:sz w:val="20"/>
          <w:szCs w:val="20"/>
          <w:color w:val="auto"/>
        </w:rPr>
      </w:pPr>
    </w:p>
    <w:p>
      <w:pPr>
        <w:spacing w:after="0" w:line="261" w:lineRule="auto"/>
        <w:rPr>
          <w:sz w:val="20"/>
          <w:szCs w:val="20"/>
          <w:color w:val="auto"/>
        </w:rPr>
      </w:pPr>
      <w:r>
        <w:rPr>
          <w:rFonts w:ascii="Arial" w:cs="Arial" w:eastAsia="Arial" w:hAnsi="Arial"/>
          <w:sz w:val="18"/>
          <w:szCs w:val="18"/>
          <w:color w:val="auto"/>
        </w:rPr>
        <w:t>The Bank’s credit ratings from Moody’s, have been unchanged since December 19, 2007, with the most recent affirmation of the Bank’s credit ratings on November 9, 2017, with a revised outlook of negative from stable issued by Moody’s.</w:t>
      </w:r>
    </w:p>
    <w:p>
      <w:pPr>
        <w:spacing w:after="0" w:line="40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7" w:name="page68"/>
    <w:bookmarkEnd w:id="67"/>
    <w:p>
      <w:pPr>
        <w:spacing w:after="0"/>
        <w:rPr>
          <w:sz w:val="20"/>
          <w:szCs w:val="20"/>
          <w:color w:val="auto"/>
        </w:rPr>
      </w:pPr>
      <w:r>
        <w:rPr>
          <w:rFonts w:ascii="Arial" w:cs="Arial" w:eastAsia="Arial" w:hAnsi="Arial"/>
          <w:sz w:val="18"/>
          <w:szCs w:val="18"/>
          <w:i w:val="1"/>
          <w:iCs w:val="1"/>
          <w:color w:val="auto"/>
        </w:rPr>
        <w:t>Credit Rating from Standard &amp; Poor’s Global Ratings (“S&amp;P”)</w:t>
      </w:r>
    </w:p>
    <w:p>
      <w:pPr>
        <w:spacing w:after="0" w:line="23" w:lineRule="exact"/>
        <w:rPr>
          <w:sz w:val="20"/>
          <w:szCs w:val="20"/>
          <w:color w:val="auto"/>
        </w:rPr>
      </w:pPr>
    </w:p>
    <w:p>
      <w:pPr>
        <w:spacing w:after="0"/>
        <w:rPr>
          <w:sz w:val="20"/>
          <w:szCs w:val="20"/>
          <w:color w:val="auto"/>
        </w:rPr>
      </w:pPr>
      <w:r>
        <w:rPr>
          <w:rFonts w:ascii="Arial" w:cs="Arial" w:eastAsia="Arial" w:hAnsi="Arial"/>
          <w:sz w:val="16"/>
          <w:szCs w:val="16"/>
          <w:color w:val="auto"/>
        </w:rPr>
        <w:t>The credit ratings from S&amp;P have been unchanged since May 13, 2008, with the Bank’s credit ratings last confirmed on April 5, 2018, with a stable outlook.</w:t>
      </w:r>
    </w:p>
    <w:p>
      <w:pPr>
        <w:spacing w:after="0" w:line="234"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Critical factors supporting the Bank’s investment-grade credit ratings mainly include its resilient financial performance, prudent risk management, its historically solid asset quality, stable funding structure and strong tier one capitalization. Although the Bank closely monitors and manages factors influencing its credit ratings, there is no assurance that such ratings will not be lowered in the future.</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Funding Sources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principal sources of funds are deposits and, to a lesser extent borrowed funds and floating and fixed rate placements of securities. While these sources are expected to continue providing the majority of the funds required by the Bank in the future, the exact composition of the Bank’s funding sources, as well as the possible use of other sources of funds, will depend on economic and market conditions. The following table shows the Bank’s funding distribution as of the dates indicated:</w:t>
      </w:r>
    </w:p>
    <w:p>
      <w:pPr>
        <w:sectPr>
          <w:pgSz w:w="11900" w:h="16838" w:orient="portrait"/>
          <w:cols w:equalWidth="0" w:num="1">
            <w:col w:w="11420"/>
          </w:cols>
          <w:pgMar w:left="240" w:top="909"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18"/>
          <w:szCs w:val="18"/>
          <w:color w:val="auto"/>
        </w:rPr>
        <w:t>Deposits</w:t>
      </w:r>
    </w:p>
    <w:p>
      <w:pPr>
        <w:spacing w:after="0" w:line="23" w:lineRule="exact"/>
        <w:rPr>
          <w:sz w:val="20"/>
          <w:szCs w:val="20"/>
          <w:color w:val="auto"/>
        </w:rPr>
      </w:pPr>
    </w:p>
    <w:p>
      <w:pPr>
        <w:spacing w:after="0"/>
        <w:rPr>
          <w:sz w:val="20"/>
          <w:szCs w:val="20"/>
          <w:color w:val="auto"/>
        </w:rPr>
      </w:pPr>
      <w:r>
        <w:rPr>
          <w:rFonts w:ascii="Arial" w:cs="Arial" w:eastAsia="Arial" w:hAnsi="Arial"/>
          <w:sz w:val="15"/>
          <w:szCs w:val="15"/>
          <w:color w:val="auto"/>
        </w:rPr>
        <w:t>Securities sold under repurchase agreements</w:t>
      </w:r>
    </w:p>
    <w:p>
      <w:pPr>
        <w:spacing w:after="0" w:line="44" w:lineRule="exact"/>
        <w:rPr>
          <w:sz w:val="20"/>
          <w:szCs w:val="20"/>
          <w:color w:val="auto"/>
        </w:rPr>
      </w:pPr>
    </w:p>
    <w:p>
      <w:pPr>
        <w:spacing w:after="0"/>
        <w:rPr>
          <w:sz w:val="20"/>
          <w:szCs w:val="20"/>
          <w:color w:val="auto"/>
        </w:rPr>
      </w:pPr>
      <w:r>
        <w:rPr>
          <w:rFonts w:ascii="Arial" w:cs="Arial" w:eastAsia="Arial" w:hAnsi="Arial"/>
          <w:sz w:val="18"/>
          <w:szCs w:val="18"/>
          <w:color w:val="auto"/>
        </w:rPr>
        <w:t>Short-term borrowings and debt</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Long-term borrowings and debt, net</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Total interest-bearing liabilities</w:t>
      </w:r>
    </w:p>
    <w:p>
      <w:pPr>
        <w:spacing w:after="0" w:line="20" w:lineRule="exact"/>
        <w:rPr>
          <w:sz w:val="20"/>
          <w:szCs w:val="20"/>
          <w:color w:val="auto"/>
        </w:rPr>
      </w:pPr>
      <w:r>
        <w:rPr>
          <w:sz w:val="20"/>
          <w:szCs w:val="20"/>
          <w:color w:val="auto"/>
        </w:rPr>
        <w:br w:type="column"/>
      </w:r>
    </w:p>
    <w:p>
      <w:pPr>
        <w:spacing w:after="0" w:line="176" w:lineRule="exact"/>
        <w:rPr>
          <w:sz w:val="20"/>
          <w:szCs w:val="20"/>
          <w:color w:val="auto"/>
        </w:rPr>
      </w:pPr>
    </w:p>
    <w:p>
      <w:pPr>
        <w:ind w:left="1400"/>
        <w:spacing w:after="0"/>
        <w:rPr>
          <w:sz w:val="20"/>
          <w:szCs w:val="20"/>
          <w:color w:val="auto"/>
        </w:rPr>
      </w:pPr>
      <w:r>
        <w:rPr>
          <w:rFonts w:ascii="Arial" w:cs="Arial" w:eastAsia="Arial" w:hAnsi="Arial"/>
          <w:sz w:val="18"/>
          <w:szCs w:val="18"/>
          <w:b w:val="1"/>
          <w:bCs w:val="1"/>
          <w:color w:val="auto"/>
        </w:rPr>
        <w:t>As of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24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300" w:type="dxa"/>
            <w:vAlign w:val="bottom"/>
            <w:tcBorders>
              <w:top w:val="single" w:sz="8" w:color="auto"/>
              <w:bottom w:val="single" w:sz="8" w:color="auto"/>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300" w:type="dxa"/>
            <w:vAlign w:val="bottom"/>
            <w:tcBorders>
              <w:top w:val="single" w:sz="8" w:color="auto"/>
              <w:bottom w:val="single" w:sz="8" w:color="auto"/>
            </w:tcBorders>
          </w:tcPr>
          <w:p>
            <w:pPr>
              <w:spacing w:after="0"/>
              <w:rPr>
                <w:sz w:val="19"/>
                <w:szCs w:val="19"/>
                <w:color w:val="auto"/>
              </w:rPr>
            </w:pPr>
          </w:p>
        </w:tc>
        <w:tc>
          <w:tcPr>
            <w:tcW w:w="124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80" w:type="dxa"/>
            <w:vAlign w:val="bottom"/>
          </w:tcPr>
          <w:p>
            <w:pPr>
              <w:spacing w:after="0"/>
              <w:rPr>
                <w:sz w:val="19"/>
                <w:szCs w:val="19"/>
                <w:color w:val="auto"/>
              </w:rPr>
            </w:pPr>
          </w:p>
        </w:tc>
      </w:tr>
      <w:tr>
        <w:trPr>
          <w:trHeight w:val="195"/>
        </w:trPr>
        <w:tc>
          <w:tcPr>
            <w:tcW w:w="124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520" w:type="dxa"/>
            <w:vAlign w:val="bottom"/>
            <w:gridSpan w:val="2"/>
          </w:tcPr>
          <w:p>
            <w:pPr>
              <w:jc w:val="right"/>
              <w:ind w:right="210"/>
              <w:spacing w:after="0" w:line="195" w:lineRule="exact"/>
              <w:rPr>
                <w:sz w:val="20"/>
                <w:szCs w:val="20"/>
                <w:color w:val="auto"/>
              </w:rPr>
            </w:pPr>
            <w:r>
              <w:rPr>
                <w:rFonts w:ascii="Arial" w:cs="Arial" w:eastAsia="Arial" w:hAnsi="Arial"/>
                <w:sz w:val="18"/>
                <w:szCs w:val="18"/>
                <w:b w:val="1"/>
                <w:bCs w:val="1"/>
                <w:color w:val="auto"/>
                <w:w w:val="86"/>
              </w:rPr>
              <w:t>(in percentages)</w:t>
            </w:r>
          </w:p>
        </w:tc>
        <w:tc>
          <w:tcPr>
            <w:tcW w:w="1240" w:type="dxa"/>
            <w:vAlign w:val="bottom"/>
          </w:tcPr>
          <w:p>
            <w:pPr>
              <w:spacing w:after="0"/>
              <w:rPr>
                <w:sz w:val="16"/>
                <w:szCs w:val="16"/>
                <w:color w:val="auto"/>
              </w:rPr>
            </w:pPr>
          </w:p>
        </w:tc>
        <w:tc>
          <w:tcPr>
            <w:tcW w:w="180" w:type="dxa"/>
            <w:vAlign w:val="bottom"/>
          </w:tcPr>
          <w:p>
            <w:pPr>
              <w:spacing w:after="0"/>
              <w:rPr>
                <w:sz w:val="16"/>
                <w:szCs w:val="16"/>
                <w:color w:val="auto"/>
              </w:rPr>
            </w:pPr>
          </w:p>
        </w:tc>
      </w:tr>
      <w:tr>
        <w:trPr>
          <w:trHeight w:val="216"/>
        </w:trPr>
        <w:tc>
          <w:tcPr>
            <w:tcW w:w="1540" w:type="dxa"/>
            <w:vAlign w:val="bottom"/>
            <w:gridSpan w:val="2"/>
          </w:tcPr>
          <w:p>
            <w:pPr>
              <w:jc w:val="right"/>
              <w:ind w:right="70"/>
              <w:spacing w:after="0"/>
              <w:rPr>
                <w:sz w:val="20"/>
                <w:szCs w:val="20"/>
                <w:color w:val="auto"/>
              </w:rPr>
            </w:pPr>
            <w:r>
              <w:rPr>
                <w:rFonts w:ascii="Arial" w:cs="Arial" w:eastAsia="Arial" w:hAnsi="Arial"/>
                <w:sz w:val="18"/>
                <w:szCs w:val="18"/>
                <w:color w:val="auto"/>
              </w:rPr>
              <w:t>57.0%</w:t>
            </w:r>
          </w:p>
        </w:tc>
        <w:tc>
          <w:tcPr>
            <w:tcW w:w="1520" w:type="dxa"/>
            <w:vAlign w:val="bottom"/>
            <w:gridSpan w:val="2"/>
          </w:tcPr>
          <w:p>
            <w:pPr>
              <w:jc w:val="right"/>
              <w:ind w:right="50"/>
              <w:spacing w:after="0"/>
              <w:rPr>
                <w:sz w:val="20"/>
                <w:szCs w:val="20"/>
                <w:color w:val="auto"/>
              </w:rPr>
            </w:pPr>
            <w:r>
              <w:rPr>
                <w:rFonts w:ascii="Arial" w:cs="Arial" w:eastAsia="Arial" w:hAnsi="Arial"/>
                <w:sz w:val="18"/>
                <w:szCs w:val="18"/>
                <w:color w:val="auto"/>
              </w:rPr>
              <w:t>46.3%</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38.7%</w:t>
            </w:r>
          </w:p>
        </w:tc>
      </w:tr>
      <w:tr>
        <w:trPr>
          <w:trHeight w:val="216"/>
        </w:trPr>
        <w:tc>
          <w:tcPr>
            <w:tcW w:w="1540" w:type="dxa"/>
            <w:vAlign w:val="bottom"/>
            <w:gridSpan w:val="2"/>
          </w:tcPr>
          <w:p>
            <w:pPr>
              <w:jc w:val="right"/>
              <w:ind w:right="210"/>
              <w:spacing w:after="0"/>
              <w:rPr>
                <w:sz w:val="20"/>
                <w:szCs w:val="20"/>
                <w:color w:val="auto"/>
              </w:rPr>
            </w:pPr>
            <w:r>
              <w:rPr>
                <w:rFonts w:ascii="Arial" w:cs="Arial" w:eastAsia="Arial" w:hAnsi="Arial"/>
                <w:sz w:val="18"/>
                <w:szCs w:val="18"/>
                <w:color w:val="auto"/>
              </w:rPr>
              <w:t>0.0</w:t>
            </w:r>
          </w:p>
        </w:tc>
        <w:tc>
          <w:tcPr>
            <w:tcW w:w="1520" w:type="dxa"/>
            <w:vAlign w:val="bottom"/>
            <w:gridSpan w:val="2"/>
          </w:tcPr>
          <w:p>
            <w:pPr>
              <w:jc w:val="right"/>
              <w:ind w:right="210"/>
              <w:spacing w:after="0"/>
              <w:rPr>
                <w:sz w:val="20"/>
                <w:szCs w:val="20"/>
                <w:color w:val="auto"/>
              </w:rPr>
            </w:pPr>
            <w:r>
              <w:rPr>
                <w:rFonts w:ascii="Arial" w:cs="Arial" w:eastAsia="Arial" w:hAnsi="Arial"/>
                <w:sz w:val="18"/>
                <w:szCs w:val="18"/>
                <w:color w:val="auto"/>
              </w:rPr>
              <w:t>0.0</w:t>
            </w:r>
          </w:p>
        </w:tc>
        <w:tc>
          <w:tcPr>
            <w:tcW w:w="1240" w:type="dxa"/>
            <w:vAlign w:val="bottom"/>
          </w:tcPr>
          <w:p>
            <w:pPr>
              <w:jc w:val="right"/>
              <w:spacing w:after="0"/>
              <w:rPr>
                <w:sz w:val="20"/>
                <w:szCs w:val="20"/>
                <w:color w:val="auto"/>
              </w:rPr>
            </w:pPr>
            <w:r>
              <w:rPr>
                <w:rFonts w:ascii="Arial" w:cs="Arial" w:eastAsia="Arial" w:hAnsi="Arial"/>
                <w:sz w:val="18"/>
                <w:szCs w:val="18"/>
                <w:color w:val="auto"/>
              </w:rPr>
              <w:t>1.6</w:t>
            </w:r>
          </w:p>
        </w:tc>
        <w:tc>
          <w:tcPr>
            <w:tcW w:w="180" w:type="dxa"/>
            <w:vAlign w:val="bottom"/>
          </w:tcPr>
          <w:p>
            <w:pPr>
              <w:spacing w:after="0"/>
              <w:rPr>
                <w:sz w:val="18"/>
                <w:szCs w:val="18"/>
                <w:color w:val="auto"/>
              </w:rPr>
            </w:pPr>
          </w:p>
        </w:tc>
      </w:tr>
      <w:tr>
        <w:trPr>
          <w:trHeight w:val="230"/>
        </w:trPr>
        <w:tc>
          <w:tcPr>
            <w:tcW w:w="1540" w:type="dxa"/>
            <w:vAlign w:val="bottom"/>
            <w:gridSpan w:val="2"/>
          </w:tcPr>
          <w:p>
            <w:pPr>
              <w:jc w:val="right"/>
              <w:ind w:right="210"/>
              <w:spacing w:after="0"/>
              <w:rPr>
                <w:sz w:val="20"/>
                <w:szCs w:val="20"/>
                <w:color w:val="auto"/>
              </w:rPr>
            </w:pPr>
            <w:r>
              <w:rPr>
                <w:rFonts w:ascii="Arial" w:cs="Arial" w:eastAsia="Arial" w:hAnsi="Arial"/>
                <w:sz w:val="18"/>
                <w:szCs w:val="18"/>
                <w:color w:val="auto"/>
              </w:rPr>
              <w:t>20.9</w:t>
            </w:r>
          </w:p>
        </w:tc>
        <w:tc>
          <w:tcPr>
            <w:tcW w:w="1520" w:type="dxa"/>
            <w:vAlign w:val="bottom"/>
            <w:gridSpan w:val="2"/>
          </w:tcPr>
          <w:p>
            <w:pPr>
              <w:jc w:val="right"/>
              <w:ind w:right="210"/>
              <w:spacing w:after="0"/>
              <w:rPr>
                <w:sz w:val="20"/>
                <w:szCs w:val="20"/>
                <w:color w:val="auto"/>
              </w:rPr>
            </w:pPr>
            <w:r>
              <w:rPr>
                <w:rFonts w:ascii="Arial" w:cs="Arial" w:eastAsia="Arial" w:hAnsi="Arial"/>
                <w:sz w:val="18"/>
                <w:szCs w:val="18"/>
                <w:color w:val="auto"/>
              </w:rPr>
              <w:t>24.3</w:t>
            </w:r>
          </w:p>
        </w:tc>
        <w:tc>
          <w:tcPr>
            <w:tcW w:w="1240" w:type="dxa"/>
            <w:vAlign w:val="bottom"/>
          </w:tcPr>
          <w:p>
            <w:pPr>
              <w:jc w:val="right"/>
              <w:spacing w:after="0"/>
              <w:rPr>
                <w:sz w:val="20"/>
                <w:szCs w:val="20"/>
                <w:color w:val="auto"/>
              </w:rPr>
            </w:pPr>
            <w:r>
              <w:rPr>
                <w:rFonts w:ascii="Arial" w:cs="Arial" w:eastAsia="Arial" w:hAnsi="Arial"/>
                <w:sz w:val="18"/>
                <w:szCs w:val="18"/>
                <w:color w:val="auto"/>
              </w:rPr>
              <w:t>33.6</w:t>
            </w:r>
          </w:p>
        </w:tc>
        <w:tc>
          <w:tcPr>
            <w:tcW w:w="180" w:type="dxa"/>
            <w:vAlign w:val="bottom"/>
          </w:tcPr>
          <w:p>
            <w:pPr>
              <w:spacing w:after="0"/>
              <w:rPr>
                <w:sz w:val="19"/>
                <w:szCs w:val="19"/>
                <w:color w:val="auto"/>
              </w:rPr>
            </w:pPr>
          </w:p>
        </w:tc>
      </w:tr>
      <w:tr>
        <w:trPr>
          <w:trHeight w:val="230"/>
        </w:trPr>
        <w:tc>
          <w:tcPr>
            <w:tcW w:w="1540" w:type="dxa"/>
            <w:vAlign w:val="bottom"/>
            <w:gridSpan w:val="2"/>
          </w:tcPr>
          <w:p>
            <w:pPr>
              <w:jc w:val="right"/>
              <w:ind w:right="210"/>
              <w:spacing w:after="0"/>
              <w:rPr>
                <w:sz w:val="20"/>
                <w:szCs w:val="20"/>
                <w:color w:val="auto"/>
              </w:rPr>
            </w:pPr>
            <w:r>
              <w:rPr>
                <w:rFonts w:ascii="Arial" w:cs="Arial" w:eastAsia="Arial" w:hAnsi="Arial"/>
                <w:sz w:val="18"/>
                <w:szCs w:val="18"/>
                <w:color w:val="auto"/>
              </w:rPr>
              <w:t>22.1</w:t>
            </w:r>
          </w:p>
        </w:tc>
        <w:tc>
          <w:tcPr>
            <w:tcW w:w="1520" w:type="dxa"/>
            <w:vAlign w:val="bottom"/>
            <w:gridSpan w:val="2"/>
          </w:tcPr>
          <w:p>
            <w:pPr>
              <w:jc w:val="right"/>
              <w:ind w:right="210"/>
              <w:spacing w:after="0"/>
              <w:rPr>
                <w:sz w:val="20"/>
                <w:szCs w:val="20"/>
                <w:color w:val="auto"/>
              </w:rPr>
            </w:pPr>
            <w:r>
              <w:rPr>
                <w:rFonts w:ascii="Arial" w:cs="Arial" w:eastAsia="Arial" w:hAnsi="Arial"/>
                <w:sz w:val="18"/>
                <w:szCs w:val="18"/>
                <w:color w:val="auto"/>
              </w:rPr>
              <w:t>29.4</w:t>
            </w:r>
          </w:p>
        </w:tc>
        <w:tc>
          <w:tcPr>
            <w:tcW w:w="1240" w:type="dxa"/>
            <w:vAlign w:val="bottom"/>
          </w:tcPr>
          <w:p>
            <w:pPr>
              <w:jc w:val="right"/>
              <w:spacing w:after="0"/>
              <w:rPr>
                <w:sz w:val="20"/>
                <w:szCs w:val="20"/>
                <w:color w:val="auto"/>
              </w:rPr>
            </w:pPr>
            <w:r>
              <w:rPr>
                <w:rFonts w:ascii="Arial" w:cs="Arial" w:eastAsia="Arial" w:hAnsi="Arial"/>
                <w:sz w:val="18"/>
                <w:szCs w:val="18"/>
                <w:color w:val="auto"/>
              </w:rPr>
              <w:t>26.1</w:t>
            </w:r>
          </w:p>
        </w:tc>
        <w:tc>
          <w:tcPr>
            <w:tcW w:w="180" w:type="dxa"/>
            <w:vAlign w:val="bottom"/>
          </w:tcPr>
          <w:p>
            <w:pPr>
              <w:spacing w:after="0"/>
              <w:rPr>
                <w:sz w:val="20"/>
                <w:szCs w:val="20"/>
                <w:color w:val="auto"/>
              </w:rPr>
            </w:pPr>
          </w:p>
        </w:tc>
      </w:tr>
      <w:tr>
        <w:trPr>
          <w:trHeight w:val="223"/>
        </w:trPr>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300" w:type="dxa"/>
            <w:vAlign w:val="bottom"/>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300" w:type="dxa"/>
            <w:vAlign w:val="bottom"/>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w w:val="99"/>
              </w:rPr>
              <w:t>%</w:t>
            </w:r>
          </w:p>
        </w:tc>
      </w:tr>
      <w:tr>
        <w:trPr>
          <w:trHeight w:val="20"/>
        </w:trPr>
        <w:tc>
          <w:tcPr>
            <w:tcW w:w="12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-4401185</wp:posOffset>
            </wp:positionH>
            <wp:positionV relativeFrom="paragraph">
              <wp:posOffset>-736600</wp:posOffset>
            </wp:positionV>
            <wp:extent cx="7246620" cy="13716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-4401185</wp:posOffset>
            </wp:positionH>
            <wp:positionV relativeFrom="paragraph">
              <wp:posOffset>-462280</wp:posOffset>
            </wp:positionV>
            <wp:extent cx="7246620" cy="13716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-4401185</wp:posOffset>
            </wp:positionH>
            <wp:positionV relativeFrom="paragraph">
              <wp:posOffset>-179705</wp:posOffset>
            </wp:positionV>
            <wp:extent cx="7246620" cy="16319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46620"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220" w:space="720"/>
            <w:col w:w="4480"/>
          </w:cols>
          <w:pgMar w:left="240" w:top="909" w:right="239" w:bottom="1440" w:gutter="0" w:footer="0" w:header="0"/>
          <w:type w:val="continuous"/>
        </w:sectPr>
      </w:pPr>
    </w:p>
    <w:p>
      <w:pPr>
        <w:spacing w:after="0" w:line="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has issued debt in the public markets of Mexico and Japan. The Bank has also placed private issuances of debt in the United States and in different markets of Asia, Europe and Latin America.</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Deposits</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obtains deposits principally from central and commercial banks primarily located in the Region. As of December 31, 2017, 70% of the deposits held by the Bank were deposits made by central and state owned banks in the Region, and 14% of the Bank’s deposits represented deposits from private sector commercial banks and financial institutions. The average term remaining to maturity of deposits from the Region’s central and state owned banks as of December 31, 2017, 2016 and 2015, was 83 days, 72 days and 63 days, respectively. As of December 31, 2017, deposits from the Bank’s five largest depositors, all of which were central and state-owned banks in the Region, represented 44% of the Bank’s total deposits, compared to 57% as of December 31, 2016. See Item 18, “Financial Statements,” note 10.</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analyzes the Bank’s deposits by country as of the dates indicated below:</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560" w:type="dxa"/>
            <w:vAlign w:val="bottom"/>
          </w:tcPr>
          <w:p>
            <w:pPr>
              <w:spacing w:after="0"/>
              <w:rPr>
                <w:sz w:val="20"/>
                <w:szCs w:val="20"/>
                <w:color w:val="auto"/>
              </w:rPr>
            </w:pPr>
          </w:p>
        </w:tc>
        <w:tc>
          <w:tcPr>
            <w:tcW w:w="3540" w:type="dxa"/>
            <w:vAlign w:val="bottom"/>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89"/>
              </w:rPr>
              <w:t>As of December 31,</w:t>
            </w:r>
          </w:p>
        </w:tc>
        <w:tc>
          <w:tcPr>
            <w:tcW w:w="34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3560" w:type="dxa"/>
            <w:vAlign w:val="bottom"/>
          </w:tcPr>
          <w:p>
            <w:pPr>
              <w:spacing w:after="0"/>
              <w:rPr>
                <w:sz w:val="19"/>
                <w:szCs w:val="19"/>
                <w:color w:val="auto"/>
              </w:rPr>
            </w:pPr>
          </w:p>
        </w:tc>
        <w:tc>
          <w:tcPr>
            <w:tcW w:w="3540" w:type="dxa"/>
            <w:vAlign w:val="bottom"/>
          </w:tcPr>
          <w:p>
            <w:pPr>
              <w:spacing w:after="0"/>
              <w:rPr>
                <w:sz w:val="19"/>
                <w:szCs w:val="19"/>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42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2016</w:t>
            </w:r>
          </w:p>
        </w:tc>
        <w:tc>
          <w:tcPr>
            <w:tcW w:w="34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r>
      <w:tr>
        <w:trPr>
          <w:trHeight w:val="210"/>
        </w:trPr>
        <w:tc>
          <w:tcPr>
            <w:tcW w:w="3560" w:type="dxa"/>
            <w:vAlign w:val="bottom"/>
          </w:tcPr>
          <w:p>
            <w:pPr>
              <w:spacing w:after="0"/>
              <w:rPr>
                <w:sz w:val="18"/>
                <w:szCs w:val="18"/>
                <w:color w:val="auto"/>
              </w:rPr>
            </w:pPr>
          </w:p>
        </w:tc>
        <w:tc>
          <w:tcPr>
            <w:tcW w:w="35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580" w:type="dxa"/>
            <w:vAlign w:val="bottom"/>
            <w:gridSpan w:val="2"/>
          </w:tcPr>
          <w:p>
            <w:pPr>
              <w:jc w:val="right"/>
              <w:ind w:right="170"/>
              <w:spacing w:after="0"/>
              <w:rPr>
                <w:sz w:val="20"/>
                <w:szCs w:val="20"/>
                <w:color w:val="auto"/>
              </w:rPr>
            </w:pPr>
            <w:r>
              <w:rPr>
                <w:rFonts w:ascii="Arial" w:cs="Arial" w:eastAsia="Arial" w:hAnsi="Arial"/>
                <w:sz w:val="18"/>
                <w:szCs w:val="18"/>
                <w:b w:val="1"/>
                <w:bCs w:val="1"/>
                <w:color w:val="auto"/>
              </w:rPr>
              <w:t>(in $ millions)</w:t>
            </w:r>
          </w:p>
        </w:tc>
        <w:tc>
          <w:tcPr>
            <w:tcW w:w="3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4440" w:type="dxa"/>
            <w:vAlign w:val="bottom"/>
            <w:gridSpan w:val="2"/>
            <w:shd w:val="clear" w:color="auto" w:fill="CCEEFF"/>
          </w:tcPr>
          <w:p>
            <w:pPr>
              <w:jc w:val="right"/>
              <w:ind w:right="730"/>
              <w:spacing w:after="0"/>
              <w:rPr>
                <w:sz w:val="20"/>
                <w:szCs w:val="20"/>
                <w:color w:val="auto"/>
              </w:rPr>
            </w:pPr>
            <w:r>
              <w:rPr>
                <w:rFonts w:ascii="Arial" w:cs="Arial" w:eastAsia="Arial" w:hAnsi="Arial"/>
                <w:sz w:val="18"/>
                <w:szCs w:val="18"/>
                <w:color w:val="auto"/>
              </w:rPr>
              <w:t>$</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142</w:t>
            </w:r>
          </w:p>
        </w:tc>
        <w:tc>
          <w:tcPr>
            <w:tcW w:w="46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135</w:t>
            </w:r>
          </w:p>
        </w:tc>
        <w:tc>
          <w:tcPr>
            <w:tcW w:w="34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w:t>
            </w:r>
          </w:p>
        </w:tc>
      </w:tr>
      <w:tr>
        <w:trPr>
          <w:trHeight w:val="216"/>
        </w:trPr>
        <w:tc>
          <w:tcPr>
            <w:tcW w:w="3560" w:type="dxa"/>
            <w:vAlign w:val="bottom"/>
          </w:tcPr>
          <w:p>
            <w:pPr>
              <w:spacing w:after="0"/>
              <w:rPr>
                <w:sz w:val="20"/>
                <w:szCs w:val="20"/>
                <w:color w:val="auto"/>
              </w:rPr>
            </w:pPr>
            <w:r>
              <w:rPr>
                <w:rFonts w:ascii="Arial" w:cs="Arial" w:eastAsia="Arial" w:hAnsi="Arial"/>
                <w:sz w:val="18"/>
                <w:szCs w:val="18"/>
                <w:color w:val="auto"/>
              </w:rPr>
              <w:t>Barbados</w:t>
            </w:r>
          </w:p>
        </w:tc>
        <w:tc>
          <w:tcPr>
            <w:tcW w:w="35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0</w:t>
            </w:r>
          </w:p>
        </w:tc>
        <w:tc>
          <w:tcPr>
            <w:tcW w:w="460" w:type="dxa"/>
            <w:vAlign w:val="bottom"/>
          </w:tcPr>
          <w:p>
            <w:pPr>
              <w:spacing w:after="0"/>
              <w:rPr>
                <w:sz w:val="18"/>
                <w:szCs w:val="18"/>
                <w:color w:val="auto"/>
              </w:rPr>
            </w:pPr>
          </w:p>
        </w:tc>
        <w:tc>
          <w:tcPr>
            <w:tcW w:w="1120" w:type="dxa"/>
            <w:vAlign w:val="bottom"/>
          </w:tcPr>
          <w:p>
            <w:pPr>
              <w:jc w:val="right"/>
              <w:ind w:right="50"/>
              <w:spacing w:after="0"/>
              <w:rPr>
                <w:sz w:val="20"/>
                <w:szCs w:val="20"/>
                <w:color w:val="auto"/>
              </w:rPr>
            </w:pPr>
            <w:r>
              <w:rPr>
                <w:rFonts w:ascii="Arial" w:cs="Arial" w:eastAsia="Arial" w:hAnsi="Arial"/>
                <w:sz w:val="18"/>
                <w:szCs w:val="18"/>
                <w:color w:val="auto"/>
              </w:rPr>
              <w:t>0</w:t>
            </w:r>
          </w:p>
        </w:tc>
        <w:tc>
          <w:tcPr>
            <w:tcW w:w="3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17</w:t>
            </w:r>
          </w:p>
        </w:tc>
      </w:tr>
      <w:tr>
        <w:trPr>
          <w:trHeight w:val="216"/>
        </w:trPr>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Bermuda</w:t>
            </w:r>
          </w:p>
        </w:tc>
        <w:tc>
          <w:tcPr>
            <w:tcW w:w="35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46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0</w:t>
            </w:r>
          </w:p>
        </w:tc>
        <w:tc>
          <w:tcPr>
            <w:tcW w:w="3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w:t>
            </w:r>
          </w:p>
        </w:tc>
      </w:tr>
      <w:tr>
        <w:trPr>
          <w:trHeight w:val="216"/>
        </w:trPr>
        <w:tc>
          <w:tcPr>
            <w:tcW w:w="3560" w:type="dxa"/>
            <w:vAlign w:val="bottom"/>
          </w:tcPr>
          <w:p>
            <w:pPr>
              <w:spacing w:after="0"/>
              <w:rPr>
                <w:sz w:val="20"/>
                <w:szCs w:val="20"/>
                <w:color w:val="auto"/>
              </w:rPr>
            </w:pPr>
            <w:r>
              <w:rPr>
                <w:rFonts w:ascii="Arial" w:cs="Arial" w:eastAsia="Arial" w:hAnsi="Arial"/>
                <w:sz w:val="18"/>
                <w:szCs w:val="18"/>
                <w:color w:val="auto"/>
              </w:rPr>
              <w:t>Bolivia</w:t>
            </w:r>
          </w:p>
        </w:tc>
        <w:tc>
          <w:tcPr>
            <w:tcW w:w="35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0</w:t>
            </w:r>
          </w:p>
        </w:tc>
        <w:tc>
          <w:tcPr>
            <w:tcW w:w="460" w:type="dxa"/>
            <w:vAlign w:val="bottom"/>
          </w:tcPr>
          <w:p>
            <w:pPr>
              <w:spacing w:after="0"/>
              <w:rPr>
                <w:sz w:val="18"/>
                <w:szCs w:val="18"/>
                <w:color w:val="auto"/>
              </w:rPr>
            </w:pPr>
          </w:p>
        </w:tc>
        <w:tc>
          <w:tcPr>
            <w:tcW w:w="1120" w:type="dxa"/>
            <w:vAlign w:val="bottom"/>
          </w:tcPr>
          <w:p>
            <w:pPr>
              <w:jc w:val="right"/>
              <w:ind w:right="50"/>
              <w:spacing w:after="0"/>
              <w:rPr>
                <w:sz w:val="20"/>
                <w:szCs w:val="20"/>
                <w:color w:val="auto"/>
              </w:rPr>
            </w:pPr>
            <w:r>
              <w:rPr>
                <w:rFonts w:ascii="Arial" w:cs="Arial" w:eastAsia="Arial" w:hAnsi="Arial"/>
                <w:sz w:val="18"/>
                <w:szCs w:val="18"/>
                <w:color w:val="auto"/>
              </w:rPr>
              <w:t>1</w:t>
            </w:r>
          </w:p>
        </w:tc>
        <w:tc>
          <w:tcPr>
            <w:tcW w:w="3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r>
      <w:tr>
        <w:trPr>
          <w:trHeight w:val="216"/>
        </w:trPr>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Brazil</w:t>
            </w:r>
          </w:p>
        </w:tc>
        <w:tc>
          <w:tcPr>
            <w:tcW w:w="35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w:t>
            </w:r>
          </w:p>
        </w:tc>
        <w:tc>
          <w:tcPr>
            <w:tcW w:w="46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151</w:t>
            </w:r>
          </w:p>
        </w:tc>
        <w:tc>
          <w:tcPr>
            <w:tcW w:w="3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457</w:t>
            </w:r>
          </w:p>
        </w:tc>
      </w:tr>
      <w:tr>
        <w:trPr>
          <w:trHeight w:val="216"/>
        </w:trPr>
        <w:tc>
          <w:tcPr>
            <w:tcW w:w="3560" w:type="dxa"/>
            <w:vAlign w:val="bottom"/>
          </w:tcPr>
          <w:p>
            <w:pPr>
              <w:spacing w:after="0"/>
              <w:rPr>
                <w:sz w:val="20"/>
                <w:szCs w:val="20"/>
                <w:color w:val="auto"/>
              </w:rPr>
            </w:pPr>
            <w:r>
              <w:rPr>
                <w:rFonts w:ascii="Arial" w:cs="Arial" w:eastAsia="Arial" w:hAnsi="Arial"/>
                <w:sz w:val="18"/>
                <w:szCs w:val="18"/>
                <w:color w:val="auto"/>
              </w:rPr>
              <w:t>Cayman Island</w:t>
            </w:r>
          </w:p>
        </w:tc>
        <w:tc>
          <w:tcPr>
            <w:tcW w:w="35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0</w:t>
            </w:r>
          </w:p>
        </w:tc>
        <w:tc>
          <w:tcPr>
            <w:tcW w:w="460" w:type="dxa"/>
            <w:vAlign w:val="bottom"/>
          </w:tcPr>
          <w:p>
            <w:pPr>
              <w:spacing w:after="0"/>
              <w:rPr>
                <w:sz w:val="18"/>
                <w:szCs w:val="18"/>
                <w:color w:val="auto"/>
              </w:rPr>
            </w:pPr>
          </w:p>
        </w:tc>
        <w:tc>
          <w:tcPr>
            <w:tcW w:w="1120" w:type="dxa"/>
            <w:vAlign w:val="bottom"/>
          </w:tcPr>
          <w:p>
            <w:pPr>
              <w:jc w:val="right"/>
              <w:ind w:right="50"/>
              <w:spacing w:after="0"/>
              <w:rPr>
                <w:sz w:val="20"/>
                <w:szCs w:val="20"/>
                <w:color w:val="auto"/>
              </w:rPr>
            </w:pPr>
            <w:r>
              <w:rPr>
                <w:rFonts w:ascii="Arial" w:cs="Arial" w:eastAsia="Arial" w:hAnsi="Arial"/>
                <w:sz w:val="18"/>
                <w:szCs w:val="18"/>
                <w:color w:val="auto"/>
              </w:rPr>
              <w:t>25</w:t>
            </w:r>
          </w:p>
        </w:tc>
        <w:tc>
          <w:tcPr>
            <w:tcW w:w="3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7</w:t>
            </w:r>
          </w:p>
        </w:tc>
      </w:tr>
      <w:tr>
        <w:trPr>
          <w:trHeight w:val="216"/>
        </w:trPr>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Colombia</w:t>
            </w:r>
          </w:p>
        </w:tc>
        <w:tc>
          <w:tcPr>
            <w:tcW w:w="35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w:t>
            </w:r>
          </w:p>
        </w:tc>
        <w:tc>
          <w:tcPr>
            <w:tcW w:w="46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3</w:t>
            </w:r>
          </w:p>
        </w:tc>
        <w:tc>
          <w:tcPr>
            <w:tcW w:w="3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w:t>
            </w:r>
          </w:p>
        </w:tc>
      </w:tr>
      <w:tr>
        <w:trPr>
          <w:trHeight w:val="216"/>
        </w:trPr>
        <w:tc>
          <w:tcPr>
            <w:tcW w:w="3560" w:type="dxa"/>
            <w:vAlign w:val="bottom"/>
          </w:tcPr>
          <w:p>
            <w:pPr>
              <w:spacing w:after="0"/>
              <w:rPr>
                <w:sz w:val="20"/>
                <w:szCs w:val="20"/>
                <w:color w:val="auto"/>
              </w:rPr>
            </w:pPr>
            <w:r>
              <w:rPr>
                <w:rFonts w:ascii="Arial" w:cs="Arial" w:eastAsia="Arial" w:hAnsi="Arial"/>
                <w:sz w:val="18"/>
                <w:szCs w:val="18"/>
                <w:color w:val="auto"/>
              </w:rPr>
              <w:t>Costa Rica</w:t>
            </w:r>
          </w:p>
        </w:tc>
        <w:tc>
          <w:tcPr>
            <w:tcW w:w="35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138</w:t>
            </w:r>
          </w:p>
        </w:tc>
        <w:tc>
          <w:tcPr>
            <w:tcW w:w="460" w:type="dxa"/>
            <w:vAlign w:val="bottom"/>
          </w:tcPr>
          <w:p>
            <w:pPr>
              <w:spacing w:after="0"/>
              <w:rPr>
                <w:sz w:val="18"/>
                <w:szCs w:val="18"/>
                <w:color w:val="auto"/>
              </w:rPr>
            </w:pPr>
          </w:p>
        </w:tc>
        <w:tc>
          <w:tcPr>
            <w:tcW w:w="1120" w:type="dxa"/>
            <w:vAlign w:val="bottom"/>
          </w:tcPr>
          <w:p>
            <w:pPr>
              <w:jc w:val="right"/>
              <w:ind w:right="50"/>
              <w:spacing w:after="0"/>
              <w:rPr>
                <w:sz w:val="20"/>
                <w:szCs w:val="20"/>
                <w:color w:val="auto"/>
              </w:rPr>
            </w:pPr>
            <w:r>
              <w:rPr>
                <w:rFonts w:ascii="Arial" w:cs="Arial" w:eastAsia="Arial" w:hAnsi="Arial"/>
                <w:sz w:val="18"/>
                <w:szCs w:val="18"/>
                <w:color w:val="auto"/>
              </w:rPr>
              <w:t>130</w:t>
            </w:r>
          </w:p>
        </w:tc>
        <w:tc>
          <w:tcPr>
            <w:tcW w:w="3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116</w:t>
            </w:r>
          </w:p>
        </w:tc>
      </w:tr>
      <w:tr>
        <w:trPr>
          <w:trHeight w:val="216"/>
        </w:trPr>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Dominican Republic</w:t>
            </w:r>
          </w:p>
        </w:tc>
        <w:tc>
          <w:tcPr>
            <w:tcW w:w="35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w:t>
            </w:r>
          </w:p>
        </w:tc>
        <w:tc>
          <w:tcPr>
            <w:tcW w:w="46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72</w:t>
            </w:r>
          </w:p>
        </w:tc>
        <w:tc>
          <w:tcPr>
            <w:tcW w:w="3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51</w:t>
            </w:r>
          </w:p>
        </w:tc>
      </w:tr>
      <w:tr>
        <w:trPr>
          <w:trHeight w:val="216"/>
        </w:trPr>
        <w:tc>
          <w:tcPr>
            <w:tcW w:w="3560" w:type="dxa"/>
            <w:vAlign w:val="bottom"/>
          </w:tcPr>
          <w:p>
            <w:pPr>
              <w:spacing w:after="0"/>
              <w:rPr>
                <w:sz w:val="20"/>
                <w:szCs w:val="20"/>
                <w:color w:val="auto"/>
              </w:rPr>
            </w:pPr>
            <w:r>
              <w:rPr>
                <w:rFonts w:ascii="Arial" w:cs="Arial" w:eastAsia="Arial" w:hAnsi="Arial"/>
                <w:sz w:val="18"/>
                <w:szCs w:val="18"/>
                <w:color w:val="auto"/>
              </w:rPr>
              <w:t>Ecuador</w:t>
            </w:r>
          </w:p>
        </w:tc>
        <w:tc>
          <w:tcPr>
            <w:tcW w:w="35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217</w:t>
            </w:r>
          </w:p>
        </w:tc>
        <w:tc>
          <w:tcPr>
            <w:tcW w:w="460" w:type="dxa"/>
            <w:vAlign w:val="bottom"/>
          </w:tcPr>
          <w:p>
            <w:pPr>
              <w:spacing w:after="0"/>
              <w:rPr>
                <w:sz w:val="18"/>
                <w:szCs w:val="18"/>
                <w:color w:val="auto"/>
              </w:rPr>
            </w:pPr>
          </w:p>
        </w:tc>
        <w:tc>
          <w:tcPr>
            <w:tcW w:w="1120" w:type="dxa"/>
            <w:vAlign w:val="bottom"/>
          </w:tcPr>
          <w:p>
            <w:pPr>
              <w:jc w:val="right"/>
              <w:ind w:right="50"/>
              <w:spacing w:after="0"/>
              <w:rPr>
                <w:sz w:val="20"/>
                <w:szCs w:val="20"/>
                <w:color w:val="auto"/>
              </w:rPr>
            </w:pPr>
            <w:r>
              <w:rPr>
                <w:rFonts w:ascii="Arial" w:cs="Arial" w:eastAsia="Arial" w:hAnsi="Arial"/>
                <w:sz w:val="18"/>
                <w:szCs w:val="18"/>
                <w:color w:val="auto"/>
              </w:rPr>
              <w:t>804</w:t>
            </w:r>
          </w:p>
        </w:tc>
        <w:tc>
          <w:tcPr>
            <w:tcW w:w="3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213</w:t>
            </w:r>
          </w:p>
        </w:tc>
      </w:tr>
      <w:tr>
        <w:trPr>
          <w:trHeight w:val="216"/>
        </w:trPr>
        <w:tc>
          <w:tcPr>
            <w:tcW w:w="3560" w:type="dxa"/>
            <w:vAlign w:val="bottom"/>
            <w:shd w:val="clear" w:color="auto" w:fill="CCEEFF"/>
          </w:tcPr>
          <w:p>
            <w:pPr>
              <w:spacing w:after="0"/>
              <w:rPr>
                <w:sz w:val="20"/>
                <w:szCs w:val="20"/>
                <w:color w:val="auto"/>
              </w:rPr>
            </w:pPr>
            <w:r>
              <w:rPr>
                <w:rFonts w:ascii="Arial" w:cs="Arial" w:eastAsia="Arial" w:hAnsi="Arial"/>
                <w:sz w:val="18"/>
                <w:szCs w:val="18"/>
                <w:color w:val="auto"/>
              </w:rPr>
              <w:t>El Salvador</w:t>
            </w:r>
          </w:p>
        </w:tc>
        <w:tc>
          <w:tcPr>
            <w:tcW w:w="35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w:t>
            </w:r>
          </w:p>
        </w:tc>
        <w:tc>
          <w:tcPr>
            <w:tcW w:w="46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24</w:t>
            </w:r>
          </w:p>
        </w:tc>
        <w:tc>
          <w:tcPr>
            <w:tcW w:w="3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w:t>
            </w:r>
          </w:p>
        </w:tc>
      </w:tr>
      <w:tr>
        <w:trPr>
          <w:trHeight w:val="648"/>
        </w:trPr>
        <w:tc>
          <w:tcPr>
            <w:tcW w:w="3560" w:type="dxa"/>
            <w:vAlign w:val="bottom"/>
            <w:tcBorders>
              <w:bottom w:val="single" w:sz="8" w:color="auto"/>
            </w:tcBorders>
          </w:tcPr>
          <w:p>
            <w:pPr>
              <w:spacing w:after="0"/>
              <w:rPr>
                <w:sz w:val="24"/>
                <w:szCs w:val="24"/>
                <w:color w:val="auto"/>
              </w:rPr>
            </w:pPr>
          </w:p>
        </w:tc>
        <w:tc>
          <w:tcPr>
            <w:tcW w:w="3540" w:type="dxa"/>
            <w:vAlign w:val="bottom"/>
            <w:tcBorders>
              <w:bottom w:val="single" w:sz="8" w:color="auto"/>
            </w:tcBorders>
          </w:tcPr>
          <w:p>
            <w:pPr>
              <w:jc w:val="right"/>
              <w:ind w:right="1190"/>
              <w:spacing w:after="0"/>
              <w:rPr>
                <w:sz w:val="20"/>
                <w:szCs w:val="20"/>
                <w:color w:val="auto"/>
              </w:rPr>
            </w:pPr>
            <w:r>
              <w:rPr>
                <w:rFonts w:ascii="Arial" w:cs="Arial" w:eastAsia="Arial" w:hAnsi="Arial"/>
                <w:sz w:val="18"/>
                <w:szCs w:val="18"/>
                <w:color w:val="auto"/>
              </w:rPr>
              <w:t>65</w:t>
            </w:r>
          </w:p>
        </w:tc>
        <w:tc>
          <w:tcPr>
            <w:tcW w:w="90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9" w:right="239" w:bottom="1440" w:gutter="0" w:footer="0" w:header="0"/>
          <w:type w:val="continuous"/>
        </w:sectPr>
      </w:pPr>
    </w:p>
    <w:bookmarkStart w:id="68" w:name="page69"/>
    <w:bookmarkEnd w:id="68"/>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460" w:type="dxa"/>
            <w:vAlign w:val="bottom"/>
          </w:tcPr>
          <w:p>
            <w:pPr>
              <w:spacing w:after="0"/>
              <w:rPr>
                <w:sz w:val="20"/>
                <w:szCs w:val="20"/>
                <w:color w:val="auto"/>
              </w:rPr>
            </w:pPr>
          </w:p>
        </w:tc>
        <w:tc>
          <w:tcPr>
            <w:tcW w:w="2640" w:type="dxa"/>
            <w:vAlign w:val="bottom"/>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ind w:left="40"/>
              <w:spacing w:after="0"/>
              <w:rPr>
                <w:sz w:val="20"/>
                <w:szCs w:val="20"/>
                <w:color w:val="auto"/>
              </w:rPr>
            </w:pPr>
            <w:r>
              <w:rPr>
                <w:rFonts w:ascii="Arial" w:cs="Arial" w:eastAsia="Arial" w:hAnsi="Arial"/>
                <w:sz w:val="18"/>
                <w:szCs w:val="18"/>
                <w:b w:val="1"/>
                <w:bCs w:val="1"/>
                <w:color w:val="auto"/>
                <w:w w:val="90"/>
              </w:rPr>
              <w:t>As of December 31,</w:t>
            </w:r>
          </w:p>
        </w:tc>
        <w:tc>
          <w:tcPr>
            <w:tcW w:w="6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4460" w:type="dxa"/>
            <w:vAlign w:val="bottom"/>
          </w:tcPr>
          <w:p>
            <w:pPr>
              <w:spacing w:after="0"/>
              <w:rPr>
                <w:sz w:val="19"/>
                <w:szCs w:val="19"/>
                <w:color w:val="auto"/>
              </w:rPr>
            </w:pPr>
          </w:p>
        </w:tc>
        <w:tc>
          <w:tcPr>
            <w:tcW w:w="2640" w:type="dxa"/>
            <w:vAlign w:val="bottom"/>
          </w:tcPr>
          <w:p>
            <w:pPr>
              <w:spacing w:after="0"/>
              <w:rPr>
                <w:sz w:val="19"/>
                <w:szCs w:val="19"/>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42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r>
      <w:tr>
        <w:trPr>
          <w:trHeight w:val="210"/>
        </w:trPr>
        <w:tc>
          <w:tcPr>
            <w:tcW w:w="4460" w:type="dxa"/>
            <w:vAlign w:val="bottom"/>
          </w:tcPr>
          <w:p>
            <w:pPr>
              <w:spacing w:after="0"/>
              <w:rPr>
                <w:sz w:val="18"/>
                <w:szCs w:val="18"/>
                <w:color w:val="auto"/>
              </w:rPr>
            </w:pPr>
          </w:p>
        </w:tc>
        <w:tc>
          <w:tcPr>
            <w:tcW w:w="26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60" w:type="dxa"/>
            <w:vAlign w:val="bottom"/>
          </w:tcPr>
          <w:p>
            <w:pPr>
              <w:jc w:val="right"/>
              <w:ind w:right="10"/>
              <w:spacing w:after="0"/>
              <w:rPr>
                <w:sz w:val="20"/>
                <w:szCs w:val="20"/>
                <w:color w:val="auto"/>
              </w:rPr>
            </w:pPr>
            <w:r>
              <w:rPr>
                <w:rFonts w:ascii="Arial" w:cs="Arial" w:eastAsia="Arial" w:hAnsi="Arial"/>
                <w:sz w:val="18"/>
                <w:szCs w:val="18"/>
                <w:b w:val="1"/>
                <w:bCs w:val="1"/>
                <w:color w:val="auto"/>
                <w:w w:val="89"/>
              </w:rPr>
              <w:t>(in $ millions)</w:t>
            </w: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France</w:t>
            </w:r>
          </w:p>
        </w:tc>
        <w:tc>
          <w:tcPr>
            <w:tcW w:w="26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Germany</w:t>
            </w:r>
          </w:p>
        </w:tc>
        <w:tc>
          <w:tcPr>
            <w:tcW w:w="26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77</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77</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77</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Guatemala</w:t>
            </w:r>
          </w:p>
        </w:tc>
        <w:tc>
          <w:tcPr>
            <w:tcW w:w="26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71</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71</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Haiti</w:t>
            </w:r>
          </w:p>
        </w:tc>
        <w:tc>
          <w:tcPr>
            <w:tcW w:w="26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60</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70</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50</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26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176</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153</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157</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Jamaica</w:t>
            </w:r>
          </w:p>
        </w:tc>
        <w:tc>
          <w:tcPr>
            <w:tcW w:w="26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26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300</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100</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Multilateral</w:t>
            </w:r>
          </w:p>
        </w:tc>
        <w:tc>
          <w:tcPr>
            <w:tcW w:w="26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101</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18</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Netherlands</w:t>
            </w:r>
          </w:p>
        </w:tc>
        <w:tc>
          <w:tcPr>
            <w:tcW w:w="26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34</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Nicaragua</w:t>
            </w:r>
          </w:p>
        </w:tc>
        <w:tc>
          <w:tcPr>
            <w:tcW w:w="26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268</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98</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90</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Panama</w:t>
            </w:r>
          </w:p>
        </w:tc>
        <w:tc>
          <w:tcPr>
            <w:tcW w:w="26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437</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404</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435</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Paraguay</w:t>
            </w:r>
          </w:p>
        </w:tc>
        <w:tc>
          <w:tcPr>
            <w:tcW w:w="26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337</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400</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433</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Peru</w:t>
            </w:r>
          </w:p>
        </w:tc>
        <w:tc>
          <w:tcPr>
            <w:tcW w:w="26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142</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Switzerland</w:t>
            </w:r>
          </w:p>
        </w:tc>
        <w:tc>
          <w:tcPr>
            <w:tcW w:w="26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Trinidad and Tobago</w:t>
            </w:r>
          </w:p>
        </w:tc>
        <w:tc>
          <w:tcPr>
            <w:tcW w:w="26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70</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w:t>
            </w: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United Kingdom</w:t>
            </w:r>
          </w:p>
        </w:tc>
        <w:tc>
          <w:tcPr>
            <w:tcW w:w="26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United States of America</w:t>
            </w:r>
          </w:p>
        </w:tc>
        <w:tc>
          <w:tcPr>
            <w:tcW w:w="26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w:t>
            </w:r>
          </w:p>
        </w:tc>
      </w:tr>
      <w:tr>
        <w:trPr>
          <w:trHeight w:val="230"/>
        </w:trPr>
        <w:tc>
          <w:tcPr>
            <w:tcW w:w="4460" w:type="dxa"/>
            <w:vAlign w:val="bottom"/>
          </w:tcPr>
          <w:p>
            <w:pPr>
              <w:spacing w:after="0"/>
              <w:rPr>
                <w:sz w:val="20"/>
                <w:szCs w:val="20"/>
                <w:color w:val="auto"/>
              </w:rPr>
            </w:pPr>
            <w:r>
              <w:rPr>
                <w:rFonts w:ascii="Arial" w:cs="Arial" w:eastAsia="Arial" w:hAnsi="Arial"/>
                <w:sz w:val="18"/>
                <w:szCs w:val="18"/>
                <w:color w:val="auto"/>
              </w:rPr>
              <w:t>Venezuela</w:t>
            </w:r>
          </w:p>
        </w:tc>
        <w:tc>
          <w:tcPr>
            <w:tcW w:w="264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47</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173</w:t>
            </w:r>
          </w:p>
        </w:tc>
      </w:tr>
      <w:tr>
        <w:trPr>
          <w:trHeight w:val="223"/>
        </w:trPr>
        <w:tc>
          <w:tcPr>
            <w:tcW w:w="4460" w:type="dxa"/>
            <w:vAlign w:val="bottom"/>
            <w:tcBorders>
              <w:top w:val="single" w:sz="8" w:color="CCEEFF"/>
              <w:bottom w:val="single" w:sz="8" w:color="CCEEFF"/>
            </w:tcBorders>
            <w:shd w:val="clear" w:color="auto" w:fill="CCEEFF"/>
          </w:tcPr>
          <w:p>
            <w:pPr>
              <w:ind w:left="340"/>
              <w:spacing w:after="0"/>
              <w:rPr>
                <w:sz w:val="20"/>
                <w:szCs w:val="20"/>
                <w:color w:val="auto"/>
              </w:rPr>
            </w:pPr>
            <w:r>
              <w:rPr>
                <w:rFonts w:ascii="Arial" w:cs="Arial" w:eastAsia="Arial" w:hAnsi="Arial"/>
                <w:sz w:val="18"/>
                <w:szCs w:val="18"/>
                <w:b w:val="1"/>
                <w:bCs w:val="1"/>
                <w:color w:val="auto"/>
              </w:rPr>
              <w:t>Total</w:t>
            </w:r>
          </w:p>
        </w:tc>
        <w:tc>
          <w:tcPr>
            <w:tcW w:w="264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ind w:right="677"/>
              <w:spacing w:after="0"/>
              <w:rPr>
                <w:sz w:val="20"/>
                <w:szCs w:val="20"/>
                <w:color w:val="auto"/>
              </w:rPr>
            </w:pPr>
            <w:r>
              <w:rPr>
                <w:rFonts w:ascii="Arial" w:cs="Arial" w:eastAsia="Arial" w:hAnsi="Arial"/>
                <w:sz w:val="15"/>
                <w:szCs w:val="15"/>
                <w:b w:val="1"/>
                <w:bCs w:val="1"/>
                <w:color w:val="auto"/>
                <w:w w:val="71"/>
              </w:rPr>
              <w:t>$</w:t>
            </w: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88"/>
              </w:rPr>
              <w:t>2,929</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2,803</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460" w:type="dxa"/>
            <w:vAlign w:val="bottom"/>
          </w:tcPr>
          <w:p>
            <w:pPr>
              <w:spacing w:after="0" w:line="20" w:lineRule="exact"/>
              <w:rPr>
                <w:sz w:val="1"/>
                <w:szCs w:val="1"/>
                <w:color w:val="auto"/>
              </w:rPr>
            </w:pPr>
          </w:p>
        </w:tc>
        <w:tc>
          <w:tcPr>
            <w:tcW w:w="264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Short-Term Borrowings and Debt, and Repos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from time to time enters into financing transaction under repurchase agreements (“Repos”) with international banks, utilizing its Investment Securities Portfolio as collateral to secure cost-effective funding. Repos are reported as secured financings in the financial statements. As of December 31, 2017 and 2016, the Bank did not have outstanding Repos, compared to Repos of $114.1 million as of December 31, 2015. See Item 18, “Financial Statements,” note 11.</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Short- and long-term borrowings and debt provide a global diversification of the Bank’s funding sources. The Bank uses these borrowings and debt placements, which generally have longer maturities than deposits, to manage its asset and liability positions.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short-term borrowings and debt consist of borrowings from banks and debt instruments from notes issued under the Bank’s Euro Medium-Term Note Program that have maturities of up to 365 days.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Short-term borrowings are made available to the Bank on an uncommitted basis for the financing of trade-related loans as well as for general business purposes. The Bank’s short- and medium-term borrowings mainly come from international correspondent banks from the United States, Japan, Canada and Europe.</w:t>
      </w:r>
    </w:p>
    <w:p>
      <w:pPr>
        <w:spacing w:after="0" w:line="181"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As of December 31, 2017, short-term borrowings and debt totaled $1,073 million, a 27% decrease compared to $1,470 million as of December 31, 2016, as the Bank continued to rely primarily on deposits to cover its short-term funding needs, while continuing to increase the short-term composition of its overall funding sources in alignment with the Bank’s lending book also moving towards shorter tenors. The average term remaining to maturity of short-term borrowings and debt as of December 31, 2017 was 137 days. See Item 18, “Financial Statements,” notes 12.1 and 18.</w:t>
      </w:r>
    </w:p>
    <w:p>
      <w:pPr>
        <w:spacing w:after="0" w:line="3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8" w:right="239" w:bottom="1440" w:gutter="0" w:footer="0" w:header="0"/>
        </w:sectPr>
      </w:pPr>
    </w:p>
    <w:bookmarkStart w:id="69" w:name="page70"/>
    <w:bookmarkEnd w:id="69"/>
    <w:p>
      <w:pPr>
        <w:jc w:val="both"/>
        <w:ind w:right="20"/>
        <w:spacing w:after="0" w:line="277" w:lineRule="auto"/>
        <w:rPr>
          <w:sz w:val="20"/>
          <w:szCs w:val="20"/>
          <w:color w:val="auto"/>
        </w:rPr>
      </w:pPr>
      <w:r>
        <w:rPr>
          <w:rFonts w:ascii="Arial" w:cs="Arial" w:eastAsia="Arial" w:hAnsi="Arial"/>
          <w:sz w:val="18"/>
          <w:szCs w:val="18"/>
          <w:color w:val="auto"/>
        </w:rPr>
        <w:t>The following table presents information regarding the amounts outstanding under, and interest rates on, the Bank’s short-term borrowings and Repos at the dates and during the periods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584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4420" w:type="dxa"/>
            <w:vAlign w:val="bottom"/>
            <w:gridSpan w:val="11"/>
          </w:tcPr>
          <w:p>
            <w:pPr>
              <w:jc w:val="center"/>
              <w:ind w:right="160"/>
              <w:spacing w:after="0"/>
              <w:rPr>
                <w:sz w:val="20"/>
                <w:szCs w:val="20"/>
                <w:color w:val="auto"/>
              </w:rPr>
            </w:pPr>
            <w:r>
              <w:rPr>
                <w:rFonts w:ascii="Arial" w:cs="Arial" w:eastAsia="Arial" w:hAnsi="Arial"/>
                <w:sz w:val="18"/>
                <w:szCs w:val="18"/>
                <w:b w:val="1"/>
                <w:bCs w:val="1"/>
                <w:color w:val="auto"/>
                <w:w w:val="90"/>
              </w:rPr>
              <w:t>As of and for the Year Ended December 31,</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84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44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center"/>
              <w:ind w:right="170"/>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420" w:type="dxa"/>
            <w:vAlign w:val="bottom"/>
            <w:tcBorders>
              <w:top w:val="single" w:sz="8" w:color="auto"/>
              <w:bottom w:val="single" w:sz="8" w:color="auto"/>
            </w:tcBorders>
          </w:tcPr>
          <w:p>
            <w:pPr>
              <w:spacing w:after="0"/>
              <w:rPr>
                <w:sz w:val="19"/>
                <w:szCs w:val="19"/>
                <w:color w:val="auto"/>
              </w:rPr>
            </w:pPr>
          </w:p>
        </w:tc>
        <w:tc>
          <w:tcPr>
            <w:tcW w:w="840" w:type="dxa"/>
            <w:vAlign w:val="bottom"/>
            <w:tcBorders>
              <w:top w:val="single" w:sz="8" w:color="auto"/>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w w:val="89"/>
              </w:rPr>
              <w:t>2015</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8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40" w:type="dxa"/>
            <w:vAlign w:val="bottom"/>
            <w:gridSpan w:val="8"/>
          </w:tcPr>
          <w:p>
            <w:pPr>
              <w:jc w:val="center"/>
              <w:spacing w:after="0"/>
              <w:rPr>
                <w:sz w:val="20"/>
                <w:szCs w:val="20"/>
                <w:color w:val="auto"/>
              </w:rPr>
            </w:pPr>
            <w:r>
              <w:rPr>
                <w:rFonts w:ascii="Arial" w:cs="Arial" w:eastAsia="Arial" w:hAnsi="Arial"/>
                <w:sz w:val="18"/>
                <w:szCs w:val="18"/>
                <w:b w:val="1"/>
                <w:bCs w:val="1"/>
                <w:color w:val="auto"/>
                <w:w w:val="88"/>
              </w:rPr>
              <w:t>(in $ millions, except percentages)</w:t>
            </w:r>
          </w:p>
        </w:tc>
        <w:tc>
          <w:tcPr>
            <w:tcW w:w="8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 debt and Repos</w:t>
            </w:r>
          </w:p>
        </w:tc>
        <w:tc>
          <w:tcPr>
            <w:tcW w:w="11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4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840" w:type="dxa"/>
            <w:vAlign w:val="bottom"/>
          </w:tcPr>
          <w:p>
            <w:pPr>
              <w:spacing w:after="0"/>
              <w:rPr>
                <w:sz w:val="20"/>
                <w:szCs w:val="20"/>
                <w:color w:val="auto"/>
              </w:rPr>
            </w:pPr>
            <w:r>
              <w:rPr>
                <w:rFonts w:ascii="Arial" w:cs="Arial" w:eastAsia="Arial" w:hAnsi="Arial"/>
                <w:sz w:val="18"/>
                <w:szCs w:val="18"/>
                <w:color w:val="auto"/>
              </w:rPr>
              <w:t>Advances from banks and financial institutions</w:t>
            </w:r>
          </w:p>
        </w:tc>
        <w:tc>
          <w:tcPr>
            <w:tcW w:w="1940" w:type="dxa"/>
            <w:vAlign w:val="bottom"/>
            <w:gridSpan w:val="2"/>
          </w:tcPr>
          <w:p>
            <w:pPr>
              <w:jc w:val="right"/>
              <w:ind w:right="635"/>
              <w:spacing w:after="0"/>
              <w:rPr>
                <w:sz w:val="20"/>
                <w:szCs w:val="20"/>
                <w:color w:val="auto"/>
              </w:rPr>
            </w:pPr>
            <w:r>
              <w:rPr>
                <w:rFonts w:ascii="Arial" w:cs="Arial" w:eastAsia="Arial" w:hAnsi="Arial"/>
                <w:sz w:val="18"/>
                <w:szCs w:val="18"/>
                <w:color w:val="auto"/>
              </w:rPr>
              <w:t>$</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1,073</w:t>
            </w:r>
          </w:p>
        </w:tc>
        <w:tc>
          <w:tcPr>
            <w:tcW w:w="32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1,470</w:t>
            </w:r>
          </w:p>
        </w:tc>
        <w:tc>
          <w:tcPr>
            <w:tcW w:w="480" w:type="dxa"/>
            <w:vAlign w:val="bottom"/>
            <w:gridSpan w:val="2"/>
          </w:tcPr>
          <w:p>
            <w:pPr>
              <w:jc w:val="right"/>
              <w:ind w:right="265"/>
              <w:spacing w:after="0"/>
              <w:rPr>
                <w:sz w:val="20"/>
                <w:szCs w:val="20"/>
                <w:color w:val="auto"/>
              </w:rPr>
            </w:pPr>
            <w:r>
              <w:rPr>
                <w:rFonts w:ascii="Arial" w:cs="Arial" w:eastAsia="Arial" w:hAnsi="Arial"/>
                <w:sz w:val="18"/>
                <w:szCs w:val="18"/>
                <w:color w:val="auto"/>
              </w:rPr>
              <w:t>$</w:t>
            </w:r>
          </w:p>
        </w:tc>
        <w:tc>
          <w:tcPr>
            <w:tcW w:w="840" w:type="dxa"/>
            <w:vAlign w:val="bottom"/>
          </w:tcPr>
          <w:p>
            <w:pPr>
              <w:jc w:val="right"/>
              <w:spacing w:after="0"/>
              <w:rPr>
                <w:sz w:val="20"/>
                <w:szCs w:val="20"/>
                <w:color w:val="auto"/>
              </w:rPr>
            </w:pPr>
            <w:r>
              <w:rPr>
                <w:rFonts w:ascii="Arial" w:cs="Arial" w:eastAsia="Arial" w:hAnsi="Arial"/>
                <w:sz w:val="18"/>
                <w:szCs w:val="18"/>
                <w:color w:val="auto"/>
              </w:rPr>
              <w:t>2,430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84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14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8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114</w:t>
            </w:r>
          </w:p>
        </w:tc>
        <w:tc>
          <w:tcPr>
            <w:tcW w:w="1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840" w:type="dxa"/>
            <w:vAlign w:val="bottom"/>
          </w:tcPr>
          <w:p>
            <w:pPr>
              <w:ind w:left="160"/>
              <w:spacing w:after="0"/>
              <w:rPr>
                <w:sz w:val="20"/>
                <w:szCs w:val="20"/>
                <w:color w:val="auto"/>
              </w:rPr>
            </w:pPr>
            <w:r>
              <w:rPr>
                <w:rFonts w:ascii="Arial" w:cs="Arial" w:eastAsia="Arial" w:hAnsi="Arial"/>
                <w:sz w:val="18"/>
                <w:szCs w:val="18"/>
                <w:color w:val="auto"/>
              </w:rPr>
              <w:t>Total short-term borrowings, debt and Repos</w:t>
            </w:r>
          </w:p>
        </w:tc>
        <w:tc>
          <w:tcPr>
            <w:tcW w:w="1140" w:type="dxa"/>
            <w:vAlign w:val="bottom"/>
          </w:tcPr>
          <w:p>
            <w:pPr>
              <w:spacing w:after="0"/>
              <w:rPr>
                <w:sz w:val="18"/>
                <w:szCs w:val="18"/>
                <w:color w:val="auto"/>
              </w:rPr>
            </w:pPr>
          </w:p>
        </w:tc>
        <w:tc>
          <w:tcPr>
            <w:tcW w:w="800" w:type="dxa"/>
            <w:vAlign w:val="bottom"/>
            <w:tcBorders>
              <w:top w:val="single" w:sz="8" w:color="auto"/>
            </w:tcBorders>
          </w:tcPr>
          <w:p>
            <w:pPr>
              <w:jc w:val="right"/>
              <w:ind w:right="635"/>
              <w:spacing w:after="0"/>
              <w:rPr>
                <w:sz w:val="20"/>
                <w:szCs w:val="20"/>
                <w:color w:val="auto"/>
              </w:rPr>
            </w:pPr>
            <w:r>
              <w:rPr>
                <w:rFonts w:ascii="Arial" w:cs="Arial" w:eastAsia="Arial" w:hAnsi="Arial"/>
                <w:sz w:val="15"/>
                <w:szCs w:val="15"/>
                <w:b w:val="1"/>
                <w:bCs w:val="1"/>
                <w:color w:val="auto"/>
                <w:w w:val="71"/>
              </w:rPr>
              <w:t>$</w:t>
            </w:r>
          </w:p>
        </w:tc>
        <w:tc>
          <w:tcPr>
            <w:tcW w:w="4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1,073</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Borders>
              <w:top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1,470</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20" w:type="dxa"/>
            <w:vAlign w:val="bottom"/>
            <w:tcBorders>
              <w:top w:val="single" w:sz="8" w:color="auto"/>
            </w:tcBorders>
          </w:tcPr>
          <w:p>
            <w:pPr>
              <w:jc w:val="right"/>
              <w:ind w:right="26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2,544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8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4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840" w:type="dxa"/>
            <w:vAlign w:val="bottom"/>
          </w:tcPr>
          <w:p>
            <w:pPr>
              <w:spacing w:after="0"/>
              <w:rPr>
                <w:sz w:val="20"/>
                <w:szCs w:val="20"/>
                <w:color w:val="auto"/>
              </w:rPr>
            </w:pPr>
            <w:r>
              <w:rPr>
                <w:rFonts w:ascii="Arial" w:cs="Arial" w:eastAsia="Arial" w:hAnsi="Arial"/>
                <w:sz w:val="18"/>
                <w:szCs w:val="18"/>
                <w:color w:val="auto"/>
              </w:rPr>
              <w:t>Maximum amount outstanding at any month-end</w:t>
            </w:r>
          </w:p>
        </w:tc>
        <w:tc>
          <w:tcPr>
            <w:tcW w:w="1940" w:type="dxa"/>
            <w:vAlign w:val="bottom"/>
            <w:gridSpan w:val="2"/>
          </w:tcPr>
          <w:p>
            <w:pPr>
              <w:jc w:val="right"/>
              <w:ind w:right="635"/>
              <w:spacing w:after="0"/>
              <w:rPr>
                <w:sz w:val="20"/>
                <w:szCs w:val="20"/>
                <w:color w:val="auto"/>
              </w:rPr>
            </w:pPr>
            <w:r>
              <w:rPr>
                <w:rFonts w:ascii="Arial" w:cs="Arial" w:eastAsia="Arial" w:hAnsi="Arial"/>
                <w:sz w:val="18"/>
                <w:szCs w:val="18"/>
                <w:color w:val="auto"/>
              </w:rPr>
              <w:t>$</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1,073</w:t>
            </w:r>
          </w:p>
        </w:tc>
        <w:tc>
          <w:tcPr>
            <w:tcW w:w="32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1,984</w:t>
            </w:r>
          </w:p>
        </w:tc>
        <w:tc>
          <w:tcPr>
            <w:tcW w:w="480" w:type="dxa"/>
            <w:vAlign w:val="bottom"/>
            <w:gridSpan w:val="2"/>
          </w:tcPr>
          <w:p>
            <w:pPr>
              <w:jc w:val="right"/>
              <w:ind w:right="265"/>
              <w:spacing w:after="0"/>
              <w:rPr>
                <w:sz w:val="20"/>
                <w:szCs w:val="20"/>
                <w:color w:val="auto"/>
              </w:rPr>
            </w:pPr>
            <w:r>
              <w:rPr>
                <w:rFonts w:ascii="Arial" w:cs="Arial" w:eastAsia="Arial" w:hAnsi="Arial"/>
                <w:sz w:val="18"/>
                <w:szCs w:val="18"/>
                <w:color w:val="auto"/>
              </w:rPr>
              <w:t>$</w:t>
            </w:r>
          </w:p>
        </w:tc>
        <w:tc>
          <w:tcPr>
            <w:tcW w:w="840" w:type="dxa"/>
            <w:vAlign w:val="bottom"/>
          </w:tcPr>
          <w:p>
            <w:pPr>
              <w:jc w:val="right"/>
              <w:spacing w:after="0"/>
              <w:rPr>
                <w:sz w:val="20"/>
                <w:szCs w:val="20"/>
                <w:color w:val="auto"/>
              </w:rPr>
            </w:pPr>
            <w:r>
              <w:rPr>
                <w:rFonts w:ascii="Arial" w:cs="Arial" w:eastAsia="Arial" w:hAnsi="Arial"/>
                <w:sz w:val="18"/>
                <w:szCs w:val="18"/>
                <w:color w:val="auto"/>
              </w:rPr>
              <w:t>3,152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840" w:type="dxa"/>
            <w:vAlign w:val="bottom"/>
            <w:shd w:val="clear" w:color="auto" w:fill="CCEEFF"/>
          </w:tcPr>
          <w:p>
            <w:pPr>
              <w:spacing w:after="0"/>
              <w:rPr>
                <w:sz w:val="20"/>
                <w:szCs w:val="20"/>
                <w:color w:val="auto"/>
              </w:rPr>
            </w:pPr>
            <w:r>
              <w:rPr>
                <w:rFonts w:ascii="Arial" w:cs="Arial" w:eastAsia="Arial" w:hAnsi="Arial"/>
                <w:sz w:val="18"/>
                <w:szCs w:val="18"/>
                <w:color w:val="auto"/>
              </w:rPr>
              <w:t>Amount outstanding at year-end</w:t>
            </w:r>
          </w:p>
        </w:tc>
        <w:tc>
          <w:tcPr>
            <w:tcW w:w="1940" w:type="dxa"/>
            <w:vAlign w:val="bottom"/>
            <w:gridSpan w:val="2"/>
            <w:shd w:val="clear" w:color="auto" w:fill="CCEEFF"/>
          </w:tcPr>
          <w:p>
            <w:pPr>
              <w:jc w:val="right"/>
              <w:ind w:right="635"/>
              <w:spacing w:after="0"/>
              <w:rPr>
                <w:sz w:val="20"/>
                <w:szCs w:val="20"/>
                <w:color w:val="auto"/>
              </w:rPr>
            </w:pPr>
            <w:r>
              <w:rPr>
                <w:rFonts w:ascii="Arial" w:cs="Arial" w:eastAsia="Arial" w:hAnsi="Arial"/>
                <w:sz w:val="18"/>
                <w:szCs w:val="18"/>
                <w:color w:val="auto"/>
              </w:rPr>
              <w:t>$</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1,073</w:t>
            </w:r>
          </w:p>
        </w:tc>
        <w:tc>
          <w:tcPr>
            <w:tcW w:w="32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1,470</w:t>
            </w:r>
          </w:p>
        </w:tc>
        <w:tc>
          <w:tcPr>
            <w:tcW w:w="480" w:type="dxa"/>
            <w:vAlign w:val="bottom"/>
            <w:gridSpan w:val="2"/>
            <w:shd w:val="clear" w:color="auto" w:fill="CCEEFF"/>
          </w:tcPr>
          <w:p>
            <w:pPr>
              <w:jc w:val="right"/>
              <w:ind w:right="265"/>
              <w:spacing w:after="0"/>
              <w:rPr>
                <w:sz w:val="20"/>
                <w:szCs w:val="20"/>
                <w:color w:val="auto"/>
              </w:rPr>
            </w:pPr>
            <w:r>
              <w:rPr>
                <w:rFonts w:ascii="Arial" w:cs="Arial" w:eastAsia="Arial" w:hAnsi="Arial"/>
                <w:sz w:val="18"/>
                <w:szCs w:val="18"/>
                <w:color w:val="auto"/>
              </w:rPr>
              <w:t>$</w:t>
            </w:r>
          </w:p>
        </w:tc>
        <w:tc>
          <w:tcPr>
            <w:tcW w:w="8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2,544</w:t>
            </w:r>
          </w:p>
        </w:tc>
        <w:tc>
          <w:tcPr>
            <w:tcW w:w="1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840" w:type="dxa"/>
            <w:vAlign w:val="bottom"/>
          </w:tcPr>
          <w:p>
            <w:pPr>
              <w:spacing w:after="0"/>
              <w:rPr>
                <w:sz w:val="20"/>
                <w:szCs w:val="20"/>
                <w:color w:val="auto"/>
              </w:rPr>
            </w:pPr>
            <w:r>
              <w:rPr>
                <w:rFonts w:ascii="Arial" w:cs="Arial" w:eastAsia="Arial" w:hAnsi="Arial"/>
                <w:sz w:val="18"/>
                <w:szCs w:val="18"/>
                <w:color w:val="auto"/>
              </w:rPr>
              <w:t>Average amount outstanding</w:t>
            </w:r>
          </w:p>
        </w:tc>
        <w:tc>
          <w:tcPr>
            <w:tcW w:w="1940" w:type="dxa"/>
            <w:vAlign w:val="bottom"/>
            <w:gridSpan w:val="2"/>
          </w:tcPr>
          <w:p>
            <w:pPr>
              <w:jc w:val="right"/>
              <w:ind w:right="635"/>
              <w:spacing w:after="0"/>
              <w:rPr>
                <w:sz w:val="20"/>
                <w:szCs w:val="20"/>
                <w:color w:val="auto"/>
              </w:rPr>
            </w:pPr>
            <w:r>
              <w:rPr>
                <w:rFonts w:ascii="Arial" w:cs="Arial" w:eastAsia="Arial" w:hAnsi="Arial"/>
                <w:sz w:val="18"/>
                <w:szCs w:val="18"/>
                <w:color w:val="auto"/>
              </w:rPr>
              <w:t>$</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rPr>
              <w:t>710</w:t>
            </w:r>
          </w:p>
        </w:tc>
        <w:tc>
          <w:tcPr>
            <w:tcW w:w="32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1,449</w:t>
            </w:r>
          </w:p>
        </w:tc>
        <w:tc>
          <w:tcPr>
            <w:tcW w:w="480" w:type="dxa"/>
            <w:vAlign w:val="bottom"/>
            <w:gridSpan w:val="2"/>
          </w:tcPr>
          <w:p>
            <w:pPr>
              <w:jc w:val="right"/>
              <w:ind w:right="265"/>
              <w:spacing w:after="0"/>
              <w:rPr>
                <w:sz w:val="20"/>
                <w:szCs w:val="20"/>
                <w:color w:val="auto"/>
              </w:rPr>
            </w:pPr>
            <w:r>
              <w:rPr>
                <w:rFonts w:ascii="Arial" w:cs="Arial" w:eastAsia="Arial" w:hAnsi="Arial"/>
                <w:sz w:val="18"/>
                <w:szCs w:val="18"/>
                <w:color w:val="auto"/>
              </w:rPr>
              <w:t>$</w:t>
            </w:r>
          </w:p>
        </w:tc>
        <w:tc>
          <w:tcPr>
            <w:tcW w:w="840" w:type="dxa"/>
            <w:vAlign w:val="bottom"/>
          </w:tcPr>
          <w:p>
            <w:pPr>
              <w:jc w:val="right"/>
              <w:spacing w:after="0"/>
              <w:rPr>
                <w:sz w:val="20"/>
                <w:szCs w:val="20"/>
                <w:color w:val="auto"/>
              </w:rPr>
            </w:pPr>
            <w:r>
              <w:rPr>
                <w:rFonts w:ascii="Arial" w:cs="Arial" w:eastAsia="Arial" w:hAnsi="Arial"/>
                <w:sz w:val="18"/>
                <w:szCs w:val="18"/>
                <w:color w:val="auto"/>
              </w:rPr>
              <w:t>2,484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84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interest rate on average amount outstanding</w:t>
            </w:r>
          </w:p>
        </w:tc>
        <w:tc>
          <w:tcPr>
            <w:tcW w:w="11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1.66%</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1.12%</w:t>
            </w:r>
          </w:p>
        </w:tc>
        <w:tc>
          <w:tcPr>
            <w:tcW w:w="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0.91%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840" w:type="dxa"/>
            <w:vAlign w:val="bottom"/>
          </w:tcPr>
          <w:p>
            <w:pPr>
              <w:spacing w:after="0"/>
              <w:rPr>
                <w:sz w:val="20"/>
                <w:szCs w:val="20"/>
                <w:color w:val="auto"/>
              </w:rPr>
            </w:pPr>
            <w:r>
              <w:rPr>
                <w:rFonts w:ascii="Arial" w:cs="Arial" w:eastAsia="Arial" w:hAnsi="Arial"/>
                <w:sz w:val="18"/>
                <w:szCs w:val="18"/>
                <w:color w:val="auto"/>
              </w:rPr>
              <w:t>Weighted average interest rate on amount outstanding at year end</w:t>
            </w:r>
          </w:p>
        </w:tc>
        <w:tc>
          <w:tcPr>
            <w:tcW w:w="114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640" w:type="dxa"/>
            <w:vAlign w:val="bottom"/>
            <w:gridSpan w:val="2"/>
          </w:tcPr>
          <w:p>
            <w:pPr>
              <w:jc w:val="right"/>
              <w:ind w:right="60"/>
              <w:spacing w:after="0"/>
              <w:rPr>
                <w:sz w:val="20"/>
                <w:szCs w:val="20"/>
                <w:color w:val="auto"/>
              </w:rPr>
            </w:pPr>
            <w:r>
              <w:rPr>
                <w:rFonts w:ascii="Arial" w:cs="Arial" w:eastAsia="Arial" w:hAnsi="Arial"/>
                <w:sz w:val="18"/>
                <w:szCs w:val="18"/>
                <w:color w:val="auto"/>
              </w:rPr>
              <w:t>2.16%</w:t>
            </w:r>
          </w:p>
        </w:tc>
        <w:tc>
          <w:tcPr>
            <w:tcW w:w="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1.11%</w:t>
            </w:r>
          </w:p>
        </w:tc>
        <w:tc>
          <w:tcPr>
            <w:tcW w:w="6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0.89%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8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840" w:type="dxa"/>
            <w:vAlign w:val="bottom"/>
            <w:tcBorders>
              <w:right w:val="single" w:sz="8" w:color="auto"/>
            </w:tcBorders>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Long-term borrowings and debt</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Long-term borrowings consist of long-term bilateral and syndicated loans obtained from international banks. Debt instruments consist of private issuances under the Bank’s Euro Medium-Term Note Program, as well as public issuances in the United States of America, Japan and Mexico.</w:t>
      </w:r>
    </w:p>
    <w:p>
      <w:pPr>
        <w:spacing w:after="0" w:line="170"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Interest rates on most long-term borrowings and issuances are adjusted monthly, quarterly or semi-annually based on short-term LIBOR rates plus a credit spread. The credit spread is defined according to several factors, including credit ratings, risk perception, and the original contractual term to maturity. The Bank uses these funds primarily to finance its medium-term and long-term Loan Portfolio, as well as to further enhance the stability of its overall funding base. As of December 31, 2017, gross long-term borrowings and debt decreased 36% to $1,143 million, from $1,782 million as of December 31, 2016, as the Bank’s Loan Portfolio moved towards shorter tenors and the Bank sought to align its funding sources with this development. As of December 31, 2017, the average term remaining to maturity of the Bank’s medium and long-term borrowing and debt was two years and two months (808 days).</w:t>
      </w:r>
    </w:p>
    <w:p>
      <w:pPr>
        <w:spacing w:after="0" w:line="16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following table presents information regarding the gross amounts outstanding under, and interest rates on, the Bank’s long-term borrowings and debt at the dates and during the periods indicated. See Item 18, “Financial Statements,” notes 12.2 and 18, and Item 11, “Quantitative and Qualitative Disclosure About Market Risk.”</w:t>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86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4420" w:type="dxa"/>
            <w:vAlign w:val="bottom"/>
            <w:gridSpan w:val="7"/>
          </w:tcPr>
          <w:p>
            <w:pPr>
              <w:jc w:val="center"/>
              <w:ind w:right="160"/>
              <w:spacing w:after="0"/>
              <w:rPr>
                <w:sz w:val="20"/>
                <w:szCs w:val="20"/>
                <w:color w:val="auto"/>
              </w:rPr>
            </w:pPr>
            <w:r>
              <w:rPr>
                <w:rFonts w:ascii="Arial" w:cs="Arial" w:eastAsia="Arial" w:hAnsi="Arial"/>
                <w:sz w:val="18"/>
                <w:szCs w:val="18"/>
                <w:b w:val="1"/>
                <w:bCs w:val="1"/>
                <w:color w:val="auto"/>
                <w:w w:val="90"/>
              </w:rPr>
              <w:t>As of and for the Year Ended December 31,</w:t>
            </w:r>
          </w:p>
        </w:tc>
      </w:tr>
      <w:tr>
        <w:trPr>
          <w:trHeight w:val="223"/>
        </w:trPr>
        <w:tc>
          <w:tcPr>
            <w:tcW w:w="586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2017</w:t>
            </w:r>
          </w:p>
        </w:tc>
        <w:tc>
          <w:tcPr>
            <w:tcW w:w="64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1200" w:type="dxa"/>
            <w:vAlign w:val="bottom"/>
            <w:tcBorders>
              <w:top w:val="single" w:sz="8" w:color="auto"/>
              <w:bottom w:val="single" w:sz="8" w:color="auto"/>
            </w:tcBorders>
          </w:tcPr>
          <w:p>
            <w:pPr>
              <w:jc w:val="center"/>
              <w:ind w:right="390"/>
              <w:spacing w:after="0"/>
              <w:rPr>
                <w:sz w:val="20"/>
                <w:szCs w:val="20"/>
                <w:color w:val="auto"/>
              </w:rPr>
            </w:pPr>
            <w:r>
              <w:rPr>
                <w:rFonts w:ascii="Arial" w:cs="Arial" w:eastAsia="Arial" w:hAnsi="Arial"/>
                <w:sz w:val="18"/>
                <w:szCs w:val="18"/>
                <w:b w:val="1"/>
                <w:bCs w:val="1"/>
                <w:color w:val="auto"/>
                <w:w w:val="89"/>
              </w:rPr>
              <w:t>2016</w:t>
            </w:r>
          </w:p>
        </w:tc>
        <w:tc>
          <w:tcPr>
            <w:tcW w:w="48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9"/>
              </w:rPr>
              <w:t>2015</w:t>
            </w:r>
          </w:p>
        </w:tc>
        <w:tc>
          <w:tcPr>
            <w:tcW w:w="160" w:type="dxa"/>
            <w:vAlign w:val="bottom"/>
          </w:tcPr>
          <w:p>
            <w:pPr>
              <w:spacing w:after="0"/>
              <w:rPr>
                <w:sz w:val="19"/>
                <w:szCs w:val="19"/>
                <w:color w:val="auto"/>
              </w:rPr>
            </w:pPr>
          </w:p>
        </w:tc>
      </w:tr>
      <w:tr>
        <w:trPr>
          <w:trHeight w:val="210"/>
        </w:trPr>
        <w:tc>
          <w:tcPr>
            <w:tcW w:w="58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40" w:type="dxa"/>
            <w:vAlign w:val="bottom"/>
            <w:gridSpan w:val="4"/>
          </w:tcPr>
          <w:p>
            <w:pPr>
              <w:jc w:val="center"/>
              <w:spacing w:after="0"/>
              <w:rPr>
                <w:sz w:val="20"/>
                <w:szCs w:val="20"/>
                <w:color w:val="auto"/>
              </w:rPr>
            </w:pPr>
            <w:r>
              <w:rPr>
                <w:rFonts w:ascii="Arial" w:cs="Arial" w:eastAsia="Arial" w:hAnsi="Arial"/>
                <w:sz w:val="18"/>
                <w:szCs w:val="18"/>
                <w:b w:val="1"/>
                <w:bCs w:val="1"/>
                <w:color w:val="auto"/>
                <w:w w:val="88"/>
              </w:rPr>
              <w:t>(in $ millions, except percentages)</w:t>
            </w: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7"/>
        </w:trPr>
        <w:tc>
          <w:tcPr>
            <w:tcW w:w="5860" w:type="dxa"/>
            <w:vAlign w:val="bottom"/>
            <w:shd w:val="clear" w:color="auto" w:fill="CCEEFF"/>
          </w:tcPr>
          <w:p>
            <w:pPr>
              <w:spacing w:after="0" w:line="256" w:lineRule="exact"/>
              <w:rPr>
                <w:sz w:val="20"/>
                <w:szCs w:val="20"/>
                <w:color w:val="auto"/>
              </w:rPr>
            </w:pPr>
            <w:r>
              <w:rPr>
                <w:rFonts w:ascii="Arial" w:cs="Arial" w:eastAsia="Arial" w:hAnsi="Arial"/>
                <w:sz w:val="18"/>
                <w:szCs w:val="18"/>
                <w:b w:val="1"/>
                <w:bCs w:val="1"/>
                <w:color w:val="auto"/>
              </w:rPr>
              <w:t xml:space="preserve">Long-term borrowings and debt </w:t>
            </w:r>
            <w:r>
              <w:rPr>
                <w:rFonts w:ascii="Arial" w:cs="Arial" w:eastAsia="Arial" w:hAnsi="Arial"/>
                <w:sz w:val="29"/>
                <w:szCs w:val="29"/>
                <w:b w:val="1"/>
                <w:bCs w:val="1"/>
                <w:color w:val="auto"/>
                <w:vertAlign w:val="superscript"/>
              </w:rPr>
              <w:t>(*)</w:t>
            </w:r>
          </w:p>
        </w:tc>
        <w:tc>
          <w:tcPr>
            <w:tcW w:w="1140" w:type="dxa"/>
            <w:vAlign w:val="bottom"/>
            <w:shd w:val="clear" w:color="auto" w:fill="CCEEFF"/>
          </w:tcPr>
          <w:p>
            <w:pPr>
              <w:spacing w:after="0"/>
              <w:rPr>
                <w:sz w:val="22"/>
                <w:szCs w:val="22"/>
                <w:color w:val="auto"/>
              </w:rPr>
            </w:pPr>
          </w:p>
        </w:tc>
        <w:tc>
          <w:tcPr>
            <w:tcW w:w="800" w:type="dxa"/>
            <w:vAlign w:val="bottom"/>
            <w:shd w:val="clear" w:color="auto" w:fill="CCEEFF"/>
          </w:tcPr>
          <w:p>
            <w:pPr>
              <w:spacing w:after="0"/>
              <w:rPr>
                <w:sz w:val="22"/>
                <w:szCs w:val="22"/>
                <w:color w:val="auto"/>
              </w:rPr>
            </w:pPr>
          </w:p>
        </w:tc>
        <w:tc>
          <w:tcPr>
            <w:tcW w:w="64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1200" w:type="dxa"/>
            <w:vAlign w:val="bottom"/>
            <w:shd w:val="clear" w:color="auto" w:fill="CCEEFF"/>
          </w:tcPr>
          <w:p>
            <w:pPr>
              <w:spacing w:after="0"/>
              <w:rPr>
                <w:sz w:val="22"/>
                <w:szCs w:val="22"/>
                <w:color w:val="auto"/>
              </w:rPr>
            </w:pPr>
          </w:p>
        </w:tc>
        <w:tc>
          <w:tcPr>
            <w:tcW w:w="480" w:type="dxa"/>
            <w:vAlign w:val="bottom"/>
            <w:shd w:val="clear" w:color="auto" w:fill="CCEEFF"/>
          </w:tcPr>
          <w:p>
            <w:pPr>
              <w:spacing w:after="0"/>
              <w:rPr>
                <w:sz w:val="22"/>
                <w:szCs w:val="22"/>
                <w:color w:val="auto"/>
              </w:rPr>
            </w:pPr>
          </w:p>
        </w:tc>
        <w:tc>
          <w:tcPr>
            <w:tcW w:w="82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r>
      <w:tr>
        <w:trPr>
          <w:trHeight w:val="216"/>
        </w:trPr>
        <w:tc>
          <w:tcPr>
            <w:tcW w:w="5860" w:type="dxa"/>
            <w:vAlign w:val="bottom"/>
          </w:tcPr>
          <w:p>
            <w:pPr>
              <w:spacing w:after="0"/>
              <w:rPr>
                <w:sz w:val="20"/>
                <w:szCs w:val="20"/>
                <w:color w:val="auto"/>
              </w:rPr>
            </w:pPr>
            <w:r>
              <w:rPr>
                <w:rFonts w:ascii="Arial" w:cs="Arial" w:eastAsia="Arial" w:hAnsi="Arial"/>
                <w:sz w:val="18"/>
                <w:szCs w:val="18"/>
                <w:color w:val="auto"/>
              </w:rPr>
              <w:t>Amount outstanding at year-end</w:t>
            </w:r>
          </w:p>
        </w:tc>
        <w:tc>
          <w:tcPr>
            <w:tcW w:w="1940" w:type="dxa"/>
            <w:vAlign w:val="bottom"/>
            <w:gridSpan w:val="2"/>
          </w:tcPr>
          <w:p>
            <w:pPr>
              <w:jc w:val="right"/>
              <w:ind w:right="630"/>
              <w:spacing w:after="0"/>
              <w:rPr>
                <w:sz w:val="20"/>
                <w:szCs w:val="20"/>
                <w:color w:val="auto"/>
              </w:rPr>
            </w:pPr>
            <w:r>
              <w:rPr>
                <w:rFonts w:ascii="Arial" w:cs="Arial" w:eastAsia="Arial" w:hAnsi="Arial"/>
                <w:sz w:val="18"/>
                <w:szCs w:val="18"/>
                <w:color w:val="auto"/>
              </w:rPr>
              <w:t>$</w:t>
            </w:r>
          </w:p>
        </w:tc>
        <w:tc>
          <w:tcPr>
            <w:tcW w:w="640" w:type="dxa"/>
            <w:vAlign w:val="bottom"/>
          </w:tcPr>
          <w:p>
            <w:pPr>
              <w:jc w:val="right"/>
              <w:ind w:right="110"/>
              <w:spacing w:after="0"/>
              <w:rPr>
                <w:sz w:val="20"/>
                <w:szCs w:val="20"/>
                <w:color w:val="auto"/>
              </w:rPr>
            </w:pPr>
            <w:r>
              <w:rPr>
                <w:rFonts w:ascii="Arial" w:cs="Arial" w:eastAsia="Arial" w:hAnsi="Arial"/>
                <w:sz w:val="18"/>
                <w:szCs w:val="18"/>
                <w:color w:val="auto"/>
                <w:w w:val="93"/>
              </w:rPr>
              <w:t>1,143</w:t>
            </w:r>
          </w:p>
        </w:tc>
        <w:tc>
          <w:tcPr>
            <w:tcW w:w="32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1200" w:type="dxa"/>
            <w:vAlign w:val="bottom"/>
          </w:tcPr>
          <w:p>
            <w:pPr>
              <w:jc w:val="right"/>
              <w:ind w:right="130"/>
              <w:spacing w:after="0"/>
              <w:rPr>
                <w:sz w:val="20"/>
                <w:szCs w:val="20"/>
                <w:color w:val="auto"/>
              </w:rPr>
            </w:pPr>
            <w:r>
              <w:rPr>
                <w:rFonts w:ascii="Arial" w:cs="Arial" w:eastAsia="Arial" w:hAnsi="Arial"/>
                <w:sz w:val="18"/>
                <w:szCs w:val="18"/>
                <w:color w:val="auto"/>
              </w:rPr>
              <w:t>1,782</w:t>
            </w:r>
          </w:p>
        </w:tc>
        <w:tc>
          <w:tcPr>
            <w:tcW w:w="480" w:type="dxa"/>
            <w:vAlign w:val="bottom"/>
          </w:tcPr>
          <w:p>
            <w:pPr>
              <w:jc w:val="right"/>
              <w:ind w:right="25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1,889</w:t>
            </w:r>
          </w:p>
        </w:tc>
      </w:tr>
      <w:tr>
        <w:trPr>
          <w:trHeight w:val="216"/>
        </w:trPr>
        <w:tc>
          <w:tcPr>
            <w:tcW w:w="5860" w:type="dxa"/>
            <w:vAlign w:val="bottom"/>
            <w:shd w:val="clear" w:color="auto" w:fill="CCEEFF"/>
          </w:tcPr>
          <w:p>
            <w:pPr>
              <w:spacing w:after="0"/>
              <w:rPr>
                <w:sz w:val="20"/>
                <w:szCs w:val="20"/>
                <w:color w:val="auto"/>
              </w:rPr>
            </w:pPr>
            <w:r>
              <w:rPr>
                <w:rFonts w:ascii="Arial" w:cs="Arial" w:eastAsia="Arial" w:hAnsi="Arial"/>
                <w:sz w:val="18"/>
                <w:szCs w:val="18"/>
                <w:color w:val="auto"/>
              </w:rPr>
              <w:t>Maximum amount outstanding at any month-end</w:t>
            </w:r>
          </w:p>
        </w:tc>
        <w:tc>
          <w:tcPr>
            <w:tcW w:w="1940" w:type="dxa"/>
            <w:vAlign w:val="bottom"/>
            <w:gridSpan w:val="2"/>
            <w:shd w:val="clear" w:color="auto" w:fill="CCEEFF"/>
          </w:tcPr>
          <w:p>
            <w:pPr>
              <w:jc w:val="right"/>
              <w:ind w:right="630"/>
              <w:spacing w:after="0"/>
              <w:rPr>
                <w:sz w:val="20"/>
                <w:szCs w:val="20"/>
                <w:color w:val="auto"/>
              </w:rPr>
            </w:pPr>
            <w:r>
              <w:rPr>
                <w:rFonts w:ascii="Arial" w:cs="Arial" w:eastAsia="Arial" w:hAnsi="Arial"/>
                <w:sz w:val="18"/>
                <w:szCs w:val="18"/>
                <w:color w:val="auto"/>
              </w:rPr>
              <w:t>$</w:t>
            </w:r>
          </w:p>
        </w:tc>
        <w:tc>
          <w:tcPr>
            <w:tcW w:w="64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w w:val="93"/>
              </w:rPr>
              <w:t>2,010</w:t>
            </w:r>
          </w:p>
        </w:tc>
        <w:tc>
          <w:tcPr>
            <w:tcW w:w="32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2,054</w:t>
            </w:r>
          </w:p>
        </w:tc>
        <w:tc>
          <w:tcPr>
            <w:tcW w:w="480" w:type="dxa"/>
            <w:vAlign w:val="bottom"/>
            <w:shd w:val="clear" w:color="auto" w:fill="CCEEFF"/>
          </w:tcPr>
          <w:p>
            <w:pPr>
              <w:jc w:val="right"/>
              <w:ind w:right="25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1,889</w:t>
            </w:r>
          </w:p>
        </w:tc>
      </w:tr>
      <w:tr>
        <w:trPr>
          <w:trHeight w:val="216"/>
        </w:trPr>
        <w:tc>
          <w:tcPr>
            <w:tcW w:w="5860" w:type="dxa"/>
            <w:vAlign w:val="bottom"/>
          </w:tcPr>
          <w:p>
            <w:pPr>
              <w:spacing w:after="0"/>
              <w:rPr>
                <w:sz w:val="20"/>
                <w:szCs w:val="20"/>
                <w:color w:val="auto"/>
              </w:rPr>
            </w:pPr>
            <w:r>
              <w:rPr>
                <w:rFonts w:ascii="Arial" w:cs="Arial" w:eastAsia="Arial" w:hAnsi="Arial"/>
                <w:sz w:val="18"/>
                <w:szCs w:val="18"/>
                <w:color w:val="auto"/>
              </w:rPr>
              <w:t>Net average amount outstanding</w:t>
            </w:r>
          </w:p>
        </w:tc>
        <w:tc>
          <w:tcPr>
            <w:tcW w:w="1940" w:type="dxa"/>
            <w:vAlign w:val="bottom"/>
            <w:gridSpan w:val="2"/>
          </w:tcPr>
          <w:p>
            <w:pPr>
              <w:jc w:val="right"/>
              <w:ind w:right="630"/>
              <w:spacing w:after="0"/>
              <w:rPr>
                <w:sz w:val="20"/>
                <w:szCs w:val="20"/>
                <w:color w:val="auto"/>
              </w:rPr>
            </w:pPr>
            <w:r>
              <w:rPr>
                <w:rFonts w:ascii="Arial" w:cs="Arial" w:eastAsia="Arial" w:hAnsi="Arial"/>
                <w:sz w:val="18"/>
                <w:szCs w:val="18"/>
                <w:color w:val="auto"/>
              </w:rPr>
              <w:t>$</w:t>
            </w:r>
          </w:p>
        </w:tc>
        <w:tc>
          <w:tcPr>
            <w:tcW w:w="640" w:type="dxa"/>
            <w:vAlign w:val="bottom"/>
          </w:tcPr>
          <w:p>
            <w:pPr>
              <w:jc w:val="right"/>
              <w:ind w:right="110"/>
              <w:spacing w:after="0"/>
              <w:rPr>
                <w:sz w:val="20"/>
                <w:szCs w:val="20"/>
                <w:color w:val="auto"/>
              </w:rPr>
            </w:pPr>
            <w:r>
              <w:rPr>
                <w:rFonts w:ascii="Arial" w:cs="Arial" w:eastAsia="Arial" w:hAnsi="Arial"/>
                <w:sz w:val="18"/>
                <w:szCs w:val="18"/>
                <w:color w:val="auto"/>
                <w:w w:val="93"/>
              </w:rPr>
              <w:t>1,478</w:t>
            </w:r>
          </w:p>
        </w:tc>
        <w:tc>
          <w:tcPr>
            <w:tcW w:w="320" w:type="dxa"/>
            <w:vAlign w:val="bottom"/>
          </w:tcPr>
          <w:p>
            <w:pPr>
              <w:jc w:val="right"/>
              <w:ind w:right="70"/>
              <w:spacing w:after="0"/>
              <w:rPr>
                <w:sz w:val="20"/>
                <w:szCs w:val="20"/>
                <w:color w:val="auto"/>
              </w:rPr>
            </w:pPr>
            <w:r>
              <w:rPr>
                <w:rFonts w:ascii="Arial" w:cs="Arial" w:eastAsia="Arial" w:hAnsi="Arial"/>
                <w:sz w:val="18"/>
                <w:szCs w:val="18"/>
                <w:color w:val="auto"/>
              </w:rPr>
              <w:t>$</w:t>
            </w:r>
          </w:p>
        </w:tc>
        <w:tc>
          <w:tcPr>
            <w:tcW w:w="1200" w:type="dxa"/>
            <w:vAlign w:val="bottom"/>
          </w:tcPr>
          <w:p>
            <w:pPr>
              <w:jc w:val="right"/>
              <w:ind w:right="130"/>
              <w:spacing w:after="0"/>
              <w:rPr>
                <w:sz w:val="20"/>
                <w:szCs w:val="20"/>
                <w:color w:val="auto"/>
              </w:rPr>
            </w:pPr>
            <w:r>
              <w:rPr>
                <w:rFonts w:ascii="Arial" w:cs="Arial" w:eastAsia="Arial" w:hAnsi="Arial"/>
                <w:sz w:val="18"/>
                <w:szCs w:val="18"/>
                <w:color w:val="auto"/>
              </w:rPr>
              <w:t>1,881</w:t>
            </w:r>
          </w:p>
        </w:tc>
        <w:tc>
          <w:tcPr>
            <w:tcW w:w="480" w:type="dxa"/>
            <w:vAlign w:val="bottom"/>
          </w:tcPr>
          <w:p>
            <w:pPr>
              <w:jc w:val="right"/>
              <w:ind w:right="25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1,589</w:t>
            </w:r>
          </w:p>
        </w:tc>
      </w:tr>
      <w:tr>
        <w:trPr>
          <w:trHeight w:val="216"/>
        </w:trPr>
        <w:tc>
          <w:tcPr>
            <w:tcW w:w="586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interest rate on average amount outstanding</w:t>
            </w:r>
          </w:p>
        </w:tc>
        <w:tc>
          <w:tcPr>
            <w:tcW w:w="11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3.43%</w:t>
            </w:r>
          </w:p>
        </w:tc>
        <w:tc>
          <w:tcPr>
            <w:tcW w:w="3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2.84%</w:t>
            </w:r>
          </w:p>
        </w:tc>
        <w:tc>
          <w:tcPr>
            <w:tcW w:w="4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2.65%</w:t>
            </w:r>
          </w:p>
        </w:tc>
      </w:tr>
      <w:tr>
        <w:trPr>
          <w:trHeight w:val="217"/>
        </w:trPr>
        <w:tc>
          <w:tcPr>
            <w:tcW w:w="5860" w:type="dxa"/>
            <w:vAlign w:val="bottom"/>
          </w:tcPr>
          <w:p>
            <w:pPr>
              <w:spacing w:after="0"/>
              <w:rPr>
                <w:sz w:val="20"/>
                <w:szCs w:val="20"/>
                <w:color w:val="auto"/>
              </w:rPr>
            </w:pPr>
            <w:r>
              <w:rPr>
                <w:rFonts w:ascii="Arial" w:cs="Arial" w:eastAsia="Arial" w:hAnsi="Arial"/>
                <w:sz w:val="18"/>
                <w:szCs w:val="18"/>
                <w:color w:val="auto"/>
              </w:rPr>
              <w:t>Weighted average interest rate on amount outstanding at year end</w:t>
            </w:r>
          </w:p>
        </w:tc>
        <w:tc>
          <w:tcPr>
            <w:tcW w:w="11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3.60%</w:t>
            </w:r>
          </w:p>
        </w:tc>
        <w:tc>
          <w:tcPr>
            <w:tcW w:w="3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2.98%</w:t>
            </w:r>
          </w:p>
        </w:tc>
        <w:tc>
          <w:tcPr>
            <w:tcW w:w="48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2.62%</w:t>
            </w:r>
          </w:p>
        </w:tc>
      </w:tr>
    </w:tbl>
    <w:p>
      <w:pPr>
        <w:ind w:left="340" w:hanging="332"/>
        <w:spacing w:after="0" w:line="186" w:lineRule="auto"/>
        <w:tabs>
          <w:tab w:leader="none" w:pos="340" w:val="left"/>
        </w:tabs>
        <w:numPr>
          <w:ilvl w:val="0"/>
          <w:numId w:val="45"/>
        </w:numPr>
        <w:rPr>
          <w:rFonts w:ascii="Arial" w:cs="Arial" w:eastAsia="Arial" w:hAnsi="Arial"/>
          <w:sz w:val="24"/>
          <w:szCs w:val="24"/>
          <w:color w:val="auto"/>
          <w:vertAlign w:val="superscript"/>
        </w:rPr>
      </w:pPr>
      <w:r>
        <w:rPr>
          <w:rFonts w:ascii="Arial" w:cs="Arial" w:eastAsia="Arial" w:hAnsi="Arial"/>
          <w:sz w:val="15"/>
          <w:szCs w:val="15"/>
          <w:color w:val="auto"/>
        </w:rPr>
        <w:t>Gross of prepaid commissions of $4.2 million, $5.1 million and $7.0 million as of December 31, 2017, 2016 and 2015, respectively.</w:t>
      </w:r>
    </w:p>
    <w:p>
      <w:pPr>
        <w:spacing w:after="0" w:line="203"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Global syndicated loans provide a vehicle to access new sources of financing. The last syndicated loan closed in March 2017 for $193 million, with focus on Asia, and was broadly oversubscribed. The maturity of the syndicated loan was extended up to four years. The lenders on the syndicated loan were a mix of the Bank’s existing lenders and new lenders from Japan, Taiwan, Korea and the U.S.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 February 2016, the Bank increased the amount and extended the maturity of its global syndicated loan previously launched in 2014. In April 2016, the Bank launched its third public issuance in Mexico in the amount of MXN1.5 billion (one and a half billion Mexican Pesos), and in June 2016, the Bank issued its first bond in the Tokyo Pro-bond market for the amount of JPY8 billion (eight billion Japanese Yen).</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70" w:name="page71"/>
    <w:bookmarkEnd w:id="70"/>
    <w:p>
      <w:pPr>
        <w:jc w:val="both"/>
        <w:spacing w:after="0" w:line="259" w:lineRule="auto"/>
        <w:rPr>
          <w:sz w:val="20"/>
          <w:szCs w:val="20"/>
          <w:color w:val="auto"/>
        </w:rPr>
      </w:pPr>
      <w:r>
        <w:rPr>
          <w:rFonts w:ascii="Arial" w:cs="Arial" w:eastAsia="Arial" w:hAnsi="Arial"/>
          <w:sz w:val="18"/>
          <w:szCs w:val="18"/>
          <w:color w:val="auto"/>
        </w:rPr>
        <w:t>On September 2, 2015, the Bank announced the successful closing of a $175 million three-year syndicated loan. The facility consisted of two tranches: a two-year extension of Bladex’s $103 million syndicated loan previously arranged in 2013 and a $72 million three-year tranche of funding provided by new lenders. Banks from Japan, Taiwan and China participated in the transaction as arrangers and lead arrangers as well, further enhancing the Bank’s presence in Asian markets.</w:t>
      </w:r>
    </w:p>
    <w:p>
      <w:pPr>
        <w:spacing w:after="0" w:line="187"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Some borrowing agreements include various events of default and covenants related to minimum capital adequacy ratios, incurrence of additional liens, and asset sales, as well as other customary covenants, representations and warranties. As of December 31, 2017, the Bank was in compliance with all covenants.</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Debt Capital Markets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Program in Mexico</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 xml:space="preserve">In 2012, the Bank established a short- and long-term notes program (“Mexico Program”) in the Mexican local market, registered with “Mexican National Registry of Securities” </w:t>
      </w:r>
      <w:r>
        <w:rPr>
          <w:rFonts w:ascii="Arial" w:cs="Arial" w:eastAsia="Arial" w:hAnsi="Arial"/>
          <w:sz w:val="18"/>
          <w:szCs w:val="18"/>
          <w:i w:val="1"/>
          <w:iCs w:val="1"/>
          <w:color w:val="auto"/>
        </w:rPr>
        <w:t>(Registro Nacional de Valores)</w:t>
      </w:r>
      <w:r>
        <w:rPr>
          <w:rFonts w:ascii="Arial" w:cs="Arial" w:eastAsia="Arial" w:hAnsi="Arial"/>
          <w:sz w:val="18"/>
          <w:szCs w:val="18"/>
          <w:color w:val="auto"/>
        </w:rPr>
        <w:t xml:space="preserve"> maintained by the “National Banking and Securities Commission” </w:t>
      </w:r>
      <w:r>
        <w:rPr>
          <w:rFonts w:ascii="Arial" w:cs="Arial" w:eastAsia="Arial" w:hAnsi="Arial"/>
          <w:sz w:val="18"/>
          <w:szCs w:val="18"/>
          <w:i w:val="1"/>
          <w:iCs w:val="1"/>
          <w:color w:val="auto"/>
        </w:rPr>
        <w:t>(Comisión Nacional Bancaria y de</w:t>
      </w:r>
      <w:r>
        <w:rPr>
          <w:rFonts w:ascii="Arial" w:cs="Arial" w:eastAsia="Arial" w:hAnsi="Arial"/>
          <w:sz w:val="18"/>
          <w:szCs w:val="18"/>
          <w:color w:val="auto"/>
        </w:rPr>
        <w:t xml:space="preserve"> </w:t>
      </w:r>
      <w:r>
        <w:rPr>
          <w:rFonts w:ascii="Arial" w:cs="Arial" w:eastAsia="Arial" w:hAnsi="Arial"/>
          <w:sz w:val="18"/>
          <w:szCs w:val="18"/>
          <w:i w:val="1"/>
          <w:iCs w:val="1"/>
          <w:color w:val="auto"/>
        </w:rPr>
        <w:t xml:space="preserve">Valores), </w:t>
      </w:r>
      <w:r>
        <w:rPr>
          <w:rFonts w:ascii="Arial" w:cs="Arial" w:eastAsia="Arial" w:hAnsi="Arial"/>
          <w:sz w:val="18"/>
          <w:szCs w:val="18"/>
          <w:color w:val="auto"/>
        </w:rPr>
        <w:t>for an authorized aggregate principal amount of 10 billion Mexican Pesos or its equivalent in “Investment Unit”</w:t>
      </w:r>
      <w:r>
        <w:rPr>
          <w:rFonts w:ascii="Arial" w:cs="Arial" w:eastAsia="Arial" w:hAnsi="Arial"/>
          <w:sz w:val="18"/>
          <w:szCs w:val="18"/>
          <w:i w:val="1"/>
          <w:iCs w:val="1"/>
          <w:color w:val="auto"/>
        </w:rPr>
        <w:t xml:space="preserve"> (Unidades de Inversión), </w:t>
      </w:r>
      <w:r>
        <w:rPr>
          <w:rFonts w:ascii="Arial" w:cs="Arial" w:eastAsia="Arial" w:hAnsi="Arial"/>
          <w:sz w:val="18"/>
          <w:szCs w:val="18"/>
          <w:color w:val="auto"/>
        </w:rPr>
        <w:t>U.S.</w:t>
      </w:r>
      <w:r>
        <w:rPr>
          <w:rFonts w:ascii="Arial" w:cs="Arial" w:eastAsia="Arial" w:hAnsi="Arial"/>
          <w:sz w:val="18"/>
          <w:szCs w:val="18"/>
          <w:i w:val="1"/>
          <w:iCs w:val="1"/>
          <w:color w:val="auto"/>
        </w:rPr>
        <w:t xml:space="preserve"> </w:t>
      </w:r>
      <w:r>
        <w:rPr>
          <w:rFonts w:ascii="Arial" w:cs="Arial" w:eastAsia="Arial" w:hAnsi="Arial"/>
          <w:sz w:val="18"/>
          <w:szCs w:val="18"/>
          <w:color w:val="auto"/>
        </w:rPr>
        <w:t>dollars or Euros and with maturities from one day to 30 years. As of December 31, 2017, the total amount outstanding under this program comprised of two issuances of “certificados bursátiles” in the Mexican capital markets: Bladex14 in the principal amount of MXN2.0 billion (two billion Mexican Pesos) issued in July 2014 and matured in January 2018, and Bladex16 in the principal amount of MXN1.5 billion (one and a half billion Mexican Pesos) issued in April 2016 and due in April 2019.</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Euro Medium Term Note Program</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has established a Euro Medium-Term Note Program, which is primarily targeted at non-bank institutional investors and includes multiple placements with short-, medium-, and long-term tenors.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During 2017, the Bank issued $59 million in new private placements; and as of December 31, 2017, private issuances through its Euro Medium-Term Note Program amounted to $142 million, placed in Asia, Europe and Latin America. In addition, the Bank has one outstanding bond issued pursuant to Rule 144A/Regulation S, in a total principal amount of $350 million as of December 31, 2017, and due in May 2020.</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Tokyo Pro-Bond Program</w:t>
      </w:r>
    </w:p>
    <w:p>
      <w:pPr>
        <w:spacing w:after="0" w:line="225" w:lineRule="exact"/>
        <w:rPr>
          <w:sz w:val="20"/>
          <w:szCs w:val="20"/>
          <w:color w:val="auto"/>
        </w:rPr>
      </w:pPr>
    </w:p>
    <w:p>
      <w:pPr>
        <w:jc w:val="both"/>
        <w:ind w:right="20"/>
        <w:spacing w:after="0" w:line="286" w:lineRule="auto"/>
        <w:rPr>
          <w:sz w:val="20"/>
          <w:szCs w:val="20"/>
          <w:color w:val="auto"/>
        </w:rPr>
      </w:pPr>
      <w:r>
        <w:rPr>
          <w:rFonts w:ascii="Arial" w:cs="Arial" w:eastAsia="Arial" w:hAnsi="Arial"/>
          <w:sz w:val="17"/>
          <w:szCs w:val="17"/>
          <w:color w:val="auto"/>
        </w:rPr>
        <w:t>In October 2015, the Euro Medium-Term Note Program was listed on the Tokyo Stock Exchange under the Tokyo Pro-Bond Market. This market offers the possibility of flexible and timely issuances of bonds to a broad base of Japanese investors. The Bank was successful at placing its first public issuance listed on this market on June 9, 2016 in a principal amount of JPY8 billion (eight billion Japanese Yen), maturing on June 10, 2019.</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Cost and Maturity Profile of Borrowed Funds and Floating-Rate and Fixed-Rate Placements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certain information regarding the weighted average cost and the remaining maturities of the Bank’s gross borrowed funds and floating and fixed-rate placements as of December 31, 2017:</w:t>
      </w:r>
    </w:p>
    <w:p>
      <w:pPr>
        <w:spacing w:after="0" w:line="96" w:lineRule="exact"/>
        <w:rPr>
          <w:sz w:val="20"/>
          <w:szCs w:val="20"/>
          <w:color w:val="auto"/>
        </w:rPr>
      </w:pPr>
    </w:p>
    <w:tbl>
      <w:tblPr>
        <w:tblLayout w:type="fixed"/>
        <w:tblInd w:w="0" w:type="dxa"/>
        <w:tblCellMar>
          <w:top w:w="0" w:type="dxa"/>
          <w:left w:w="0" w:type="dxa"/>
          <w:bottom w:w="0" w:type="dxa"/>
          <w:right w:w="0" w:type="dxa"/>
        </w:tblCellMar>
      </w:tblPr>
      <w:tr>
        <w:trPr>
          <w:trHeight w:val="345"/>
        </w:trPr>
        <w:tc>
          <w:tcPr>
            <w:tcW w:w="4380" w:type="dxa"/>
            <w:vAlign w:val="bottom"/>
          </w:tcPr>
          <w:p>
            <w:pPr>
              <w:spacing w:after="0"/>
              <w:rPr>
                <w:sz w:val="24"/>
                <w:szCs w:val="24"/>
                <w:color w:val="auto"/>
              </w:rPr>
            </w:pPr>
          </w:p>
        </w:tc>
        <w:tc>
          <w:tcPr>
            <w:tcW w:w="3600" w:type="dxa"/>
            <w:vAlign w:val="bottom"/>
          </w:tcPr>
          <w:p>
            <w:pPr>
              <w:spacing w:after="0"/>
              <w:rPr>
                <w:sz w:val="24"/>
                <w:szCs w:val="24"/>
                <w:color w:val="auto"/>
              </w:rPr>
            </w:pPr>
          </w:p>
        </w:tc>
        <w:tc>
          <w:tcPr>
            <w:tcW w:w="1340" w:type="dxa"/>
            <w:vAlign w:val="bottom"/>
            <w:gridSpan w:val="3"/>
          </w:tcPr>
          <w:p>
            <w:pPr>
              <w:ind w:left="200"/>
              <w:spacing w:after="0"/>
              <w:rPr>
                <w:sz w:val="20"/>
                <w:szCs w:val="20"/>
                <w:color w:val="auto"/>
              </w:rPr>
            </w:pPr>
            <w:r>
              <w:rPr>
                <w:rFonts w:ascii="Arial" w:cs="Arial" w:eastAsia="Arial" w:hAnsi="Arial"/>
                <w:sz w:val="18"/>
                <w:szCs w:val="18"/>
                <w:b w:val="1"/>
                <w:bCs w:val="1"/>
                <w:color w:val="auto"/>
              </w:rPr>
              <w:t xml:space="preserve">Amount </w:t>
            </w:r>
            <w:r>
              <w:rPr>
                <w:rFonts w:ascii="Arial" w:cs="Arial" w:eastAsia="Arial" w:hAnsi="Arial"/>
                <w:sz w:val="30"/>
                <w:szCs w:val="30"/>
                <w:b w:val="1"/>
                <w:bCs w:val="1"/>
                <w:color w:val="auto"/>
                <w:vertAlign w:val="superscript"/>
              </w:rPr>
              <w:t>(*)</w:t>
            </w:r>
          </w:p>
        </w:tc>
        <w:tc>
          <w:tcPr>
            <w:tcW w:w="2100" w:type="dxa"/>
            <w:vAlign w:val="bottom"/>
            <w:gridSpan w:val="3"/>
          </w:tcPr>
          <w:p>
            <w:pPr>
              <w:ind w:left="120"/>
              <w:spacing w:after="0"/>
              <w:rPr>
                <w:sz w:val="20"/>
                <w:szCs w:val="20"/>
                <w:color w:val="auto"/>
              </w:rPr>
            </w:pPr>
            <w:r>
              <w:rPr>
                <w:rFonts w:ascii="Arial" w:cs="Arial" w:eastAsia="Arial" w:hAnsi="Arial"/>
                <w:sz w:val="18"/>
                <w:szCs w:val="18"/>
                <w:b w:val="1"/>
                <w:bCs w:val="1"/>
                <w:color w:val="auto"/>
                <w:w w:val="96"/>
              </w:rPr>
              <w:t>Weighted Average Cost</w:t>
            </w:r>
          </w:p>
        </w:tc>
        <w:tc>
          <w:tcPr>
            <w:tcW w:w="0" w:type="dxa"/>
            <w:vAlign w:val="bottom"/>
          </w:tcPr>
          <w:p>
            <w:pPr>
              <w:spacing w:after="0"/>
              <w:rPr>
                <w:sz w:val="1"/>
                <w:szCs w:val="1"/>
                <w:color w:val="auto"/>
              </w:rPr>
            </w:pPr>
          </w:p>
        </w:tc>
      </w:tr>
      <w:tr>
        <w:trPr>
          <w:trHeight w:val="210"/>
        </w:trPr>
        <w:tc>
          <w:tcPr>
            <w:tcW w:w="4380" w:type="dxa"/>
            <w:vAlign w:val="bottom"/>
          </w:tcPr>
          <w:p>
            <w:pPr>
              <w:spacing w:after="0"/>
              <w:rPr>
                <w:sz w:val="18"/>
                <w:szCs w:val="18"/>
                <w:color w:val="auto"/>
              </w:rPr>
            </w:pPr>
          </w:p>
        </w:tc>
        <w:tc>
          <w:tcPr>
            <w:tcW w:w="3600" w:type="dxa"/>
            <w:vAlign w:val="bottom"/>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(in $</w:t>
            </w:r>
          </w:p>
        </w:tc>
        <w:tc>
          <w:tcPr>
            <w:tcW w:w="2520" w:type="dxa"/>
            <w:vAlign w:val="bottom"/>
            <w:tcBorders>
              <w:top w:val="single" w:sz="8" w:color="auto"/>
            </w:tcBorders>
            <w:gridSpan w:val="4"/>
          </w:tcPr>
          <w:p>
            <w:pPr>
              <w:ind w:left="20"/>
              <w:spacing w:after="0"/>
              <w:rPr>
                <w:sz w:val="20"/>
                <w:szCs w:val="20"/>
                <w:color w:val="auto"/>
              </w:rPr>
            </w:pPr>
            <w:r>
              <w:rPr>
                <w:rFonts w:ascii="Arial" w:cs="Arial" w:eastAsia="Arial" w:hAnsi="Arial"/>
                <w:sz w:val="18"/>
                <w:szCs w:val="18"/>
                <w:b w:val="1"/>
                <w:bCs w:val="1"/>
                <w:color w:val="auto"/>
              </w:rPr>
              <w:t>millions, except percentage)</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at fixed interest rate</w:t>
            </w:r>
          </w:p>
        </w:tc>
        <w:tc>
          <w:tcPr>
            <w:tcW w:w="36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80" w:type="dxa"/>
            <w:vAlign w:val="bottom"/>
          </w:tcPr>
          <w:p>
            <w:pPr>
              <w:spacing w:after="0"/>
              <w:rPr>
                <w:sz w:val="20"/>
                <w:szCs w:val="20"/>
                <w:color w:val="auto"/>
              </w:rPr>
            </w:pPr>
            <w:r>
              <w:rPr>
                <w:rFonts w:ascii="Arial" w:cs="Arial" w:eastAsia="Arial" w:hAnsi="Arial"/>
                <w:sz w:val="18"/>
                <w:szCs w:val="18"/>
                <w:color w:val="auto"/>
              </w:rPr>
              <w:t>Due in 0 to 30 days</w:t>
            </w:r>
          </w:p>
        </w:tc>
        <w:tc>
          <w:tcPr>
            <w:tcW w:w="4340" w:type="dxa"/>
            <w:vAlign w:val="bottom"/>
            <w:gridSpan w:val="2"/>
          </w:tcPr>
          <w:p>
            <w:pPr>
              <w:jc w:val="right"/>
              <w:ind w:right="550"/>
              <w:spacing w:after="0"/>
              <w:rPr>
                <w:sz w:val="20"/>
                <w:szCs w:val="20"/>
                <w:color w:val="auto"/>
              </w:rPr>
            </w:pPr>
            <w:r>
              <w:rPr>
                <w:rFonts w:ascii="Arial" w:cs="Arial" w:eastAsia="Arial" w:hAnsi="Arial"/>
                <w:sz w:val="18"/>
                <w:szCs w:val="18"/>
                <w:color w:val="auto"/>
              </w:rPr>
              <w:t>$</w:t>
            </w: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248</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1.82%</w:t>
            </w:r>
          </w:p>
        </w:tc>
        <w:tc>
          <w:tcPr>
            <w:tcW w:w="0" w:type="dxa"/>
            <w:vAlign w:val="bottom"/>
          </w:tcPr>
          <w:p>
            <w:pPr>
              <w:spacing w:after="0"/>
              <w:rPr>
                <w:sz w:val="1"/>
                <w:szCs w:val="1"/>
                <w:color w:val="auto"/>
              </w:rPr>
            </w:pPr>
          </w:p>
        </w:tc>
      </w:tr>
      <w:tr>
        <w:trPr>
          <w:trHeight w:val="216"/>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36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106</w:t>
            </w: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2.21%</w:t>
            </w:r>
          </w:p>
        </w:tc>
        <w:tc>
          <w:tcPr>
            <w:tcW w:w="0" w:type="dxa"/>
            <w:vAlign w:val="bottom"/>
          </w:tcPr>
          <w:p>
            <w:pPr>
              <w:spacing w:after="0"/>
              <w:rPr>
                <w:sz w:val="1"/>
                <w:szCs w:val="1"/>
                <w:color w:val="auto"/>
              </w:rPr>
            </w:pPr>
          </w:p>
        </w:tc>
      </w:tr>
      <w:tr>
        <w:trPr>
          <w:trHeight w:val="216"/>
        </w:trPr>
        <w:tc>
          <w:tcPr>
            <w:tcW w:w="4380" w:type="dxa"/>
            <w:vAlign w:val="bottom"/>
          </w:tcPr>
          <w:p>
            <w:pPr>
              <w:spacing w:after="0"/>
              <w:rPr>
                <w:sz w:val="20"/>
                <w:szCs w:val="20"/>
                <w:color w:val="auto"/>
              </w:rPr>
            </w:pPr>
            <w:r>
              <w:rPr>
                <w:rFonts w:ascii="Arial" w:cs="Arial" w:eastAsia="Arial" w:hAnsi="Arial"/>
                <w:sz w:val="18"/>
                <w:szCs w:val="18"/>
                <w:color w:val="auto"/>
              </w:rPr>
              <w:t>Due in 91 to 180 days</w:t>
            </w:r>
          </w:p>
        </w:tc>
        <w:tc>
          <w:tcPr>
            <w:tcW w:w="36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r>
        <w:trPr>
          <w:trHeight w:val="230"/>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360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color w:val="auto"/>
                <w:w w:val="93"/>
              </w:rPr>
              <w:t>1.95%</w:t>
            </w:r>
          </w:p>
        </w:tc>
        <w:tc>
          <w:tcPr>
            <w:tcW w:w="0" w:type="dxa"/>
            <w:vAlign w:val="bottom"/>
          </w:tcPr>
          <w:p>
            <w:pPr>
              <w:spacing w:after="0"/>
              <w:rPr>
                <w:sz w:val="1"/>
                <w:szCs w:val="1"/>
                <w:color w:val="auto"/>
              </w:rPr>
            </w:pPr>
          </w:p>
        </w:tc>
      </w:tr>
      <w:tr>
        <w:trPr>
          <w:trHeight w:val="20"/>
        </w:trPr>
        <w:tc>
          <w:tcPr>
            <w:tcW w:w="43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3600" w:type="dxa"/>
            <w:vAlign w:val="bottom"/>
            <w:vMerge w:val="restart"/>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8"/>
        </w:trPr>
        <w:tc>
          <w:tcPr>
            <w:tcW w:w="4380" w:type="dxa"/>
            <w:vAlign w:val="bottom"/>
            <w:vMerge w:val="continue"/>
          </w:tcPr>
          <w:p>
            <w:pPr>
              <w:spacing w:after="0"/>
              <w:rPr>
                <w:sz w:val="19"/>
                <w:szCs w:val="19"/>
                <w:color w:val="auto"/>
              </w:rPr>
            </w:pPr>
          </w:p>
        </w:tc>
        <w:tc>
          <w:tcPr>
            <w:tcW w:w="3600" w:type="dxa"/>
            <w:vAlign w:val="bottom"/>
            <w:vMerge w:val="continue"/>
          </w:tcPr>
          <w:p>
            <w:pPr>
              <w:spacing w:after="0"/>
              <w:rPr>
                <w:sz w:val="19"/>
                <w:szCs w:val="19"/>
                <w:color w:val="auto"/>
              </w:rPr>
            </w:pPr>
          </w:p>
        </w:tc>
        <w:tc>
          <w:tcPr>
            <w:tcW w:w="740" w:type="dxa"/>
            <w:vAlign w:val="bottom"/>
          </w:tcPr>
          <w:p>
            <w:pPr>
              <w:jc w:val="right"/>
              <w:ind w:right="550"/>
              <w:spacing w:after="0"/>
              <w:rPr>
                <w:sz w:val="20"/>
                <w:szCs w:val="20"/>
                <w:color w:val="auto"/>
              </w:rPr>
            </w:pPr>
            <w:r>
              <w:rPr>
                <w:rFonts w:ascii="Arial" w:cs="Arial" w:eastAsia="Arial" w:hAnsi="Arial"/>
                <w:sz w:val="18"/>
                <w:szCs w:val="18"/>
                <w:b w:val="1"/>
                <w:bCs w:val="1"/>
                <w:color w:val="auto"/>
                <w:w w:val="79"/>
              </w:rPr>
              <w:t>$</w:t>
            </w:r>
          </w:p>
        </w:tc>
        <w:tc>
          <w:tcPr>
            <w:tcW w:w="500" w:type="dxa"/>
            <w:vAlign w:val="bottom"/>
          </w:tcPr>
          <w:p>
            <w:pPr>
              <w:jc w:val="right"/>
              <w:spacing w:after="0"/>
              <w:rPr>
                <w:sz w:val="20"/>
                <w:szCs w:val="20"/>
                <w:color w:val="auto"/>
              </w:rPr>
            </w:pPr>
            <w:r>
              <w:rPr>
                <w:rFonts w:ascii="Arial" w:cs="Arial" w:eastAsia="Arial" w:hAnsi="Arial"/>
                <w:sz w:val="18"/>
                <w:szCs w:val="18"/>
                <w:b w:val="1"/>
                <w:bCs w:val="1"/>
                <w:color w:val="auto"/>
              </w:rPr>
              <w:t>429</w:t>
            </w:r>
          </w:p>
        </w:tc>
        <w:tc>
          <w:tcPr>
            <w:tcW w:w="100" w:type="dxa"/>
            <w:vAlign w:val="bottom"/>
            <w:vMerge w:val="continue"/>
          </w:tcPr>
          <w:p>
            <w:pPr>
              <w:spacing w:after="0"/>
              <w:rPr>
                <w:sz w:val="19"/>
                <w:szCs w:val="19"/>
                <w:color w:val="auto"/>
              </w:rPr>
            </w:pPr>
          </w:p>
        </w:tc>
        <w:tc>
          <w:tcPr>
            <w:tcW w:w="120" w:type="dxa"/>
            <w:vAlign w:val="bottom"/>
            <w:vMerge w:val="continue"/>
          </w:tcPr>
          <w:p>
            <w:pPr>
              <w:spacing w:after="0"/>
              <w:rPr>
                <w:sz w:val="19"/>
                <w:szCs w:val="19"/>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b w:val="1"/>
                <w:bCs w:val="1"/>
                <w:color w:val="auto"/>
                <w:w w:val="93"/>
              </w:rPr>
              <w:t>1.94%</w:t>
            </w:r>
          </w:p>
        </w:tc>
        <w:tc>
          <w:tcPr>
            <w:tcW w:w="0" w:type="dxa"/>
            <w:vAlign w:val="bottom"/>
          </w:tcPr>
          <w:p>
            <w:pPr>
              <w:spacing w:after="0"/>
              <w:rPr>
                <w:sz w:val="1"/>
                <w:szCs w:val="1"/>
                <w:color w:val="auto"/>
              </w:rPr>
            </w:pPr>
          </w:p>
        </w:tc>
      </w:tr>
      <w:tr>
        <w:trPr>
          <w:trHeight w:val="630"/>
        </w:trPr>
        <w:tc>
          <w:tcPr>
            <w:tcW w:w="4380" w:type="dxa"/>
            <w:vAlign w:val="bottom"/>
            <w:tcBorders>
              <w:bottom w:val="single" w:sz="8" w:color="auto"/>
            </w:tcBorders>
          </w:tcPr>
          <w:p>
            <w:pPr>
              <w:spacing w:after="0"/>
              <w:rPr>
                <w:sz w:val="24"/>
                <w:szCs w:val="24"/>
                <w:color w:val="auto"/>
              </w:rPr>
            </w:pPr>
          </w:p>
        </w:tc>
        <w:tc>
          <w:tcPr>
            <w:tcW w:w="3600" w:type="dxa"/>
            <w:vAlign w:val="bottom"/>
            <w:tcBorders>
              <w:bottom w:val="single" w:sz="8" w:color="auto"/>
            </w:tcBorders>
          </w:tcPr>
          <w:p>
            <w:pPr>
              <w:jc w:val="right"/>
              <w:ind w:right="2070"/>
              <w:spacing w:after="0"/>
              <w:rPr>
                <w:sz w:val="20"/>
                <w:szCs w:val="20"/>
                <w:color w:val="auto"/>
              </w:rPr>
            </w:pPr>
            <w:r>
              <w:rPr>
                <w:rFonts w:ascii="Arial" w:cs="Arial" w:eastAsia="Arial" w:hAnsi="Arial"/>
                <w:sz w:val="18"/>
                <w:szCs w:val="18"/>
                <w:color w:val="auto"/>
              </w:rPr>
              <w:t>68</w:t>
            </w:r>
          </w:p>
        </w:tc>
        <w:tc>
          <w:tcPr>
            <w:tcW w:w="74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9" w:right="239" w:bottom="1440" w:gutter="0" w:footer="0" w:header="0"/>
        </w:sectPr>
      </w:pPr>
    </w:p>
    <w:bookmarkStart w:id="71" w:name="page72"/>
    <w:bookmarkEnd w:id="71"/>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45"/>
        </w:trPr>
        <w:tc>
          <w:tcPr>
            <w:tcW w:w="20" w:type="dxa"/>
            <w:vAlign w:val="bottom"/>
          </w:tcPr>
          <w:p>
            <w:pPr>
              <w:spacing w:after="0"/>
              <w:rPr>
                <w:sz w:val="24"/>
                <w:szCs w:val="24"/>
                <w:color w:val="auto"/>
              </w:rPr>
            </w:pPr>
          </w:p>
        </w:tc>
        <w:tc>
          <w:tcPr>
            <w:tcW w:w="608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1340" w:type="dxa"/>
            <w:vAlign w:val="bottom"/>
            <w:gridSpan w:val="3"/>
          </w:tcPr>
          <w:p>
            <w:pPr>
              <w:ind w:left="200"/>
              <w:spacing w:after="0"/>
              <w:rPr>
                <w:sz w:val="20"/>
                <w:szCs w:val="20"/>
                <w:color w:val="auto"/>
              </w:rPr>
            </w:pPr>
            <w:r>
              <w:rPr>
                <w:rFonts w:ascii="Arial" w:cs="Arial" w:eastAsia="Arial" w:hAnsi="Arial"/>
                <w:sz w:val="18"/>
                <w:szCs w:val="18"/>
                <w:b w:val="1"/>
                <w:bCs w:val="1"/>
                <w:color w:val="auto"/>
              </w:rPr>
              <w:t xml:space="preserve">Amount </w:t>
            </w:r>
            <w:r>
              <w:rPr>
                <w:rFonts w:ascii="Arial" w:cs="Arial" w:eastAsia="Arial" w:hAnsi="Arial"/>
                <w:sz w:val="30"/>
                <w:szCs w:val="30"/>
                <w:b w:val="1"/>
                <w:bCs w:val="1"/>
                <w:color w:val="auto"/>
                <w:vertAlign w:val="superscript"/>
              </w:rPr>
              <w:t>(*)</w:t>
            </w:r>
          </w:p>
        </w:tc>
        <w:tc>
          <w:tcPr>
            <w:tcW w:w="2100" w:type="dxa"/>
            <w:vAlign w:val="bottom"/>
            <w:gridSpan w:val="3"/>
          </w:tcPr>
          <w:p>
            <w:pPr>
              <w:ind w:left="120"/>
              <w:spacing w:after="0"/>
              <w:rPr>
                <w:sz w:val="20"/>
                <w:szCs w:val="20"/>
                <w:color w:val="auto"/>
              </w:rPr>
            </w:pPr>
            <w:r>
              <w:rPr>
                <w:rFonts w:ascii="Arial" w:cs="Arial" w:eastAsia="Arial" w:hAnsi="Arial"/>
                <w:sz w:val="18"/>
                <w:szCs w:val="18"/>
                <w:b w:val="1"/>
                <w:bCs w:val="1"/>
                <w:color w:val="auto"/>
                <w:w w:val="96"/>
              </w:rPr>
              <w:t>Weighted Average Cost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(in $</w:t>
            </w:r>
          </w:p>
        </w:tc>
        <w:tc>
          <w:tcPr>
            <w:tcW w:w="2520" w:type="dxa"/>
            <w:vAlign w:val="bottom"/>
            <w:tcBorders>
              <w:top w:val="single" w:sz="8" w:color="auto"/>
            </w:tcBorders>
            <w:gridSpan w:val="4"/>
          </w:tcPr>
          <w:p>
            <w:pPr>
              <w:ind w:left="20"/>
              <w:spacing w:after="0"/>
              <w:rPr>
                <w:sz w:val="20"/>
                <w:szCs w:val="20"/>
                <w:color w:val="auto"/>
              </w:rPr>
            </w:pPr>
            <w:r>
              <w:rPr>
                <w:rFonts w:ascii="Arial" w:cs="Arial" w:eastAsia="Arial" w:hAnsi="Arial"/>
                <w:sz w:val="18"/>
                <w:szCs w:val="18"/>
                <w:b w:val="1"/>
                <w:bCs w:val="1"/>
                <w:color w:val="auto"/>
              </w:rPr>
              <w:t>millions, except percentage)</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at floating interest rate</w:t>
            </w: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0 to 30 days</w:t>
            </w:r>
          </w:p>
        </w:tc>
        <w:tc>
          <w:tcPr>
            <w:tcW w:w="2620" w:type="dxa"/>
            <w:vAlign w:val="bottom"/>
            <w:gridSpan w:val="2"/>
          </w:tcPr>
          <w:p>
            <w:pPr>
              <w:jc w:val="right"/>
              <w:ind w:right="550"/>
              <w:spacing w:after="0"/>
              <w:rPr>
                <w:sz w:val="20"/>
                <w:szCs w:val="20"/>
                <w:color w:val="auto"/>
              </w:rPr>
            </w:pPr>
            <w:r>
              <w:rPr>
                <w:rFonts w:ascii="Arial" w:cs="Arial" w:eastAsia="Arial" w:hAnsi="Arial"/>
                <w:sz w:val="18"/>
                <w:szCs w:val="18"/>
                <w:color w:val="auto"/>
              </w:rPr>
              <w:t>$</w:t>
            </w: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8</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7.85%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285</w:t>
            </w: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2.09%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91 to 180 days</w:t>
            </w:r>
          </w:p>
        </w:tc>
        <w:tc>
          <w:tcPr>
            <w:tcW w:w="18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138</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1.90%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188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202</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color w:val="auto"/>
                <w:w w:val="93"/>
              </w:rPr>
              <w:t>1.88%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1880" w:type="dxa"/>
            <w:vAlign w:val="bottom"/>
            <w:vMerge w:val="restart"/>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vMerge w:val="continue"/>
          </w:tcPr>
          <w:p>
            <w:pPr>
              <w:spacing w:after="0"/>
              <w:rPr>
                <w:sz w:val="18"/>
                <w:szCs w:val="18"/>
                <w:color w:val="auto"/>
              </w:rPr>
            </w:pPr>
          </w:p>
        </w:tc>
        <w:tc>
          <w:tcPr>
            <w:tcW w:w="1880" w:type="dxa"/>
            <w:vAlign w:val="bottom"/>
            <w:vMerge w:val="continue"/>
          </w:tcPr>
          <w:p>
            <w:pPr>
              <w:spacing w:after="0"/>
              <w:rPr>
                <w:sz w:val="18"/>
                <w:szCs w:val="18"/>
                <w:color w:val="auto"/>
              </w:rPr>
            </w:pPr>
          </w:p>
        </w:tc>
        <w:tc>
          <w:tcPr>
            <w:tcW w:w="740" w:type="dxa"/>
            <w:vAlign w:val="bottom"/>
          </w:tcPr>
          <w:p>
            <w:pPr>
              <w:jc w:val="right"/>
              <w:ind w:right="550"/>
              <w:spacing w:after="0"/>
              <w:rPr>
                <w:sz w:val="20"/>
                <w:szCs w:val="20"/>
                <w:color w:val="auto"/>
              </w:rPr>
            </w:pPr>
            <w:r>
              <w:rPr>
                <w:rFonts w:ascii="Arial" w:cs="Arial" w:eastAsia="Arial" w:hAnsi="Arial"/>
                <w:sz w:val="18"/>
                <w:szCs w:val="18"/>
                <w:b w:val="1"/>
                <w:bCs w:val="1"/>
                <w:color w:val="auto"/>
                <w:w w:val="79"/>
              </w:rPr>
              <w:t>$</w:t>
            </w:r>
          </w:p>
        </w:tc>
        <w:tc>
          <w:tcPr>
            <w:tcW w:w="500" w:type="dxa"/>
            <w:vAlign w:val="bottom"/>
          </w:tcPr>
          <w:p>
            <w:pPr>
              <w:jc w:val="right"/>
              <w:spacing w:after="0"/>
              <w:rPr>
                <w:sz w:val="20"/>
                <w:szCs w:val="20"/>
                <w:color w:val="auto"/>
              </w:rPr>
            </w:pPr>
            <w:r>
              <w:rPr>
                <w:rFonts w:ascii="Arial" w:cs="Arial" w:eastAsia="Arial" w:hAnsi="Arial"/>
                <w:sz w:val="18"/>
                <w:szCs w:val="18"/>
                <w:b w:val="1"/>
                <w:bCs w:val="1"/>
                <w:color w:val="auto"/>
              </w:rPr>
              <w:t>633</w:t>
            </w:r>
          </w:p>
        </w:tc>
        <w:tc>
          <w:tcPr>
            <w:tcW w:w="100" w:type="dxa"/>
            <w:vAlign w:val="bottom"/>
            <w:vMerge w:val="continue"/>
          </w:tcPr>
          <w:p>
            <w:pPr>
              <w:spacing w:after="0"/>
              <w:rPr>
                <w:sz w:val="18"/>
                <w:szCs w:val="18"/>
                <w:color w:val="auto"/>
              </w:rPr>
            </w:pPr>
          </w:p>
        </w:tc>
        <w:tc>
          <w:tcPr>
            <w:tcW w:w="120" w:type="dxa"/>
            <w:vAlign w:val="bottom"/>
            <w:vMerge w:val="continue"/>
          </w:tcPr>
          <w:p>
            <w:pPr>
              <w:spacing w:after="0"/>
              <w:rPr>
                <w:sz w:val="18"/>
                <w:szCs w:val="18"/>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b w:val="1"/>
                <w:bCs w:val="1"/>
                <w:color w:val="auto"/>
                <w:w w:val="93"/>
              </w:rPr>
              <w:t>2.05%</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08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Short-term fixed-rate placements</w:t>
            </w:r>
          </w:p>
        </w:tc>
        <w:tc>
          <w:tcPr>
            <w:tcW w:w="18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0 to 30 days</w:t>
            </w:r>
          </w:p>
        </w:tc>
        <w:tc>
          <w:tcPr>
            <w:tcW w:w="1880" w:type="dxa"/>
            <w:vAlign w:val="bottom"/>
            <w:shd w:val="clear" w:color="auto" w:fill="CCEEFF"/>
          </w:tcPr>
          <w:p>
            <w:pPr>
              <w:spacing w:after="0"/>
              <w:rPr>
                <w:sz w:val="19"/>
                <w:szCs w:val="19"/>
                <w:color w:val="auto"/>
              </w:rPr>
            </w:pPr>
          </w:p>
        </w:tc>
        <w:tc>
          <w:tcPr>
            <w:tcW w:w="740" w:type="dxa"/>
            <w:vAlign w:val="bottom"/>
            <w:shd w:val="clear" w:color="auto" w:fill="CCEEFF"/>
          </w:tcPr>
          <w:p>
            <w:pPr>
              <w:jc w:val="right"/>
              <w:ind w:right="550"/>
              <w:spacing w:after="0"/>
              <w:rPr>
                <w:sz w:val="20"/>
                <w:szCs w:val="20"/>
                <w:color w:val="auto"/>
              </w:rPr>
            </w:pPr>
            <w:r>
              <w:rPr>
                <w:rFonts w:ascii="Arial" w:cs="Arial" w:eastAsia="Arial" w:hAnsi="Arial"/>
                <w:sz w:val="18"/>
                <w:szCs w:val="18"/>
                <w:color w:val="auto"/>
                <w:w w:val="79"/>
              </w:rPr>
              <w:t>$</w:t>
            </w: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color w:val="auto"/>
                <w:w w:val="93"/>
              </w:rPr>
              <w:t>0.74%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1880" w:type="dxa"/>
            <w:vAlign w:val="bottom"/>
            <w:vMerge w:val="restart"/>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vMerge w:val="continue"/>
          </w:tcPr>
          <w:p>
            <w:pPr>
              <w:spacing w:after="0"/>
              <w:rPr>
                <w:sz w:val="18"/>
                <w:szCs w:val="18"/>
                <w:color w:val="auto"/>
              </w:rPr>
            </w:pPr>
          </w:p>
        </w:tc>
        <w:tc>
          <w:tcPr>
            <w:tcW w:w="1880" w:type="dxa"/>
            <w:vAlign w:val="bottom"/>
            <w:vMerge w:val="continue"/>
          </w:tcPr>
          <w:p>
            <w:pPr>
              <w:spacing w:after="0"/>
              <w:rPr>
                <w:sz w:val="18"/>
                <w:szCs w:val="18"/>
                <w:color w:val="auto"/>
              </w:rPr>
            </w:pPr>
          </w:p>
        </w:tc>
        <w:tc>
          <w:tcPr>
            <w:tcW w:w="740" w:type="dxa"/>
            <w:vAlign w:val="bottom"/>
          </w:tcPr>
          <w:p>
            <w:pPr>
              <w:jc w:val="right"/>
              <w:ind w:right="550"/>
              <w:spacing w:after="0"/>
              <w:rPr>
                <w:sz w:val="20"/>
                <w:szCs w:val="20"/>
                <w:color w:val="auto"/>
              </w:rPr>
            </w:pPr>
            <w:r>
              <w:rPr>
                <w:rFonts w:ascii="Arial" w:cs="Arial" w:eastAsia="Arial" w:hAnsi="Arial"/>
                <w:sz w:val="18"/>
                <w:szCs w:val="18"/>
                <w:b w:val="1"/>
                <w:bCs w:val="1"/>
                <w:color w:val="auto"/>
                <w:w w:val="79"/>
              </w:rPr>
              <w:t>$</w:t>
            </w:r>
          </w:p>
        </w:tc>
        <w:tc>
          <w:tcPr>
            <w:tcW w:w="500" w:type="dxa"/>
            <w:vAlign w:val="bottom"/>
          </w:tcPr>
          <w:p>
            <w:pPr>
              <w:jc w:val="right"/>
              <w:spacing w:after="0"/>
              <w:rPr>
                <w:sz w:val="20"/>
                <w:szCs w:val="20"/>
                <w:color w:val="auto"/>
              </w:rPr>
            </w:pPr>
            <w:r>
              <w:rPr>
                <w:rFonts w:ascii="Arial" w:cs="Arial" w:eastAsia="Arial" w:hAnsi="Arial"/>
                <w:sz w:val="18"/>
                <w:szCs w:val="18"/>
                <w:b w:val="1"/>
                <w:bCs w:val="1"/>
                <w:color w:val="auto"/>
              </w:rPr>
              <w:t>11</w:t>
            </w:r>
          </w:p>
        </w:tc>
        <w:tc>
          <w:tcPr>
            <w:tcW w:w="100" w:type="dxa"/>
            <w:vAlign w:val="bottom"/>
            <w:vMerge w:val="continue"/>
          </w:tcPr>
          <w:p>
            <w:pPr>
              <w:spacing w:after="0"/>
              <w:rPr>
                <w:sz w:val="18"/>
                <w:szCs w:val="18"/>
                <w:color w:val="auto"/>
              </w:rPr>
            </w:pPr>
          </w:p>
        </w:tc>
        <w:tc>
          <w:tcPr>
            <w:tcW w:w="120" w:type="dxa"/>
            <w:vAlign w:val="bottom"/>
            <w:vMerge w:val="continue"/>
          </w:tcPr>
          <w:p>
            <w:pPr>
              <w:spacing w:after="0"/>
              <w:rPr>
                <w:sz w:val="18"/>
                <w:szCs w:val="18"/>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b w:val="1"/>
                <w:bCs w:val="1"/>
                <w:color w:val="auto"/>
                <w:w w:val="93"/>
              </w:rPr>
              <w:t>0.74%</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08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Medium and long-term borrowings at fixed interest rate</w:t>
            </w:r>
          </w:p>
        </w:tc>
        <w:tc>
          <w:tcPr>
            <w:tcW w:w="18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0 to 30 days</w:t>
            </w:r>
          </w:p>
        </w:tc>
        <w:tc>
          <w:tcPr>
            <w:tcW w:w="2620" w:type="dxa"/>
            <w:vAlign w:val="bottom"/>
            <w:gridSpan w:val="2"/>
            <w:shd w:val="clear" w:color="auto" w:fill="CCEEFF"/>
          </w:tcPr>
          <w:p>
            <w:pPr>
              <w:jc w:val="right"/>
              <w:ind w:right="550"/>
              <w:spacing w:after="0"/>
              <w:rPr>
                <w:sz w:val="20"/>
                <w:szCs w:val="20"/>
                <w:color w:val="auto"/>
              </w:rPr>
            </w:pPr>
            <w:r>
              <w:rPr>
                <w:rFonts w:ascii="Arial" w:cs="Arial" w:eastAsia="Arial" w:hAnsi="Arial"/>
                <w:sz w:val="18"/>
                <w:szCs w:val="18"/>
                <w:color w:val="auto"/>
              </w:rPr>
              <w:t>$</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6.19%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31 to 90 days</w:t>
            </w:r>
          </w:p>
        </w:tc>
        <w:tc>
          <w:tcPr>
            <w:tcW w:w="18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2</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6.15%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91 to 180 days</w:t>
            </w: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w:t>
            </w: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6.24%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181 to 365 days</w:t>
            </w:r>
          </w:p>
        </w:tc>
        <w:tc>
          <w:tcPr>
            <w:tcW w:w="18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5</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6.21%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1 through 6 years</w:t>
            </w:r>
          </w:p>
        </w:tc>
        <w:tc>
          <w:tcPr>
            <w:tcW w:w="188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color w:val="auto"/>
                <w:w w:val="93"/>
              </w:rPr>
              <w:t>4.85%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1880" w:type="dxa"/>
            <w:vAlign w:val="bottom"/>
            <w:vMerge w:val="restart"/>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vMerge w:val="continue"/>
          </w:tcPr>
          <w:p>
            <w:pPr>
              <w:spacing w:after="0"/>
              <w:rPr>
                <w:sz w:val="18"/>
                <w:szCs w:val="18"/>
                <w:color w:val="auto"/>
              </w:rPr>
            </w:pPr>
          </w:p>
        </w:tc>
        <w:tc>
          <w:tcPr>
            <w:tcW w:w="1880" w:type="dxa"/>
            <w:vAlign w:val="bottom"/>
            <w:vMerge w:val="continue"/>
          </w:tcPr>
          <w:p>
            <w:pPr>
              <w:spacing w:after="0"/>
              <w:rPr>
                <w:sz w:val="18"/>
                <w:szCs w:val="18"/>
                <w:color w:val="auto"/>
              </w:rPr>
            </w:pPr>
          </w:p>
        </w:tc>
        <w:tc>
          <w:tcPr>
            <w:tcW w:w="740" w:type="dxa"/>
            <w:vAlign w:val="bottom"/>
          </w:tcPr>
          <w:p>
            <w:pPr>
              <w:jc w:val="right"/>
              <w:ind w:right="550"/>
              <w:spacing w:after="0"/>
              <w:rPr>
                <w:sz w:val="20"/>
                <w:szCs w:val="20"/>
                <w:color w:val="auto"/>
              </w:rPr>
            </w:pPr>
            <w:r>
              <w:rPr>
                <w:rFonts w:ascii="Arial" w:cs="Arial" w:eastAsia="Arial" w:hAnsi="Arial"/>
                <w:sz w:val="18"/>
                <w:szCs w:val="18"/>
                <w:b w:val="1"/>
                <w:bCs w:val="1"/>
                <w:color w:val="auto"/>
                <w:w w:val="79"/>
              </w:rPr>
              <w:t>$</w:t>
            </w:r>
          </w:p>
        </w:tc>
        <w:tc>
          <w:tcPr>
            <w:tcW w:w="500" w:type="dxa"/>
            <w:vAlign w:val="bottom"/>
          </w:tcPr>
          <w:p>
            <w:pPr>
              <w:jc w:val="right"/>
              <w:spacing w:after="0"/>
              <w:rPr>
                <w:sz w:val="20"/>
                <w:szCs w:val="20"/>
                <w:color w:val="auto"/>
              </w:rPr>
            </w:pPr>
            <w:r>
              <w:rPr>
                <w:rFonts w:ascii="Arial" w:cs="Arial" w:eastAsia="Arial" w:hAnsi="Arial"/>
                <w:sz w:val="18"/>
                <w:szCs w:val="18"/>
                <w:b w:val="1"/>
                <w:bCs w:val="1"/>
                <w:color w:val="auto"/>
              </w:rPr>
              <w:t>44</w:t>
            </w:r>
          </w:p>
        </w:tc>
        <w:tc>
          <w:tcPr>
            <w:tcW w:w="100" w:type="dxa"/>
            <w:vAlign w:val="bottom"/>
          </w:tcPr>
          <w:p>
            <w:pPr>
              <w:spacing w:after="0"/>
              <w:rPr>
                <w:sz w:val="18"/>
                <w:szCs w:val="18"/>
                <w:color w:val="auto"/>
              </w:rPr>
            </w:pPr>
          </w:p>
        </w:tc>
        <w:tc>
          <w:tcPr>
            <w:tcW w:w="120" w:type="dxa"/>
            <w:vAlign w:val="bottom"/>
            <w:vMerge w:val="continue"/>
          </w:tcPr>
          <w:p>
            <w:pPr>
              <w:spacing w:after="0"/>
              <w:rPr>
                <w:sz w:val="18"/>
                <w:szCs w:val="18"/>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b w:val="1"/>
                <w:bCs w:val="1"/>
                <w:color w:val="auto"/>
                <w:w w:val="93"/>
              </w:rPr>
              <w:t>5.18%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08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Medium and long-term borrowings at floating interest rate</w:t>
            </w:r>
          </w:p>
        </w:tc>
        <w:tc>
          <w:tcPr>
            <w:tcW w:w="18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1 through 6 years</w:t>
            </w:r>
          </w:p>
        </w:tc>
        <w:tc>
          <w:tcPr>
            <w:tcW w:w="1880" w:type="dxa"/>
            <w:vAlign w:val="bottom"/>
            <w:shd w:val="clear" w:color="auto" w:fill="CCEEFF"/>
          </w:tcPr>
          <w:p>
            <w:pPr>
              <w:spacing w:after="0"/>
              <w:rPr>
                <w:sz w:val="19"/>
                <w:szCs w:val="19"/>
                <w:color w:val="auto"/>
              </w:rPr>
            </w:pPr>
          </w:p>
        </w:tc>
        <w:tc>
          <w:tcPr>
            <w:tcW w:w="740" w:type="dxa"/>
            <w:vAlign w:val="bottom"/>
            <w:shd w:val="clear" w:color="auto" w:fill="CCEEFF"/>
          </w:tcPr>
          <w:p>
            <w:pPr>
              <w:jc w:val="right"/>
              <w:ind w:right="550"/>
              <w:spacing w:after="0"/>
              <w:rPr>
                <w:sz w:val="20"/>
                <w:szCs w:val="20"/>
                <w:color w:val="auto"/>
              </w:rPr>
            </w:pPr>
            <w:r>
              <w:rPr>
                <w:rFonts w:ascii="Arial" w:cs="Arial" w:eastAsia="Arial" w:hAnsi="Arial"/>
                <w:sz w:val="18"/>
                <w:szCs w:val="18"/>
                <w:color w:val="auto"/>
                <w:w w:val="79"/>
              </w:rPr>
              <w:t>$</w:t>
            </w: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379</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color w:val="auto"/>
                <w:w w:val="93"/>
              </w:rPr>
              <w:t>2.82%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1880" w:type="dxa"/>
            <w:vAlign w:val="bottom"/>
            <w:vMerge w:val="restart"/>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vMerge w:val="continue"/>
          </w:tcPr>
          <w:p>
            <w:pPr>
              <w:spacing w:after="0"/>
              <w:rPr>
                <w:sz w:val="18"/>
                <w:szCs w:val="18"/>
                <w:color w:val="auto"/>
              </w:rPr>
            </w:pPr>
          </w:p>
        </w:tc>
        <w:tc>
          <w:tcPr>
            <w:tcW w:w="1880" w:type="dxa"/>
            <w:vAlign w:val="bottom"/>
            <w:vMerge w:val="continue"/>
          </w:tcPr>
          <w:p>
            <w:pPr>
              <w:spacing w:after="0"/>
              <w:rPr>
                <w:sz w:val="18"/>
                <w:szCs w:val="18"/>
                <w:color w:val="auto"/>
              </w:rPr>
            </w:pPr>
          </w:p>
        </w:tc>
        <w:tc>
          <w:tcPr>
            <w:tcW w:w="740" w:type="dxa"/>
            <w:vAlign w:val="bottom"/>
          </w:tcPr>
          <w:p>
            <w:pPr>
              <w:jc w:val="right"/>
              <w:ind w:right="550"/>
              <w:spacing w:after="0"/>
              <w:rPr>
                <w:sz w:val="20"/>
                <w:szCs w:val="20"/>
                <w:color w:val="auto"/>
              </w:rPr>
            </w:pPr>
            <w:r>
              <w:rPr>
                <w:rFonts w:ascii="Arial" w:cs="Arial" w:eastAsia="Arial" w:hAnsi="Arial"/>
                <w:sz w:val="18"/>
                <w:szCs w:val="18"/>
                <w:b w:val="1"/>
                <w:bCs w:val="1"/>
                <w:color w:val="auto"/>
                <w:w w:val="79"/>
              </w:rPr>
              <w:t>$</w:t>
            </w:r>
          </w:p>
        </w:tc>
        <w:tc>
          <w:tcPr>
            <w:tcW w:w="500" w:type="dxa"/>
            <w:vAlign w:val="bottom"/>
          </w:tcPr>
          <w:p>
            <w:pPr>
              <w:jc w:val="right"/>
              <w:spacing w:after="0"/>
              <w:rPr>
                <w:sz w:val="20"/>
                <w:szCs w:val="20"/>
                <w:color w:val="auto"/>
              </w:rPr>
            </w:pPr>
            <w:r>
              <w:rPr>
                <w:rFonts w:ascii="Arial" w:cs="Arial" w:eastAsia="Arial" w:hAnsi="Arial"/>
                <w:sz w:val="18"/>
                <w:szCs w:val="18"/>
                <w:b w:val="1"/>
                <w:bCs w:val="1"/>
                <w:color w:val="auto"/>
              </w:rPr>
              <w:t>379</w:t>
            </w:r>
          </w:p>
        </w:tc>
        <w:tc>
          <w:tcPr>
            <w:tcW w:w="100" w:type="dxa"/>
            <w:vAlign w:val="bottom"/>
            <w:vMerge w:val="continue"/>
          </w:tcPr>
          <w:p>
            <w:pPr>
              <w:spacing w:after="0"/>
              <w:rPr>
                <w:sz w:val="18"/>
                <w:szCs w:val="18"/>
                <w:color w:val="auto"/>
              </w:rPr>
            </w:pPr>
          </w:p>
        </w:tc>
        <w:tc>
          <w:tcPr>
            <w:tcW w:w="120" w:type="dxa"/>
            <w:vAlign w:val="bottom"/>
            <w:vMerge w:val="continue"/>
          </w:tcPr>
          <w:p>
            <w:pPr>
              <w:spacing w:after="0"/>
              <w:rPr>
                <w:sz w:val="18"/>
                <w:szCs w:val="18"/>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b w:val="1"/>
                <w:bCs w:val="1"/>
                <w:color w:val="auto"/>
                <w:w w:val="93"/>
              </w:rPr>
              <w:t>2.82%</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080" w:type="dxa"/>
            <w:vAlign w:val="bottom"/>
            <w:shd w:val="clear" w:color="auto" w:fill="CCEEFF"/>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Medium and long-term fixed-rate placements</w:t>
            </w:r>
          </w:p>
        </w:tc>
        <w:tc>
          <w:tcPr>
            <w:tcW w:w="18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2620" w:type="dxa"/>
            <w:vAlign w:val="bottom"/>
            <w:gridSpan w:val="2"/>
            <w:shd w:val="clear" w:color="auto" w:fill="CCEEFF"/>
          </w:tcPr>
          <w:p>
            <w:pPr>
              <w:jc w:val="right"/>
              <w:ind w:right="550"/>
              <w:spacing w:after="0"/>
              <w:rPr>
                <w:sz w:val="20"/>
                <w:szCs w:val="20"/>
                <w:color w:val="auto"/>
              </w:rPr>
            </w:pPr>
            <w:r>
              <w:rPr>
                <w:rFonts w:ascii="Arial" w:cs="Arial" w:eastAsia="Arial" w:hAnsi="Arial"/>
                <w:sz w:val="18"/>
                <w:szCs w:val="18"/>
                <w:color w:val="auto"/>
              </w:rPr>
              <w:t>$</w:t>
            </w: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100" w:type="dxa"/>
            <w:vAlign w:val="bottom"/>
            <w:shd w:val="clear" w:color="auto" w:fill="CCEEFF"/>
          </w:tcPr>
          <w:p>
            <w:pPr>
              <w:spacing w:after="0"/>
              <w:rPr>
                <w:sz w:val="18"/>
                <w:szCs w:val="18"/>
                <w:color w:val="auto"/>
              </w:rPr>
            </w:pP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0.81%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91 to 180 days</w:t>
            </w:r>
          </w:p>
        </w:tc>
        <w:tc>
          <w:tcPr>
            <w:tcW w:w="18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w:t>
            </w: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0.50%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1 through 6 years</w:t>
            </w:r>
          </w:p>
        </w:tc>
        <w:tc>
          <w:tcPr>
            <w:tcW w:w="188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500" w:type="dxa"/>
            <w:vAlign w:val="bottom"/>
          </w:tcPr>
          <w:p>
            <w:pPr>
              <w:jc w:val="right"/>
              <w:spacing w:after="0"/>
              <w:rPr>
                <w:sz w:val="20"/>
                <w:szCs w:val="20"/>
                <w:color w:val="auto"/>
              </w:rPr>
            </w:pPr>
            <w:r>
              <w:rPr>
                <w:rFonts w:ascii="Arial" w:cs="Arial" w:eastAsia="Arial" w:hAnsi="Arial"/>
                <w:sz w:val="18"/>
                <w:szCs w:val="18"/>
                <w:color w:val="auto"/>
              </w:rPr>
              <w:t>506</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color w:val="auto"/>
                <w:w w:val="93"/>
              </w:rPr>
              <w:t>2.94%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880" w:type="dxa"/>
            <w:vAlign w:val="bottom"/>
            <w:vMerge w:val="restart"/>
            <w:shd w:val="clear" w:color="auto" w:fill="CCEEFF"/>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vMerge w:val="continue"/>
            <w:shd w:val="clear" w:color="auto" w:fill="CCEEFF"/>
          </w:tcPr>
          <w:p>
            <w:pPr>
              <w:spacing w:after="0"/>
              <w:rPr>
                <w:sz w:val="18"/>
                <w:szCs w:val="18"/>
                <w:color w:val="auto"/>
              </w:rPr>
            </w:pPr>
          </w:p>
        </w:tc>
        <w:tc>
          <w:tcPr>
            <w:tcW w:w="1880" w:type="dxa"/>
            <w:vAlign w:val="bottom"/>
            <w:vMerge w:val="continue"/>
            <w:shd w:val="clear" w:color="auto" w:fill="CCEEFF"/>
          </w:tcPr>
          <w:p>
            <w:pPr>
              <w:spacing w:after="0"/>
              <w:rPr>
                <w:sz w:val="18"/>
                <w:szCs w:val="18"/>
                <w:color w:val="auto"/>
              </w:rPr>
            </w:pPr>
          </w:p>
        </w:tc>
        <w:tc>
          <w:tcPr>
            <w:tcW w:w="740" w:type="dxa"/>
            <w:vAlign w:val="bottom"/>
            <w:shd w:val="clear" w:color="auto" w:fill="CCEEFF"/>
          </w:tcPr>
          <w:p>
            <w:pPr>
              <w:jc w:val="right"/>
              <w:ind w:right="550"/>
              <w:spacing w:after="0"/>
              <w:rPr>
                <w:sz w:val="20"/>
                <w:szCs w:val="20"/>
                <w:color w:val="auto"/>
              </w:rPr>
            </w:pPr>
            <w:r>
              <w:rPr>
                <w:rFonts w:ascii="Arial" w:cs="Arial" w:eastAsia="Arial" w:hAnsi="Arial"/>
                <w:sz w:val="18"/>
                <w:szCs w:val="18"/>
                <w:b w:val="1"/>
                <w:bCs w:val="1"/>
                <w:color w:val="auto"/>
                <w:w w:val="79"/>
              </w:rPr>
              <w:t>$</w:t>
            </w: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532</w:t>
            </w:r>
          </w:p>
        </w:tc>
        <w:tc>
          <w:tcPr>
            <w:tcW w:w="100" w:type="dxa"/>
            <w:vAlign w:val="bottom"/>
            <w:vMerge w:val="continue"/>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b w:val="1"/>
                <w:bCs w:val="1"/>
                <w:color w:val="auto"/>
                <w:w w:val="93"/>
              </w:rPr>
              <w:t>2.83%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08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Medium and long-term floating-rate placements</w:t>
            </w: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0 to 30 days</w:t>
            </w:r>
          </w:p>
        </w:tc>
        <w:tc>
          <w:tcPr>
            <w:tcW w:w="2620" w:type="dxa"/>
            <w:vAlign w:val="bottom"/>
            <w:gridSpan w:val="2"/>
          </w:tcPr>
          <w:p>
            <w:pPr>
              <w:jc w:val="right"/>
              <w:ind w:right="550"/>
              <w:spacing w:after="0"/>
              <w:rPr>
                <w:sz w:val="20"/>
                <w:szCs w:val="20"/>
                <w:color w:val="auto"/>
              </w:rPr>
            </w:pPr>
            <w:r>
              <w:rPr>
                <w:rFonts w:ascii="Arial" w:cs="Arial" w:eastAsia="Arial" w:hAnsi="Arial"/>
                <w:sz w:val="18"/>
                <w:szCs w:val="18"/>
                <w:color w:val="auto"/>
              </w:rPr>
              <w:t>$</w:t>
            </w: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102</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7.97%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91 to 180 days</w:t>
            </w:r>
          </w:p>
        </w:tc>
        <w:tc>
          <w:tcPr>
            <w:tcW w:w="18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18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1 through 6 years</w:t>
            </w:r>
          </w:p>
        </w:tc>
        <w:tc>
          <w:tcPr>
            <w:tcW w:w="188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500" w:type="dxa"/>
            <w:vAlign w:val="bottom"/>
          </w:tcPr>
          <w:p>
            <w:pPr>
              <w:jc w:val="right"/>
              <w:spacing w:after="0"/>
              <w:rPr>
                <w:sz w:val="20"/>
                <w:szCs w:val="20"/>
                <w:color w:val="auto"/>
              </w:rPr>
            </w:pPr>
            <w:r>
              <w:rPr>
                <w:rFonts w:ascii="Arial" w:cs="Arial" w:eastAsia="Arial" w:hAnsi="Arial"/>
                <w:sz w:val="18"/>
                <w:szCs w:val="18"/>
                <w:color w:val="auto"/>
              </w:rPr>
              <w:t>86</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color w:val="auto"/>
                <w:w w:val="93"/>
              </w:rPr>
              <w:t>7.46%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880" w:type="dxa"/>
            <w:vAlign w:val="bottom"/>
            <w:vMerge w:val="restart"/>
            <w:shd w:val="clear" w:color="auto" w:fill="CCEEFF"/>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vMerge w:val="continue"/>
            <w:shd w:val="clear" w:color="auto" w:fill="CCEEFF"/>
          </w:tcPr>
          <w:p>
            <w:pPr>
              <w:spacing w:after="0"/>
              <w:rPr>
                <w:sz w:val="18"/>
                <w:szCs w:val="18"/>
                <w:color w:val="auto"/>
              </w:rPr>
            </w:pPr>
          </w:p>
        </w:tc>
        <w:tc>
          <w:tcPr>
            <w:tcW w:w="1880" w:type="dxa"/>
            <w:vAlign w:val="bottom"/>
            <w:vMerge w:val="continue"/>
            <w:shd w:val="clear" w:color="auto" w:fill="CCEEFF"/>
          </w:tcPr>
          <w:p>
            <w:pPr>
              <w:spacing w:after="0"/>
              <w:rPr>
                <w:sz w:val="18"/>
                <w:szCs w:val="18"/>
                <w:color w:val="auto"/>
              </w:rPr>
            </w:pPr>
          </w:p>
        </w:tc>
        <w:tc>
          <w:tcPr>
            <w:tcW w:w="740" w:type="dxa"/>
            <w:vAlign w:val="bottom"/>
            <w:shd w:val="clear" w:color="auto" w:fill="CCEEFF"/>
          </w:tcPr>
          <w:p>
            <w:pPr>
              <w:jc w:val="right"/>
              <w:ind w:right="550"/>
              <w:spacing w:after="0"/>
              <w:rPr>
                <w:sz w:val="20"/>
                <w:szCs w:val="20"/>
                <w:color w:val="auto"/>
              </w:rPr>
            </w:pPr>
            <w:r>
              <w:rPr>
                <w:rFonts w:ascii="Arial" w:cs="Arial" w:eastAsia="Arial" w:hAnsi="Arial"/>
                <w:sz w:val="18"/>
                <w:szCs w:val="18"/>
                <w:b w:val="1"/>
                <w:bCs w:val="1"/>
                <w:color w:val="auto"/>
                <w:w w:val="79"/>
              </w:rPr>
              <w:t>$</w:t>
            </w:r>
          </w:p>
        </w:tc>
        <w:tc>
          <w:tcPr>
            <w:tcW w:w="5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188</w:t>
            </w:r>
          </w:p>
        </w:tc>
        <w:tc>
          <w:tcPr>
            <w:tcW w:w="100" w:type="dxa"/>
            <w:vAlign w:val="bottom"/>
            <w:vMerge w:val="continue"/>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b w:val="1"/>
                <w:bCs w:val="1"/>
                <w:color w:val="auto"/>
                <w:w w:val="93"/>
              </w:rPr>
              <w:t>7.74%</w:t>
            </w:r>
          </w:p>
        </w:tc>
        <w:tc>
          <w:tcPr>
            <w:tcW w:w="0" w:type="dxa"/>
            <w:vAlign w:val="bottom"/>
          </w:tcPr>
          <w:p>
            <w:pPr>
              <w:spacing w:after="0"/>
              <w:rPr>
                <w:sz w:val="1"/>
                <w:szCs w:val="1"/>
                <w:color w:val="auto"/>
              </w:rPr>
            </w:pPr>
          </w:p>
        </w:tc>
      </w:tr>
      <w:tr>
        <w:trPr>
          <w:trHeight w:val="217"/>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b w:val="1"/>
                <w:bCs w:val="1"/>
                <w:color w:val="auto"/>
              </w:rPr>
              <w:t>Grand Total</w:t>
            </w:r>
          </w:p>
        </w:tc>
        <w:tc>
          <w:tcPr>
            <w:tcW w:w="2620" w:type="dxa"/>
            <w:vAlign w:val="bottom"/>
            <w:gridSpan w:val="2"/>
          </w:tcPr>
          <w:p>
            <w:pPr>
              <w:jc w:val="right"/>
              <w:ind w:right="550"/>
              <w:spacing w:after="0"/>
              <w:rPr>
                <w:sz w:val="20"/>
                <w:szCs w:val="20"/>
                <w:color w:val="auto"/>
              </w:rPr>
            </w:pPr>
            <w:r>
              <w:rPr>
                <w:rFonts w:ascii="Arial" w:cs="Arial" w:eastAsia="Arial" w:hAnsi="Arial"/>
                <w:sz w:val="18"/>
                <w:szCs w:val="18"/>
                <w:b w:val="1"/>
                <w:bCs w:val="1"/>
                <w:color w:val="auto"/>
              </w:rPr>
              <w:t>$</w:t>
            </w:r>
          </w:p>
        </w:tc>
        <w:tc>
          <w:tcPr>
            <w:tcW w:w="500" w:type="dxa"/>
            <w:vAlign w:val="bottom"/>
          </w:tcPr>
          <w:p>
            <w:pPr>
              <w:jc w:val="right"/>
              <w:spacing w:after="0"/>
              <w:rPr>
                <w:sz w:val="20"/>
                <w:szCs w:val="20"/>
                <w:color w:val="auto"/>
              </w:rPr>
            </w:pPr>
            <w:r>
              <w:rPr>
                <w:rFonts w:ascii="Arial" w:cs="Arial" w:eastAsia="Arial" w:hAnsi="Arial"/>
                <w:sz w:val="18"/>
                <w:szCs w:val="18"/>
                <w:b w:val="1"/>
                <w:bCs w:val="1"/>
                <w:color w:val="auto"/>
              </w:rPr>
              <w:t>2,216</w:t>
            </w:r>
          </w:p>
        </w:tc>
        <w:tc>
          <w:tcPr>
            <w:tcW w:w="100" w:type="dxa"/>
            <w:vAlign w:val="bottom"/>
          </w:tcPr>
          <w:p>
            <w:pPr>
              <w:spacing w:after="0"/>
              <w:rPr>
                <w:sz w:val="18"/>
                <w:szCs w:val="18"/>
                <w:color w:val="auto"/>
              </w:rPr>
            </w:pPr>
          </w:p>
        </w:tc>
        <w:tc>
          <w:tcPr>
            <w:tcW w:w="2100" w:type="dxa"/>
            <w:vAlign w:val="bottom"/>
            <w:gridSpan w:val="3"/>
          </w:tcPr>
          <w:p>
            <w:pPr>
              <w:ind w:left="1600"/>
              <w:spacing w:after="0"/>
              <w:rPr>
                <w:sz w:val="20"/>
                <w:szCs w:val="20"/>
                <w:color w:val="auto"/>
              </w:rPr>
            </w:pPr>
            <w:r>
              <w:rPr>
                <w:rFonts w:ascii="Arial" w:cs="Arial" w:eastAsia="Arial" w:hAnsi="Arial"/>
                <w:sz w:val="18"/>
                <w:szCs w:val="18"/>
                <w:b w:val="1"/>
                <w:bCs w:val="1"/>
                <w:color w:val="auto"/>
                <w:w w:val="93"/>
              </w:rPr>
              <w:t>2.89%</w:t>
            </w:r>
          </w:p>
        </w:tc>
        <w:tc>
          <w:tcPr>
            <w:tcW w:w="0" w:type="dxa"/>
            <w:vAlign w:val="bottom"/>
          </w:tcPr>
          <w:p>
            <w:pPr>
              <w:spacing w:after="0"/>
              <w:rPr>
                <w:sz w:val="1"/>
                <w:szCs w:val="1"/>
                <w:color w:val="auto"/>
              </w:rPr>
            </w:pPr>
          </w:p>
        </w:tc>
      </w:tr>
    </w:tbl>
    <w:p>
      <w:pPr>
        <w:ind w:left="220" w:hanging="212"/>
        <w:spacing w:after="0" w:line="183" w:lineRule="auto"/>
        <w:tabs>
          <w:tab w:leader="none" w:pos="220" w:val="left"/>
        </w:tabs>
        <w:numPr>
          <w:ilvl w:val="0"/>
          <w:numId w:val="46"/>
        </w:numPr>
        <w:rPr>
          <w:rFonts w:ascii="Arial" w:cs="Arial" w:eastAsia="Arial" w:hAnsi="Arial"/>
          <w:sz w:val="29"/>
          <w:szCs w:val="29"/>
          <w:color w:val="auto"/>
          <w:vertAlign w:val="superscript"/>
        </w:rPr>
      </w:pPr>
      <w:r>
        <w:rPr>
          <w:rFonts w:ascii="Arial" w:cs="Arial" w:eastAsia="Arial" w:hAnsi="Arial"/>
          <w:sz w:val="18"/>
          <w:szCs w:val="18"/>
          <w:color w:val="auto"/>
        </w:rPr>
        <w:t>Gross of prepaid commissions of $4.2 million as of December 31, 2017.</w:t>
      </w:r>
    </w:p>
    <w:p>
      <w:pPr>
        <w:spacing w:after="0" w:line="1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Cash flows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Management believes that cash flows from operations, including the Bank’s adequate reserve coverage levels, and its ability to generate cash through its financing activities (such as short- and long-term borrowings and debt) are sufficient to fund its investing activities and core lending activities, as well as the Bank’s operating liquidity needs.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The following discussion highlights the major activities and transactions that affected the Bank’s cash flows during 2017, 2016 and 2015.</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operating activities</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operating activities mainly include cash generated by profit for the year, adjustments to reconcile profit for the year to net cash provided by or used in operating activities, net changes in operating assets, which predominantly include loans originated by the Bank, and net changes in operating liabilities, primarily from raising deposits from central banks as well as state-owned and private banks and corporations in the Region.</w:t>
      </w:r>
    </w:p>
    <w:p>
      <w:pPr>
        <w:spacing w:after="0" w:line="16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the year ended December 31, 2017, net cash provided by operating activities was $691 million, mainly attributable to a net decrease of $479 million in loans at amortized cost, along with a $126 million net increase due to depositors and the $82 million of profit for the year.</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34" w:right="239" w:bottom="1440" w:gutter="0" w:footer="0" w:header="0"/>
        </w:sectPr>
      </w:pPr>
    </w:p>
    <w:bookmarkStart w:id="72" w:name="page73"/>
    <w:bookmarkEnd w:id="72"/>
    <w:p>
      <w:pPr>
        <w:jc w:val="both"/>
        <w:spacing w:after="0" w:line="308" w:lineRule="auto"/>
        <w:rPr>
          <w:sz w:val="20"/>
          <w:szCs w:val="20"/>
          <w:color w:val="auto"/>
        </w:rPr>
      </w:pPr>
      <w:r>
        <w:rPr>
          <w:rFonts w:ascii="Arial" w:cs="Arial" w:eastAsia="Arial" w:hAnsi="Arial"/>
          <w:sz w:val="17"/>
          <w:szCs w:val="17"/>
          <w:color w:val="auto"/>
        </w:rPr>
        <w:t>For the year ended December 31, 2016, net cash provided by operating activities was $829 million, mainly attributable to a net decrease of $650 million in loans at amortized cost, along with an overall net increase of $161 million in operating liabilities and the $87 million of profit for the year.</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the year ended December 31, 2015, net cash provided by operating activities was $419 million, resulting primarily from the net increase of $446 million in operating liabilities, along with the profit for the year of $104 million, partially offset by $125 million adjustments to reconcile profit for the year to net cash provided by operating activities.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investing activities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investing activities include the portfolio of financial instruments at FVOCI and at amortized cost, as well as the cash used on acquisition or proceeds from disposal of equipment and leasehold improvements, and intangible assets, respectively. Investing activities can vary significantly in the normal course of business due to the amount and timing of cash flows, which are affected by client-driven activities and demand, market conditions, and business strategies.</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the year ended December 31, 2017, net cash provided by investing activities was $11 million, primarily from $9 million in net proceeds from sales and purchases of financial instruments at FVOCI, and $8 million net proceeds from maturities and purchases of financial instruments at amortized cost, partially offset by the $6 million used in acquisitions of equipment and leasehold improvements, and intangible assets.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the year ended December 31, 2016, net cash provided by investing activities was $149 million, primarily from $210 million in proceeds from the sale and redemptions of financial instruments at FVOCI, and $55 million in proceeds from the maturity of financial instruments at amortized cost, partially offset by purchases of $84 million, and $25 million, of financial instruments at FVOCI and at amortized cost, respectively.</w:t>
      </w:r>
    </w:p>
    <w:p>
      <w:pPr>
        <w:spacing w:after="0" w:line="18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For the year ended December 31, 2015, net cash provided by investing activities was $130 million, mainly from $269 million in cash received from the sale and redemptions of financial instruments at FVOCI, and $45 million in proceeds received from the maturity of financial instruments at amortized cost, partially offset by purchases of $87 million, and $97 million, of financial instruments at FVOCI and at amortized cost, respectively.</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financing activities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financing activities primarily reflect cash flows related to raising funds from short-term borrowings and debt from international correspondent banks, and proceeds from, and repayments of, long-term borrowings and debt through bilateral or syndicated borrowing facilities, as well as issuances in the capital markets.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the year ended December 31, 2017, net cash of $1,091 million was used in financing activities, mostly the result of the $638 million in net cash flow from the repayments of and proceeds from long-term borrowings and debt, a $397 million net decrease in short-term borrowings and debt, and the $61 million paid as cash dividends.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the year ended December 31, 2016, net cash of $1,238 million was used in financing activities, mostly the result of a $1,074 million net decrease in short-term borrowings and debt and Repos, the $105 million net cash flow that resulted from the repayments of and proceeds from long-term borrowings and debt, and the $60 million paid as cash dividends.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73" w:name="page74"/>
    <w:bookmarkEnd w:id="73"/>
    <w:p>
      <w:pPr>
        <w:jc w:val="both"/>
        <w:spacing w:after="0" w:line="264" w:lineRule="auto"/>
        <w:rPr>
          <w:sz w:val="20"/>
          <w:szCs w:val="20"/>
          <w:color w:val="auto"/>
        </w:rPr>
      </w:pPr>
      <w:r>
        <w:rPr>
          <w:rFonts w:ascii="Arial" w:cs="Arial" w:eastAsia="Arial" w:hAnsi="Arial"/>
          <w:sz w:val="18"/>
          <w:szCs w:val="18"/>
          <w:color w:val="auto"/>
        </w:rPr>
        <w:t>For the year ended December 31, 2015, net cash of $24 million was used in financing activities, which was primarily the result of net repayments of $463 million in long-term borrowings and debt, a net decrease of $449 million in short-term borrowing and debt and Repos, and $60 million paid as cash dividends, partially offset by a net cash increase of $946 million on proceeds from long-term borrowings and debt.</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Asset/Liability Management</w:t>
      </w:r>
    </w:p>
    <w:p>
      <w:pPr>
        <w:spacing w:after="0" w:line="22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 seeks to manage its assets and liabilities to reduce the potential adverse impact on net interest income that could result from interest rate changes. The Bank controls interest rate risk through systematic monitoring of maturities and repricing mismatches. The Bank’s investment decision-making takes into account not only the rates of return and the respective underlying degrees of risk, but also liquidity requirements, including minimum cash reserves, withdrawal and maturity of deposits and additional demand for funds. For any given period, a matched pricing structure exists when an equal amount of assets and liabilities are repriced. An excess of assets or liabilities over these matched items results in a “gap” or “mismatch,” as shown in the table under “Interest Rate Sensitivity” below. A negative gap denotes liability sensitivity and normally means that a decline in interest rates would have a positive effect on net interest income, while an increase in interest rates would have a negative effect on net interest income.</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Rate Sensitivity</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uses interest rate swaps as part of its interest rate risk management. Interest rate swaps are contracted either in a single currency or cross-currency for a prescribed period in order to exchange a series of interest payment flows and hedge the risk associated with a portion of the notes issued under its various programs and the funds borrowed through bilateral loans and syndications.</w:t>
      </w:r>
    </w:p>
    <w:p>
      <w:pPr>
        <w:spacing w:after="0" w:line="18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following table presents the projected maturities and interest rate adjustment periods of the Bank’s total assets, liabilities and stockholders’ equity based upon the contractual maturities and rate-adjustment (repricing) dates as of December 31, 2017. The Bank’s interest-earning assets and interest-bearing liabilities and the related interest rate sensitivity gap shown in the following table may not reflect positions in subsequent periods.</w:t>
      </w:r>
    </w:p>
    <w:p>
      <w:pPr>
        <w:spacing w:after="0" w:line="145"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424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gridSpan w:val="4"/>
          </w:tcPr>
          <w:p>
            <w:pPr>
              <w:jc w:val="center"/>
              <w:ind w:right="39"/>
              <w:spacing w:after="0"/>
              <w:rPr>
                <w:sz w:val="20"/>
                <w:szCs w:val="20"/>
                <w:color w:val="auto"/>
              </w:rPr>
            </w:pPr>
            <w:r>
              <w:rPr>
                <w:rFonts w:ascii="Arial" w:cs="Arial" w:eastAsia="Arial" w:hAnsi="Arial"/>
                <w:sz w:val="14"/>
                <w:szCs w:val="14"/>
                <w:b w:val="1"/>
                <w:bCs w:val="1"/>
                <w:color w:val="auto"/>
                <w:w w:val="94"/>
              </w:rPr>
              <w:t>Non-Interest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gridSpan w:val="3"/>
            <w:vMerge w:val="restart"/>
          </w:tcPr>
          <w:p>
            <w:pPr>
              <w:ind w:left="20"/>
              <w:spacing w:after="0"/>
              <w:rPr>
                <w:sz w:val="20"/>
                <w:szCs w:val="20"/>
                <w:color w:val="auto"/>
              </w:rPr>
            </w:pPr>
            <w:r>
              <w:rPr>
                <w:rFonts w:ascii="Arial" w:cs="Arial" w:eastAsia="Arial" w:hAnsi="Arial"/>
                <w:sz w:val="14"/>
                <w:szCs w:val="14"/>
                <w:b w:val="1"/>
                <w:bCs w:val="1"/>
                <w:color w:val="auto"/>
              </w:rPr>
              <w:t>More than</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center"/>
              <w:ind w:right="159"/>
              <w:spacing w:after="0" w:line="149" w:lineRule="exact"/>
              <w:rPr>
                <w:sz w:val="20"/>
                <w:szCs w:val="20"/>
                <w:color w:val="auto"/>
              </w:rPr>
            </w:pPr>
            <w:r>
              <w:rPr>
                <w:rFonts w:ascii="Arial" w:cs="Arial" w:eastAsia="Arial" w:hAnsi="Arial"/>
                <w:sz w:val="14"/>
                <w:szCs w:val="14"/>
                <w:b w:val="1"/>
                <w:bCs w:val="1"/>
                <w:color w:val="auto"/>
                <w:w w:val="89"/>
              </w:rPr>
              <w:t>Sensitive /</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Total</w:t>
            </w:r>
          </w:p>
        </w:tc>
        <w:tc>
          <w:tcPr>
            <w:tcW w:w="860" w:type="dxa"/>
            <w:vAlign w:val="bottom"/>
            <w:gridSpan w:val="3"/>
            <w:vMerge w:val="restart"/>
          </w:tcPr>
          <w:p>
            <w:pPr>
              <w:jc w:val="right"/>
              <w:ind w:right="220"/>
              <w:spacing w:after="0"/>
              <w:rPr>
                <w:sz w:val="20"/>
                <w:szCs w:val="20"/>
                <w:color w:val="auto"/>
              </w:rPr>
            </w:pPr>
            <w:r>
              <w:rPr>
                <w:rFonts w:ascii="Arial" w:cs="Arial" w:eastAsia="Arial" w:hAnsi="Arial"/>
                <w:sz w:val="14"/>
                <w:szCs w:val="14"/>
                <w:b w:val="1"/>
                <w:bCs w:val="1"/>
                <w:color w:val="auto"/>
                <w:w w:val="94"/>
              </w:rPr>
              <w:t>0-30 Days</w:t>
            </w:r>
          </w:p>
        </w:tc>
        <w:tc>
          <w:tcPr>
            <w:tcW w:w="900" w:type="dxa"/>
            <w:vAlign w:val="bottom"/>
            <w:gridSpan w:val="4"/>
            <w:vMerge w:val="restart"/>
          </w:tcPr>
          <w:p>
            <w:pPr>
              <w:ind w:left="40"/>
              <w:spacing w:after="0"/>
              <w:rPr>
                <w:sz w:val="20"/>
                <w:szCs w:val="20"/>
                <w:color w:val="auto"/>
              </w:rPr>
            </w:pPr>
            <w:r>
              <w:rPr>
                <w:rFonts w:ascii="Arial" w:cs="Arial" w:eastAsia="Arial" w:hAnsi="Arial"/>
                <w:sz w:val="14"/>
                <w:szCs w:val="14"/>
                <w:b w:val="1"/>
                <w:bCs w:val="1"/>
                <w:color w:val="auto"/>
              </w:rPr>
              <w:t>31-90 Days</w:t>
            </w:r>
          </w:p>
        </w:tc>
        <w:tc>
          <w:tcPr>
            <w:tcW w:w="960" w:type="dxa"/>
            <w:vAlign w:val="bottom"/>
            <w:gridSpan w:val="4"/>
            <w:vMerge w:val="restart"/>
          </w:tcPr>
          <w:p>
            <w:pPr>
              <w:ind w:left="60"/>
              <w:spacing w:after="0"/>
              <w:rPr>
                <w:sz w:val="20"/>
                <w:szCs w:val="20"/>
                <w:color w:val="auto"/>
              </w:rPr>
            </w:pPr>
            <w:r>
              <w:rPr>
                <w:rFonts w:ascii="Arial" w:cs="Arial" w:eastAsia="Arial" w:hAnsi="Arial"/>
                <w:sz w:val="14"/>
                <w:szCs w:val="14"/>
                <w:b w:val="1"/>
                <w:bCs w:val="1"/>
                <w:color w:val="auto"/>
              </w:rPr>
              <w:t>91-180 Days</w:t>
            </w:r>
          </w:p>
        </w:tc>
        <w:tc>
          <w:tcPr>
            <w:tcW w:w="1100" w:type="dxa"/>
            <w:vAlign w:val="bottom"/>
            <w:gridSpan w:val="4"/>
            <w:vMerge w:val="restart"/>
          </w:tcPr>
          <w:p>
            <w:pPr>
              <w:ind w:left="60"/>
              <w:spacing w:after="0"/>
              <w:rPr>
                <w:sz w:val="20"/>
                <w:szCs w:val="20"/>
                <w:color w:val="auto"/>
              </w:rPr>
            </w:pPr>
            <w:r>
              <w:rPr>
                <w:rFonts w:ascii="Arial" w:cs="Arial" w:eastAsia="Arial" w:hAnsi="Arial"/>
                <w:sz w:val="14"/>
                <w:szCs w:val="14"/>
                <w:b w:val="1"/>
                <w:bCs w:val="1"/>
                <w:color w:val="auto"/>
              </w:rPr>
              <w:t>181-365 Days</w:t>
            </w:r>
          </w:p>
        </w:tc>
        <w:tc>
          <w:tcPr>
            <w:tcW w:w="860" w:type="dxa"/>
            <w:vAlign w:val="bottom"/>
            <w:gridSpan w:val="3"/>
            <w:vMerge w:val="continue"/>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center"/>
              <w:ind w:right="159"/>
              <w:spacing w:after="0" w:line="149" w:lineRule="exact"/>
              <w:rPr>
                <w:sz w:val="20"/>
                <w:szCs w:val="20"/>
                <w:color w:val="auto"/>
              </w:rPr>
            </w:pPr>
            <w:r>
              <w:rPr>
                <w:rFonts w:ascii="Arial" w:cs="Arial" w:eastAsia="Arial" w:hAnsi="Arial"/>
                <w:sz w:val="14"/>
                <w:szCs w:val="14"/>
                <w:b w:val="1"/>
                <w:bCs w:val="1"/>
                <w:color w:val="auto"/>
                <w:w w:val="92"/>
              </w:rPr>
              <w:t>without</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24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60" w:type="dxa"/>
            <w:vAlign w:val="bottom"/>
            <w:gridSpan w:val="2"/>
            <w:vMerge w:val="continue"/>
          </w:tcPr>
          <w:p>
            <w:pPr>
              <w:spacing w:after="0"/>
              <w:rPr>
                <w:sz w:val="14"/>
                <w:szCs w:val="14"/>
                <w:color w:val="auto"/>
              </w:rPr>
            </w:pPr>
          </w:p>
        </w:tc>
        <w:tc>
          <w:tcPr>
            <w:tcW w:w="860" w:type="dxa"/>
            <w:vAlign w:val="bottom"/>
            <w:gridSpan w:val="3"/>
            <w:vMerge w:val="continue"/>
          </w:tcPr>
          <w:p>
            <w:pPr>
              <w:spacing w:after="0"/>
              <w:rPr>
                <w:sz w:val="14"/>
                <w:szCs w:val="14"/>
                <w:color w:val="auto"/>
              </w:rPr>
            </w:pPr>
          </w:p>
        </w:tc>
        <w:tc>
          <w:tcPr>
            <w:tcW w:w="900" w:type="dxa"/>
            <w:vAlign w:val="bottom"/>
            <w:gridSpan w:val="4"/>
            <w:vMerge w:val="continue"/>
          </w:tcPr>
          <w:p>
            <w:pPr>
              <w:spacing w:after="0"/>
              <w:rPr>
                <w:sz w:val="14"/>
                <w:szCs w:val="14"/>
                <w:color w:val="auto"/>
              </w:rPr>
            </w:pPr>
          </w:p>
        </w:tc>
        <w:tc>
          <w:tcPr>
            <w:tcW w:w="960" w:type="dxa"/>
            <w:vAlign w:val="bottom"/>
            <w:gridSpan w:val="4"/>
            <w:vMerge w:val="continue"/>
          </w:tcPr>
          <w:p>
            <w:pPr>
              <w:spacing w:after="0"/>
              <w:rPr>
                <w:sz w:val="14"/>
                <w:szCs w:val="14"/>
                <w:color w:val="auto"/>
              </w:rPr>
            </w:pPr>
          </w:p>
        </w:tc>
        <w:tc>
          <w:tcPr>
            <w:tcW w:w="1100" w:type="dxa"/>
            <w:vAlign w:val="bottom"/>
            <w:gridSpan w:val="4"/>
            <w:vMerge w:val="continue"/>
          </w:tcPr>
          <w:p>
            <w:pPr>
              <w:spacing w:after="0"/>
              <w:rPr>
                <w:sz w:val="14"/>
                <w:szCs w:val="14"/>
                <w:color w:val="auto"/>
              </w:rPr>
            </w:pPr>
          </w:p>
        </w:tc>
        <w:tc>
          <w:tcPr>
            <w:tcW w:w="860" w:type="dxa"/>
            <w:vAlign w:val="bottom"/>
            <w:gridSpan w:val="3"/>
          </w:tcPr>
          <w:p>
            <w:pPr>
              <w:jc w:val="right"/>
              <w:ind w:right="240"/>
              <w:spacing w:after="0"/>
              <w:rPr>
                <w:sz w:val="20"/>
                <w:szCs w:val="20"/>
                <w:color w:val="auto"/>
              </w:rPr>
            </w:pPr>
            <w:r>
              <w:rPr>
                <w:rFonts w:ascii="Arial" w:cs="Arial" w:eastAsia="Arial" w:hAnsi="Arial"/>
                <w:sz w:val="14"/>
                <w:szCs w:val="14"/>
                <w:b w:val="1"/>
                <w:bCs w:val="1"/>
                <w:color w:val="auto"/>
                <w:w w:val="98"/>
              </w:rPr>
              <w:t>365 Days</w:t>
            </w: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gridSpan w:val="2"/>
          </w:tcPr>
          <w:p>
            <w:pPr>
              <w:jc w:val="center"/>
              <w:ind w:right="159"/>
              <w:spacing w:after="0"/>
              <w:rPr>
                <w:sz w:val="20"/>
                <w:szCs w:val="20"/>
                <w:color w:val="auto"/>
              </w:rPr>
            </w:pPr>
            <w:r>
              <w:rPr>
                <w:rFonts w:ascii="Arial" w:cs="Arial" w:eastAsia="Arial" w:hAnsi="Arial"/>
                <w:sz w:val="14"/>
                <w:szCs w:val="14"/>
                <w:b w:val="1"/>
                <w:bCs w:val="1"/>
                <w:color w:val="auto"/>
                <w:w w:val="97"/>
              </w:rPr>
              <w:t>maturity</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2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700" w:type="dxa"/>
            <w:vAlign w:val="bottom"/>
            <w:tcBorders>
              <w:top w:val="single" w:sz="8" w:color="auto"/>
            </w:tcBorders>
            <w:gridSpan w:val="10"/>
          </w:tcPr>
          <w:p>
            <w:pPr>
              <w:jc w:val="right"/>
              <w:ind w:right="480"/>
              <w:spacing w:after="0" w:line="142" w:lineRule="exact"/>
              <w:rPr>
                <w:sz w:val="20"/>
                <w:szCs w:val="20"/>
                <w:color w:val="auto"/>
              </w:rPr>
            </w:pPr>
            <w:r>
              <w:rPr>
                <w:rFonts w:ascii="Arial" w:cs="Arial" w:eastAsia="Arial" w:hAnsi="Arial"/>
                <w:sz w:val="14"/>
                <w:szCs w:val="14"/>
                <w:b w:val="1"/>
                <w:bCs w:val="1"/>
                <w:color w:val="auto"/>
                <w:w w:val="96"/>
              </w:rPr>
              <w:t>(in $ millions, except percentages)</w:t>
            </w:r>
          </w:p>
        </w:tc>
        <w:tc>
          <w:tcPr>
            <w:tcW w:w="22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Interest-earning assets</w:t>
            </w: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color w:val="auto"/>
              </w:rPr>
              <w:t>Cash, due from banks &amp; interest-bearing deposits with banks</w:t>
            </w: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672</w:t>
            </w:r>
          </w:p>
        </w:tc>
        <w:tc>
          <w:tcPr>
            <w:tcW w:w="220" w:type="dxa"/>
            <w:vAlign w:val="bottom"/>
          </w:tcPr>
          <w:p>
            <w:pPr>
              <w:jc w:val="right"/>
              <w:ind w:right="68"/>
              <w:spacing w:after="0" w:line="149" w:lineRule="exact"/>
              <w:rPr>
                <w:sz w:val="20"/>
                <w:szCs w:val="20"/>
                <w:color w:val="auto"/>
              </w:rPr>
            </w:pPr>
            <w:r>
              <w:rPr>
                <w:rFonts w:ascii="Arial" w:cs="Arial" w:eastAsia="Arial" w:hAnsi="Arial"/>
                <w:sz w:val="14"/>
                <w:szCs w:val="14"/>
                <w:color w:val="auto"/>
                <w:w w:val="76"/>
              </w:rPr>
              <w:t>$</w:t>
            </w: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672</w:t>
            </w:r>
          </w:p>
        </w:tc>
        <w:tc>
          <w:tcPr>
            <w:tcW w:w="180" w:type="dxa"/>
            <w:vAlign w:val="bottom"/>
          </w:tcPr>
          <w:p>
            <w:pPr>
              <w:spacing w:after="0"/>
              <w:rPr>
                <w:sz w:val="12"/>
                <w:szCs w:val="12"/>
                <w:color w:val="auto"/>
              </w:rPr>
            </w:pPr>
          </w:p>
        </w:tc>
        <w:tc>
          <w:tcPr>
            <w:tcW w:w="26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w:t>
            </w:r>
          </w:p>
        </w:tc>
        <w:tc>
          <w:tcPr>
            <w:tcW w:w="6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30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3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1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instruments at FVOCI</w:t>
            </w: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25</w:t>
            </w:r>
          </w:p>
        </w:tc>
        <w:tc>
          <w:tcPr>
            <w:tcW w:w="220" w:type="dxa"/>
            <w:vAlign w:val="bottom"/>
            <w:shd w:val="clear" w:color="auto" w:fill="CCEEFF"/>
          </w:tcPr>
          <w:p>
            <w:pPr>
              <w:spacing w:after="0"/>
              <w:rPr>
                <w:sz w:val="12"/>
                <w:szCs w:val="12"/>
                <w:color w:val="auto"/>
              </w:rPr>
            </w:pPr>
          </w:p>
        </w:tc>
        <w:tc>
          <w:tcPr>
            <w:tcW w:w="4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w:t>
            </w:r>
          </w:p>
        </w:tc>
        <w:tc>
          <w:tcPr>
            <w:tcW w:w="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4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color w:val="auto"/>
              </w:rPr>
              <w:t>Securities at amortized cost</w:t>
            </w: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69</w:t>
            </w:r>
          </w:p>
        </w:tc>
        <w:tc>
          <w:tcPr>
            <w:tcW w:w="22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w:t>
            </w:r>
          </w:p>
        </w:tc>
        <w:tc>
          <w:tcPr>
            <w:tcW w:w="22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61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4"/>
                <w:szCs w:val="14"/>
                <w:color w:val="auto"/>
              </w:rPr>
              <w:t>Loans at amortized cost</w:t>
            </w:r>
          </w:p>
        </w:tc>
        <w:tc>
          <w:tcPr>
            <w:tcW w:w="6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5,506</w:t>
            </w:r>
          </w:p>
        </w:tc>
        <w:tc>
          <w:tcPr>
            <w:tcW w:w="220" w:type="dxa"/>
            <w:vAlign w:val="bottom"/>
            <w:shd w:val="clear" w:color="auto" w:fill="CCEEFF"/>
          </w:tcPr>
          <w:p>
            <w:pPr>
              <w:spacing w:after="0"/>
              <w:rPr>
                <w:sz w:val="14"/>
                <w:szCs w:val="14"/>
                <w:color w:val="auto"/>
              </w:rPr>
            </w:pPr>
          </w:p>
        </w:tc>
        <w:tc>
          <w:tcPr>
            <w:tcW w:w="6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1,762</w:t>
            </w:r>
          </w:p>
        </w:tc>
        <w:tc>
          <w:tcPr>
            <w:tcW w:w="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2,310</w:t>
            </w:r>
          </w:p>
        </w:tc>
        <w:tc>
          <w:tcPr>
            <w:tcW w:w="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953</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301</w:t>
            </w:r>
          </w:p>
        </w:tc>
        <w:tc>
          <w:tcPr>
            <w:tcW w:w="220" w:type="dxa"/>
            <w:vAlign w:val="bottom"/>
            <w:shd w:val="clear" w:color="auto" w:fill="CCEEFF"/>
          </w:tcPr>
          <w:p>
            <w:pPr>
              <w:spacing w:after="0"/>
              <w:rPr>
                <w:sz w:val="14"/>
                <w:szCs w:val="14"/>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180</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240" w:type="dxa"/>
            <w:vAlign w:val="bottom"/>
          </w:tcPr>
          <w:p>
            <w:pPr>
              <w:spacing w:after="0" w:line="142" w:lineRule="exact"/>
              <w:rPr>
                <w:sz w:val="20"/>
                <w:szCs w:val="20"/>
                <w:color w:val="auto"/>
              </w:rPr>
            </w:pPr>
            <w:r>
              <w:rPr>
                <w:rFonts w:ascii="Arial" w:cs="Arial" w:eastAsia="Arial" w:hAnsi="Arial"/>
                <w:sz w:val="14"/>
                <w:szCs w:val="14"/>
                <w:b w:val="1"/>
                <w:bCs w:val="1"/>
                <w:color w:val="auto"/>
              </w:rPr>
              <w:t>Total interest-earning assets</w:t>
            </w:r>
          </w:p>
        </w:tc>
        <w:tc>
          <w:tcPr>
            <w:tcW w:w="6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6,272</w:t>
            </w: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2,442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2,321</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956</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308</w:t>
            </w: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245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4"/>
                <w:szCs w:val="14"/>
                <w:color w:val="auto"/>
              </w:rPr>
              <w:t>Non-interest earning assets, allowance for ECL and other asset</w:t>
            </w:r>
          </w:p>
        </w:tc>
        <w:tc>
          <w:tcPr>
            <w:tcW w:w="6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w:t>
            </w:r>
          </w:p>
        </w:tc>
        <w:tc>
          <w:tcPr>
            <w:tcW w:w="220" w:type="dxa"/>
            <w:vAlign w:val="bottom"/>
            <w:shd w:val="clear" w:color="auto" w:fill="CCEEFF"/>
          </w:tcPr>
          <w:p>
            <w:pPr>
              <w:spacing w:after="0"/>
              <w:rPr>
                <w:sz w:val="14"/>
                <w:szCs w:val="14"/>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4"/>
                <w:szCs w:val="14"/>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39"/>
              <w:spacing w:after="0"/>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424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Total assets</w:t>
            </w:r>
          </w:p>
        </w:tc>
        <w:tc>
          <w:tcPr>
            <w:tcW w:w="66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spacing w:after="0"/>
              <w:rPr>
                <w:sz w:val="17"/>
                <w:szCs w:val="17"/>
                <w:color w:val="auto"/>
              </w:rPr>
            </w:pP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6,268</w:t>
            </w:r>
          </w:p>
        </w:tc>
        <w:tc>
          <w:tcPr>
            <w:tcW w:w="220" w:type="dxa"/>
            <w:vAlign w:val="bottom"/>
            <w:tcBorders>
              <w:bottom w:val="single" w:sz="8" w:color="CCEEFF"/>
            </w:tcBorders>
          </w:tcPr>
          <w:p>
            <w:pPr>
              <w:spacing w:after="0"/>
              <w:rPr>
                <w:sz w:val="17"/>
                <w:szCs w:val="17"/>
                <w:color w:val="auto"/>
              </w:rPr>
            </w:pPr>
          </w:p>
        </w:tc>
        <w:tc>
          <w:tcPr>
            <w:tcW w:w="220" w:type="dxa"/>
            <w:vAlign w:val="bottom"/>
            <w:tcBorders>
              <w:top w:val="single" w:sz="8" w:color="auto"/>
              <w:bottom w:val="single" w:sz="8" w:color="auto"/>
            </w:tcBorders>
          </w:tcPr>
          <w:p>
            <w:pPr>
              <w:spacing w:after="0"/>
              <w:rPr>
                <w:sz w:val="17"/>
                <w:szCs w:val="17"/>
                <w:color w:val="auto"/>
              </w:rPr>
            </w:pPr>
          </w:p>
        </w:tc>
        <w:tc>
          <w:tcPr>
            <w:tcW w:w="4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2,442</w:t>
            </w:r>
          </w:p>
        </w:tc>
        <w:tc>
          <w:tcPr>
            <w:tcW w:w="180" w:type="dxa"/>
            <w:vAlign w:val="bottom"/>
            <w:tcBorders>
              <w:bottom w:val="single" w:sz="8" w:color="CCEEFF"/>
            </w:tcBorders>
          </w:tcPr>
          <w:p>
            <w:pPr>
              <w:spacing w:after="0"/>
              <w:rPr>
                <w:sz w:val="17"/>
                <w:szCs w:val="17"/>
                <w:color w:val="auto"/>
              </w:rPr>
            </w:pPr>
          </w:p>
        </w:tc>
        <w:tc>
          <w:tcPr>
            <w:tcW w:w="40" w:type="dxa"/>
            <w:vAlign w:val="bottom"/>
            <w:tcBorders>
              <w:bottom w:val="single" w:sz="8" w:color="CCEEFF"/>
            </w:tcBorders>
          </w:tcPr>
          <w:p>
            <w:pPr>
              <w:spacing w:after="0"/>
              <w:rPr>
                <w:sz w:val="17"/>
                <w:szCs w:val="17"/>
                <w:color w:val="auto"/>
              </w:rPr>
            </w:pPr>
          </w:p>
        </w:tc>
        <w:tc>
          <w:tcPr>
            <w:tcW w:w="220" w:type="dxa"/>
            <w:vAlign w:val="bottom"/>
            <w:tcBorders>
              <w:top w:val="single" w:sz="8" w:color="auto"/>
              <w:bottom w:val="single" w:sz="8" w:color="auto"/>
            </w:tcBorders>
          </w:tcPr>
          <w:p>
            <w:pPr>
              <w:spacing w:after="0"/>
              <w:rPr>
                <w:sz w:val="17"/>
                <w:szCs w:val="17"/>
                <w:color w:val="auto"/>
              </w:rPr>
            </w:pPr>
          </w:p>
        </w:tc>
        <w:tc>
          <w:tcPr>
            <w:tcW w:w="4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2,321</w:t>
            </w:r>
          </w:p>
        </w:tc>
        <w:tc>
          <w:tcPr>
            <w:tcW w:w="18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240" w:type="dxa"/>
            <w:vAlign w:val="bottom"/>
            <w:tcBorders>
              <w:top w:val="single" w:sz="8" w:color="auto"/>
              <w:bottom w:val="single" w:sz="8" w:color="auto"/>
            </w:tcBorders>
          </w:tcPr>
          <w:p>
            <w:pPr>
              <w:spacing w:after="0"/>
              <w:rPr>
                <w:sz w:val="17"/>
                <w:szCs w:val="17"/>
                <w:color w:val="auto"/>
              </w:rPr>
            </w:pPr>
          </w:p>
        </w:tc>
        <w:tc>
          <w:tcPr>
            <w:tcW w:w="5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956</w:t>
            </w:r>
          </w:p>
        </w:tc>
        <w:tc>
          <w:tcPr>
            <w:tcW w:w="16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280" w:type="dxa"/>
            <w:vAlign w:val="bottom"/>
            <w:tcBorders>
              <w:top w:val="single" w:sz="8" w:color="auto"/>
              <w:bottom w:val="single" w:sz="8" w:color="auto"/>
            </w:tcBorders>
          </w:tcPr>
          <w:p>
            <w:pPr>
              <w:spacing w:after="0"/>
              <w:rPr>
                <w:sz w:val="17"/>
                <w:szCs w:val="17"/>
                <w:color w:val="auto"/>
              </w:rPr>
            </w:pP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308</w:t>
            </w:r>
          </w:p>
        </w:tc>
        <w:tc>
          <w:tcPr>
            <w:tcW w:w="220" w:type="dxa"/>
            <w:vAlign w:val="bottom"/>
            <w:tcBorders>
              <w:bottom w:val="single" w:sz="8" w:color="CCEEFF"/>
            </w:tcBorders>
          </w:tcPr>
          <w:p>
            <w:pPr>
              <w:spacing w:after="0"/>
              <w:rPr>
                <w:sz w:val="17"/>
                <w:szCs w:val="17"/>
                <w:color w:val="auto"/>
              </w:rPr>
            </w:pPr>
          </w:p>
        </w:tc>
        <w:tc>
          <w:tcPr>
            <w:tcW w:w="220" w:type="dxa"/>
            <w:vAlign w:val="bottom"/>
            <w:tcBorders>
              <w:top w:val="single" w:sz="8" w:color="auto"/>
              <w:bottom w:val="single" w:sz="8" w:color="auto"/>
            </w:tcBorders>
          </w:tcPr>
          <w:p>
            <w:pPr>
              <w:spacing w:after="0"/>
              <w:rPr>
                <w:sz w:val="17"/>
                <w:szCs w:val="17"/>
                <w:color w:val="auto"/>
              </w:rPr>
            </w:pPr>
          </w:p>
        </w:tc>
        <w:tc>
          <w:tcPr>
            <w:tcW w:w="4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245</w:t>
            </w:r>
          </w:p>
        </w:tc>
        <w:tc>
          <w:tcPr>
            <w:tcW w:w="180" w:type="dxa"/>
            <w:vAlign w:val="bottom"/>
            <w:tcBorders>
              <w:bottom w:val="single" w:sz="8" w:color="CCEEFF"/>
            </w:tcBorders>
          </w:tcPr>
          <w:p>
            <w:pPr>
              <w:spacing w:after="0"/>
              <w:rPr>
                <w:sz w:val="17"/>
                <w:szCs w:val="17"/>
                <w:color w:val="auto"/>
              </w:rPr>
            </w:pPr>
          </w:p>
        </w:tc>
        <w:tc>
          <w:tcPr>
            <w:tcW w:w="40" w:type="dxa"/>
            <w:vAlign w:val="bottom"/>
            <w:tcBorders>
              <w:bottom w:val="single" w:sz="8" w:color="CCEEFF"/>
            </w:tcBorders>
          </w:tcPr>
          <w:p>
            <w:pPr>
              <w:spacing w:after="0"/>
              <w:rPr>
                <w:sz w:val="17"/>
                <w:szCs w:val="17"/>
                <w:color w:val="auto"/>
              </w:rPr>
            </w:pPr>
          </w:p>
        </w:tc>
        <w:tc>
          <w:tcPr>
            <w:tcW w:w="80" w:type="dxa"/>
            <w:vAlign w:val="bottom"/>
            <w:tcBorders>
              <w:top w:val="single" w:sz="8" w:color="auto"/>
              <w:bottom w:val="single" w:sz="8" w:color="auto"/>
            </w:tcBorders>
          </w:tcPr>
          <w:p>
            <w:pPr>
              <w:spacing w:after="0"/>
              <w:rPr>
                <w:sz w:val="17"/>
                <w:szCs w:val="17"/>
                <w:color w:val="auto"/>
              </w:rPr>
            </w:pPr>
          </w:p>
        </w:tc>
        <w:tc>
          <w:tcPr>
            <w:tcW w:w="7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w:t>
            </w:r>
          </w:p>
        </w:tc>
        <w:tc>
          <w:tcPr>
            <w:tcW w:w="120" w:type="dxa"/>
            <w:vAlign w:val="bottom"/>
            <w:tcBorders>
              <w:bottom w:val="single" w:sz="8" w:color="CCEEFF"/>
            </w:tcBorders>
          </w:tcPr>
          <w:p>
            <w:pPr>
              <w:jc w:val="right"/>
              <w:ind w:right="39"/>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2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40" w:type="dxa"/>
            <w:vAlign w:val="bottom"/>
          </w:tcPr>
          <w:p>
            <w:pPr>
              <w:spacing w:after="0" w:line="149" w:lineRule="exact"/>
              <w:rPr>
                <w:sz w:val="20"/>
                <w:szCs w:val="20"/>
                <w:color w:val="auto"/>
              </w:rPr>
            </w:pPr>
            <w:r>
              <w:rPr>
                <w:rFonts w:ascii="Arial" w:cs="Arial" w:eastAsia="Arial" w:hAnsi="Arial"/>
                <w:sz w:val="14"/>
                <w:szCs w:val="14"/>
                <w:b w:val="1"/>
                <w:bCs w:val="1"/>
                <w:color w:val="auto"/>
              </w:rPr>
              <w:t>Interest-bearing liabilities</w:t>
            </w: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2,929</w:t>
            </w:r>
          </w:p>
        </w:tc>
        <w:tc>
          <w:tcPr>
            <w:tcW w:w="22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1,881</w:t>
            </w:r>
          </w:p>
        </w:tc>
        <w:tc>
          <w:tcPr>
            <w:tcW w:w="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444</w:t>
            </w:r>
          </w:p>
        </w:tc>
        <w:tc>
          <w:tcPr>
            <w:tcW w:w="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305</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197</w:t>
            </w:r>
          </w:p>
        </w:tc>
        <w:tc>
          <w:tcPr>
            <w:tcW w:w="220" w:type="dxa"/>
            <w:vAlign w:val="bottom"/>
            <w:shd w:val="clear" w:color="auto" w:fill="CCEEFF"/>
          </w:tcPr>
          <w:p>
            <w:pPr>
              <w:spacing w:after="0"/>
              <w:rPr>
                <w:sz w:val="12"/>
                <w:szCs w:val="12"/>
                <w:color w:val="auto"/>
              </w:rPr>
            </w:pPr>
          </w:p>
        </w:tc>
        <w:tc>
          <w:tcPr>
            <w:tcW w:w="4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240" w:type="dxa"/>
            <w:vAlign w:val="bottom"/>
          </w:tcPr>
          <w:p>
            <w:pPr>
              <w:spacing w:after="0" w:line="202" w:lineRule="exact"/>
              <w:rPr>
                <w:sz w:val="20"/>
                <w:szCs w:val="20"/>
                <w:color w:val="auto"/>
              </w:rPr>
            </w:pPr>
            <w:r>
              <w:rPr>
                <w:rFonts w:ascii="Arial" w:cs="Arial" w:eastAsia="Arial" w:hAnsi="Arial"/>
                <w:sz w:val="14"/>
                <w:szCs w:val="14"/>
                <w:color w:val="auto"/>
              </w:rPr>
              <w:t xml:space="preserve">Borrowings and debt </w:t>
            </w:r>
            <w:r>
              <w:rPr>
                <w:rFonts w:ascii="Arial" w:cs="Arial" w:eastAsia="Arial" w:hAnsi="Arial"/>
                <w:sz w:val="23"/>
                <w:szCs w:val="23"/>
                <w:color w:val="auto"/>
                <w:vertAlign w:val="superscript"/>
              </w:rPr>
              <w:t>(1)</w:t>
            </w: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2,216</w:t>
            </w:r>
          </w:p>
        </w:tc>
        <w:tc>
          <w:tcPr>
            <w:tcW w:w="220" w:type="dxa"/>
            <w:vAlign w:val="bottom"/>
          </w:tcPr>
          <w:p>
            <w:pPr>
              <w:spacing w:after="0"/>
              <w:rPr>
                <w:sz w:val="17"/>
                <w:szCs w:val="17"/>
                <w:color w:val="auto"/>
              </w:rPr>
            </w:pPr>
          </w:p>
        </w:tc>
        <w:tc>
          <w:tcPr>
            <w:tcW w:w="460" w:type="dxa"/>
            <w:vAlign w:val="bottom"/>
          </w:tcPr>
          <w:p>
            <w:pPr>
              <w:jc w:val="right"/>
              <w:spacing w:after="0"/>
              <w:rPr>
                <w:sz w:val="20"/>
                <w:szCs w:val="20"/>
                <w:color w:val="auto"/>
              </w:rPr>
            </w:pPr>
            <w:r>
              <w:rPr>
                <w:rFonts w:ascii="Arial" w:cs="Arial" w:eastAsia="Arial" w:hAnsi="Arial"/>
                <w:sz w:val="14"/>
                <w:szCs w:val="14"/>
                <w:color w:val="auto"/>
              </w:rPr>
              <w:t>778</w:t>
            </w: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4"/>
                <w:szCs w:val="14"/>
                <w:color w:val="auto"/>
              </w:rPr>
              <w:t>892</w:t>
            </w:r>
          </w:p>
        </w:tc>
        <w:tc>
          <w:tcPr>
            <w:tcW w:w="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00" w:type="dxa"/>
            <w:vAlign w:val="bottom"/>
          </w:tcPr>
          <w:p>
            <w:pPr>
              <w:jc w:val="right"/>
              <w:spacing w:after="0"/>
              <w:rPr>
                <w:sz w:val="20"/>
                <w:szCs w:val="20"/>
                <w:color w:val="auto"/>
              </w:rPr>
            </w:pPr>
            <w:r>
              <w:rPr>
                <w:rFonts w:ascii="Arial" w:cs="Arial" w:eastAsia="Arial" w:hAnsi="Arial"/>
                <w:sz w:val="14"/>
                <w:szCs w:val="14"/>
                <w:color w:val="auto"/>
              </w:rPr>
              <w:t>140</w:t>
            </w: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283</w:t>
            </w:r>
          </w:p>
        </w:tc>
        <w:tc>
          <w:tcPr>
            <w:tcW w:w="220" w:type="dxa"/>
            <w:vAlign w:val="bottom"/>
          </w:tcPr>
          <w:p>
            <w:pPr>
              <w:spacing w:after="0"/>
              <w:rPr>
                <w:sz w:val="17"/>
                <w:szCs w:val="17"/>
                <w:color w:val="auto"/>
              </w:rPr>
            </w:pPr>
          </w:p>
        </w:tc>
        <w:tc>
          <w:tcPr>
            <w:tcW w:w="460" w:type="dxa"/>
            <w:vAlign w:val="bottom"/>
          </w:tcPr>
          <w:p>
            <w:pPr>
              <w:jc w:val="right"/>
              <w:spacing w:after="0"/>
              <w:rPr>
                <w:sz w:val="20"/>
                <w:szCs w:val="20"/>
                <w:color w:val="auto"/>
              </w:rPr>
            </w:pPr>
            <w:r>
              <w:rPr>
                <w:rFonts w:ascii="Arial" w:cs="Arial" w:eastAsia="Arial" w:hAnsi="Arial"/>
                <w:sz w:val="14"/>
                <w:szCs w:val="14"/>
                <w:color w:val="auto"/>
              </w:rPr>
              <w:t>123</w:t>
            </w: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2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 interest-bearing liabilities</w:t>
            </w:r>
          </w:p>
        </w:tc>
        <w:tc>
          <w:tcPr>
            <w:tcW w:w="6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5,145</w:t>
            </w: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2,659</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1,336</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445</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480</w:t>
            </w: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225</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0</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40" w:type="dxa"/>
            <w:vAlign w:val="bottom"/>
          </w:tcPr>
          <w:p>
            <w:pPr>
              <w:spacing w:after="0"/>
              <w:rPr>
                <w:sz w:val="20"/>
                <w:szCs w:val="20"/>
                <w:color w:val="auto"/>
              </w:rPr>
            </w:pPr>
            <w:r>
              <w:rPr>
                <w:rFonts w:ascii="Arial" w:cs="Arial" w:eastAsia="Arial" w:hAnsi="Arial"/>
                <w:sz w:val="14"/>
                <w:szCs w:val="14"/>
                <w:color w:val="auto"/>
              </w:rPr>
              <w:t>Non-interest-bearing liabilities</w:t>
            </w:r>
          </w:p>
        </w:tc>
        <w:tc>
          <w:tcPr>
            <w:tcW w:w="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80</w:t>
            </w:r>
          </w:p>
        </w:tc>
        <w:tc>
          <w:tcPr>
            <w:tcW w:w="220" w:type="dxa"/>
            <w:vAlign w:val="bottom"/>
          </w:tcPr>
          <w:p>
            <w:pPr>
              <w:spacing w:after="0"/>
              <w:rPr>
                <w:sz w:val="14"/>
                <w:szCs w:val="14"/>
                <w:color w:val="auto"/>
              </w:rPr>
            </w:pPr>
          </w:p>
        </w:tc>
        <w:tc>
          <w:tcPr>
            <w:tcW w:w="460" w:type="dxa"/>
            <w:vAlign w:val="bottom"/>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4"/>
                <w:szCs w:val="14"/>
                <w:color w:val="auto"/>
              </w:rPr>
              <w:t>0</w:t>
            </w:r>
          </w:p>
        </w:tc>
        <w:tc>
          <w:tcPr>
            <w:tcW w:w="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00" w:type="dxa"/>
            <w:vAlign w:val="bottom"/>
          </w:tcPr>
          <w:p>
            <w:pPr>
              <w:jc w:val="right"/>
              <w:spacing w:after="0"/>
              <w:rPr>
                <w:sz w:val="20"/>
                <w:szCs w:val="20"/>
                <w:color w:val="auto"/>
              </w:rPr>
            </w:pPr>
            <w:r>
              <w:rPr>
                <w:rFonts w:ascii="Arial" w:cs="Arial" w:eastAsia="Arial" w:hAnsi="Arial"/>
                <w:sz w:val="14"/>
                <w:szCs w:val="14"/>
                <w:color w:val="auto"/>
              </w:rPr>
              <w:t>0</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0</w:t>
            </w:r>
          </w:p>
        </w:tc>
        <w:tc>
          <w:tcPr>
            <w:tcW w:w="220" w:type="dxa"/>
            <w:vAlign w:val="bottom"/>
          </w:tcPr>
          <w:p>
            <w:pPr>
              <w:spacing w:after="0"/>
              <w:rPr>
                <w:sz w:val="14"/>
                <w:szCs w:val="14"/>
                <w:color w:val="auto"/>
              </w:rPr>
            </w:pPr>
          </w:p>
        </w:tc>
        <w:tc>
          <w:tcPr>
            <w:tcW w:w="460" w:type="dxa"/>
            <w:vAlign w:val="bottom"/>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80</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2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 liabilities</w:t>
            </w:r>
          </w:p>
        </w:tc>
        <w:tc>
          <w:tcPr>
            <w:tcW w:w="6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5,225</w:t>
            </w: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2,659</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1,336</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445</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480</w:t>
            </w: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225</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80</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40" w:type="dxa"/>
            <w:vAlign w:val="bottom"/>
          </w:tcPr>
          <w:p>
            <w:pPr>
              <w:spacing w:after="0"/>
              <w:rPr>
                <w:sz w:val="20"/>
                <w:szCs w:val="20"/>
                <w:color w:val="auto"/>
              </w:rPr>
            </w:pPr>
            <w:r>
              <w:rPr>
                <w:rFonts w:ascii="Arial" w:cs="Arial" w:eastAsia="Arial" w:hAnsi="Arial"/>
                <w:sz w:val="14"/>
                <w:szCs w:val="14"/>
                <w:color w:val="auto"/>
              </w:rPr>
              <w:t>Total Stockholders’ equity</w:t>
            </w:r>
          </w:p>
        </w:tc>
        <w:tc>
          <w:tcPr>
            <w:tcW w:w="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1,043</w:t>
            </w:r>
          </w:p>
        </w:tc>
        <w:tc>
          <w:tcPr>
            <w:tcW w:w="220" w:type="dxa"/>
            <w:vAlign w:val="bottom"/>
          </w:tcPr>
          <w:p>
            <w:pPr>
              <w:spacing w:after="0"/>
              <w:rPr>
                <w:sz w:val="14"/>
                <w:szCs w:val="14"/>
                <w:color w:val="auto"/>
              </w:rPr>
            </w:pPr>
          </w:p>
        </w:tc>
        <w:tc>
          <w:tcPr>
            <w:tcW w:w="460" w:type="dxa"/>
            <w:vAlign w:val="bottom"/>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4"/>
                <w:szCs w:val="14"/>
                <w:color w:val="auto"/>
              </w:rPr>
              <w:t>0</w:t>
            </w:r>
          </w:p>
        </w:tc>
        <w:tc>
          <w:tcPr>
            <w:tcW w:w="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00" w:type="dxa"/>
            <w:vAlign w:val="bottom"/>
          </w:tcPr>
          <w:p>
            <w:pPr>
              <w:jc w:val="right"/>
              <w:spacing w:after="0"/>
              <w:rPr>
                <w:sz w:val="20"/>
                <w:szCs w:val="20"/>
                <w:color w:val="auto"/>
              </w:rPr>
            </w:pPr>
            <w:r>
              <w:rPr>
                <w:rFonts w:ascii="Arial" w:cs="Arial" w:eastAsia="Arial" w:hAnsi="Arial"/>
                <w:sz w:val="14"/>
                <w:szCs w:val="14"/>
                <w:color w:val="auto"/>
              </w:rPr>
              <w:t>0</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0</w:t>
            </w:r>
          </w:p>
        </w:tc>
        <w:tc>
          <w:tcPr>
            <w:tcW w:w="220" w:type="dxa"/>
            <w:vAlign w:val="bottom"/>
          </w:tcPr>
          <w:p>
            <w:pPr>
              <w:spacing w:after="0"/>
              <w:rPr>
                <w:sz w:val="14"/>
                <w:szCs w:val="14"/>
                <w:color w:val="auto"/>
              </w:rPr>
            </w:pPr>
          </w:p>
        </w:tc>
        <w:tc>
          <w:tcPr>
            <w:tcW w:w="460" w:type="dxa"/>
            <w:vAlign w:val="bottom"/>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gridSpan w:val="2"/>
          </w:tcPr>
          <w:p>
            <w:pPr>
              <w:jc w:val="right"/>
              <w:ind w:right="79"/>
              <w:spacing w:after="0"/>
              <w:rPr>
                <w:sz w:val="20"/>
                <w:szCs w:val="20"/>
                <w:color w:val="auto"/>
              </w:rPr>
            </w:pPr>
            <w:r>
              <w:rPr>
                <w:rFonts w:ascii="Arial" w:cs="Arial" w:eastAsia="Arial" w:hAnsi="Arial"/>
                <w:sz w:val="14"/>
                <w:szCs w:val="14"/>
                <w:color w:val="auto"/>
              </w:rPr>
              <w:t>1,043</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2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liabilities and stockholders’ equity</w:t>
            </w:r>
          </w:p>
        </w:tc>
        <w:tc>
          <w:tcPr>
            <w:tcW w:w="66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spacing w:after="0"/>
              <w:rPr>
                <w:sz w:val="13"/>
                <w:szCs w:val="13"/>
                <w:color w:val="auto"/>
              </w:rPr>
            </w:pP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6,268</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220" w:type="dxa"/>
            <w:vAlign w:val="bottom"/>
            <w:tcBorders>
              <w:top w:val="single" w:sz="8" w:color="auto"/>
              <w:bottom w:val="single" w:sz="8" w:color="auto"/>
            </w:tcBorders>
            <w:shd w:val="clear" w:color="auto" w:fill="CCEEFF"/>
          </w:tcPr>
          <w:p>
            <w:pPr>
              <w:spacing w:after="0"/>
              <w:rPr>
                <w:sz w:val="13"/>
                <w:szCs w:val="13"/>
                <w:color w:val="auto"/>
              </w:rPr>
            </w:pPr>
          </w:p>
        </w:tc>
        <w:tc>
          <w:tcPr>
            <w:tcW w:w="4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2,659</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220" w:type="dxa"/>
            <w:vAlign w:val="bottom"/>
            <w:tcBorders>
              <w:top w:val="single" w:sz="8" w:color="auto"/>
              <w:bottom w:val="single" w:sz="8" w:color="auto"/>
            </w:tcBorders>
            <w:shd w:val="clear" w:color="auto" w:fill="CCEEFF"/>
          </w:tcPr>
          <w:p>
            <w:pPr>
              <w:spacing w:after="0"/>
              <w:rPr>
                <w:sz w:val="13"/>
                <w:szCs w:val="13"/>
                <w:color w:val="auto"/>
              </w:rPr>
            </w:pPr>
          </w:p>
        </w:tc>
        <w:tc>
          <w:tcPr>
            <w:tcW w:w="4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1,336</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240" w:type="dxa"/>
            <w:vAlign w:val="bottom"/>
            <w:tcBorders>
              <w:top w:val="single" w:sz="8" w:color="auto"/>
              <w:bottom w:val="single" w:sz="8" w:color="auto"/>
            </w:tcBorders>
            <w:shd w:val="clear" w:color="auto" w:fill="CCEEFF"/>
          </w:tcPr>
          <w:p>
            <w:pPr>
              <w:spacing w:after="0"/>
              <w:rPr>
                <w:sz w:val="13"/>
                <w:szCs w:val="13"/>
                <w:color w:val="auto"/>
              </w:rPr>
            </w:pPr>
          </w:p>
        </w:tc>
        <w:tc>
          <w:tcPr>
            <w:tcW w:w="5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445</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280" w:type="dxa"/>
            <w:vAlign w:val="bottom"/>
            <w:tcBorders>
              <w:top w:val="single" w:sz="8" w:color="auto"/>
              <w:bottom w:val="single" w:sz="8" w:color="auto"/>
            </w:tcBorders>
            <w:shd w:val="clear" w:color="auto" w:fill="CCEEFF"/>
          </w:tcPr>
          <w:p>
            <w:pPr>
              <w:spacing w:after="0"/>
              <w:rPr>
                <w:sz w:val="13"/>
                <w:szCs w:val="13"/>
                <w:color w:val="auto"/>
              </w:rPr>
            </w:pP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480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220" w:type="dxa"/>
            <w:vAlign w:val="bottom"/>
            <w:tcBorders>
              <w:top w:val="single" w:sz="8" w:color="auto"/>
              <w:bottom w:val="single" w:sz="8" w:color="auto"/>
            </w:tcBorders>
            <w:shd w:val="clear" w:color="auto" w:fill="CCEEFF"/>
          </w:tcPr>
          <w:p>
            <w:pPr>
              <w:spacing w:after="0"/>
              <w:rPr>
                <w:sz w:val="13"/>
                <w:szCs w:val="13"/>
                <w:color w:val="auto"/>
              </w:rPr>
            </w:pPr>
          </w:p>
        </w:tc>
        <w:tc>
          <w:tcPr>
            <w:tcW w:w="4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225</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spacing w:after="0"/>
              <w:rPr>
                <w:sz w:val="13"/>
                <w:szCs w:val="13"/>
                <w:color w:val="auto"/>
              </w:rPr>
            </w:pPr>
          </w:p>
        </w:tc>
        <w:tc>
          <w:tcPr>
            <w:tcW w:w="7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1,123</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260" w:type="dxa"/>
            <w:vAlign w:val="bottom"/>
            <w:gridSpan w:val="2"/>
            <w:vMerge w:val="restart"/>
          </w:tcPr>
          <w:p>
            <w:pPr>
              <w:spacing w:after="0"/>
              <w:rPr>
                <w:sz w:val="20"/>
                <w:szCs w:val="20"/>
                <w:color w:val="auto"/>
              </w:rPr>
            </w:pPr>
            <w:r>
              <w:rPr>
                <w:rFonts w:ascii="Arial" w:cs="Arial" w:eastAsia="Arial" w:hAnsi="Arial"/>
                <w:sz w:val="14"/>
                <w:szCs w:val="14"/>
                <w:color w:val="auto"/>
              </w:rPr>
              <w:t>Interest rate sensitivity gap</w:t>
            </w:r>
          </w:p>
        </w:tc>
        <w:tc>
          <w:tcPr>
            <w:tcW w:w="6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4260" w:type="dxa"/>
            <w:vAlign w:val="bottom"/>
            <w:gridSpan w:val="2"/>
            <w:vMerge w:val="continue"/>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jc w:val="right"/>
              <w:spacing w:after="0" w:line="129" w:lineRule="exact"/>
              <w:rPr>
                <w:sz w:val="20"/>
                <w:szCs w:val="20"/>
                <w:color w:val="auto"/>
              </w:rPr>
            </w:pPr>
            <w:r>
              <w:rPr>
                <w:rFonts w:ascii="Arial" w:cs="Arial" w:eastAsia="Arial" w:hAnsi="Arial"/>
                <w:sz w:val="14"/>
                <w:szCs w:val="14"/>
                <w:color w:val="auto"/>
              </w:rPr>
              <w:t>0</w:t>
            </w:r>
          </w:p>
        </w:tc>
        <w:tc>
          <w:tcPr>
            <w:tcW w:w="220" w:type="dxa"/>
            <w:vAlign w:val="bottom"/>
            <w:vMerge w:val="continue"/>
          </w:tcPr>
          <w:p>
            <w:pPr>
              <w:spacing w:after="0"/>
              <w:rPr>
                <w:sz w:val="11"/>
                <w:szCs w:val="11"/>
                <w:color w:val="auto"/>
              </w:rPr>
            </w:pPr>
          </w:p>
        </w:tc>
        <w:tc>
          <w:tcPr>
            <w:tcW w:w="220" w:type="dxa"/>
            <w:vAlign w:val="bottom"/>
          </w:tcPr>
          <w:p>
            <w:pPr>
              <w:spacing w:after="0"/>
              <w:rPr>
                <w:sz w:val="11"/>
                <w:szCs w:val="11"/>
                <w:color w:val="auto"/>
              </w:rPr>
            </w:pPr>
          </w:p>
        </w:tc>
        <w:tc>
          <w:tcPr>
            <w:tcW w:w="460" w:type="dxa"/>
            <w:vAlign w:val="bottom"/>
          </w:tcPr>
          <w:p>
            <w:pPr>
              <w:jc w:val="right"/>
              <w:spacing w:after="0" w:line="129" w:lineRule="exact"/>
              <w:rPr>
                <w:sz w:val="20"/>
                <w:szCs w:val="20"/>
                <w:color w:val="auto"/>
              </w:rPr>
            </w:pPr>
            <w:r>
              <w:rPr>
                <w:rFonts w:ascii="Arial" w:cs="Arial" w:eastAsia="Arial" w:hAnsi="Arial"/>
                <w:sz w:val="14"/>
                <w:szCs w:val="14"/>
                <w:color w:val="auto"/>
              </w:rPr>
              <w:t>(217)</w:t>
            </w:r>
          </w:p>
        </w:tc>
        <w:tc>
          <w:tcPr>
            <w:tcW w:w="180" w:type="dxa"/>
            <w:vAlign w:val="bottom"/>
            <w:vMerge w:val="continue"/>
          </w:tcPr>
          <w:p>
            <w:pPr>
              <w:spacing w:after="0"/>
              <w:rPr>
                <w:sz w:val="11"/>
                <w:szCs w:val="11"/>
                <w:color w:val="auto"/>
              </w:rPr>
            </w:pPr>
          </w:p>
        </w:tc>
        <w:tc>
          <w:tcPr>
            <w:tcW w:w="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60" w:type="dxa"/>
            <w:vAlign w:val="bottom"/>
          </w:tcPr>
          <w:p>
            <w:pPr>
              <w:jc w:val="right"/>
              <w:spacing w:after="0" w:line="129" w:lineRule="exact"/>
              <w:rPr>
                <w:sz w:val="20"/>
                <w:szCs w:val="20"/>
                <w:color w:val="auto"/>
              </w:rPr>
            </w:pPr>
            <w:r>
              <w:rPr>
                <w:rFonts w:ascii="Arial" w:cs="Arial" w:eastAsia="Arial" w:hAnsi="Arial"/>
                <w:sz w:val="14"/>
                <w:szCs w:val="14"/>
                <w:color w:val="auto"/>
              </w:rPr>
              <w:t>985</w:t>
            </w:r>
          </w:p>
        </w:tc>
        <w:tc>
          <w:tcPr>
            <w:tcW w:w="180" w:type="dxa"/>
            <w:vAlign w:val="bottom"/>
            <w:vMerge w:val="continue"/>
          </w:tcPr>
          <w:p>
            <w:pPr>
              <w:spacing w:after="0"/>
              <w:rPr>
                <w:sz w:val="11"/>
                <w:szCs w:val="11"/>
                <w:color w:val="auto"/>
              </w:rPr>
            </w:pPr>
          </w:p>
        </w:tc>
        <w:tc>
          <w:tcPr>
            <w:tcW w:w="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00" w:type="dxa"/>
            <w:vAlign w:val="bottom"/>
          </w:tcPr>
          <w:p>
            <w:pPr>
              <w:jc w:val="right"/>
              <w:spacing w:after="0" w:line="129" w:lineRule="exact"/>
              <w:rPr>
                <w:sz w:val="20"/>
                <w:szCs w:val="20"/>
                <w:color w:val="auto"/>
              </w:rPr>
            </w:pPr>
            <w:r>
              <w:rPr>
                <w:rFonts w:ascii="Arial" w:cs="Arial" w:eastAsia="Arial" w:hAnsi="Arial"/>
                <w:sz w:val="14"/>
                <w:szCs w:val="14"/>
                <w:color w:val="auto"/>
              </w:rPr>
              <w:t>511</w:t>
            </w:r>
          </w:p>
        </w:tc>
        <w:tc>
          <w:tcPr>
            <w:tcW w:w="160" w:type="dxa"/>
            <w:vAlign w:val="bottom"/>
            <w:vMerge w:val="continue"/>
          </w:tcPr>
          <w:p>
            <w:pPr>
              <w:spacing w:after="0"/>
              <w:rPr>
                <w:sz w:val="11"/>
                <w:szCs w:val="11"/>
                <w:color w:val="auto"/>
              </w:rPr>
            </w:pPr>
          </w:p>
        </w:tc>
        <w:tc>
          <w:tcPr>
            <w:tcW w:w="6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540" w:type="dxa"/>
            <w:vAlign w:val="bottom"/>
          </w:tcPr>
          <w:p>
            <w:pPr>
              <w:jc w:val="right"/>
              <w:spacing w:after="0" w:line="129" w:lineRule="exact"/>
              <w:rPr>
                <w:sz w:val="20"/>
                <w:szCs w:val="20"/>
                <w:color w:val="auto"/>
              </w:rPr>
            </w:pPr>
            <w:r>
              <w:rPr>
                <w:rFonts w:ascii="Arial" w:cs="Arial" w:eastAsia="Arial" w:hAnsi="Arial"/>
                <w:sz w:val="14"/>
                <w:szCs w:val="14"/>
                <w:color w:val="auto"/>
              </w:rPr>
              <w:t>(172)</w:t>
            </w:r>
          </w:p>
        </w:tc>
        <w:tc>
          <w:tcPr>
            <w:tcW w:w="220" w:type="dxa"/>
            <w:vAlign w:val="bottom"/>
            <w:vMerge w:val="continue"/>
          </w:tcPr>
          <w:p>
            <w:pPr>
              <w:spacing w:after="0"/>
              <w:rPr>
                <w:sz w:val="11"/>
                <w:szCs w:val="11"/>
                <w:color w:val="auto"/>
              </w:rPr>
            </w:pPr>
          </w:p>
        </w:tc>
        <w:tc>
          <w:tcPr>
            <w:tcW w:w="220" w:type="dxa"/>
            <w:vAlign w:val="bottom"/>
          </w:tcPr>
          <w:p>
            <w:pPr>
              <w:spacing w:after="0"/>
              <w:rPr>
                <w:sz w:val="11"/>
                <w:szCs w:val="11"/>
                <w:color w:val="auto"/>
              </w:rPr>
            </w:pPr>
          </w:p>
        </w:tc>
        <w:tc>
          <w:tcPr>
            <w:tcW w:w="460" w:type="dxa"/>
            <w:vAlign w:val="bottom"/>
          </w:tcPr>
          <w:p>
            <w:pPr>
              <w:jc w:val="right"/>
              <w:spacing w:after="0" w:line="129" w:lineRule="exact"/>
              <w:rPr>
                <w:sz w:val="20"/>
                <w:szCs w:val="20"/>
                <w:color w:val="auto"/>
              </w:rPr>
            </w:pPr>
            <w:r>
              <w:rPr>
                <w:rFonts w:ascii="Arial" w:cs="Arial" w:eastAsia="Arial" w:hAnsi="Arial"/>
                <w:sz w:val="14"/>
                <w:szCs w:val="14"/>
                <w:color w:val="auto"/>
              </w:rPr>
              <w:t>20</w:t>
            </w:r>
          </w:p>
        </w:tc>
        <w:tc>
          <w:tcPr>
            <w:tcW w:w="180" w:type="dxa"/>
            <w:vAlign w:val="bottom"/>
            <w:vMerge w:val="continue"/>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jc w:val="right"/>
              <w:spacing w:after="0" w:line="129" w:lineRule="exact"/>
              <w:rPr>
                <w:sz w:val="20"/>
                <w:szCs w:val="20"/>
                <w:color w:val="auto"/>
              </w:rPr>
            </w:pPr>
            <w:r>
              <w:rPr>
                <w:rFonts w:ascii="Arial" w:cs="Arial" w:eastAsia="Arial" w:hAnsi="Arial"/>
                <w:sz w:val="14"/>
                <w:szCs w:val="14"/>
                <w:color w:val="auto"/>
              </w:rPr>
              <w:t>(1,127)</w:t>
            </w:r>
          </w:p>
        </w:tc>
        <w:tc>
          <w:tcPr>
            <w:tcW w:w="1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Cumulative interest rate sensitivity gap</w:t>
            </w: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(217)</w:t>
            </w:r>
          </w:p>
        </w:tc>
        <w:tc>
          <w:tcPr>
            <w:tcW w:w="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768</w:t>
            </w:r>
          </w:p>
        </w:tc>
        <w:tc>
          <w:tcPr>
            <w:tcW w:w="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1,279</w:t>
            </w:r>
          </w:p>
        </w:tc>
        <w:tc>
          <w:tcPr>
            <w:tcW w:w="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1,107</w:t>
            </w:r>
          </w:p>
        </w:tc>
        <w:tc>
          <w:tcPr>
            <w:tcW w:w="22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1,127</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0"/>
        </w:trPr>
        <w:tc>
          <w:tcPr>
            <w:tcW w:w="20" w:type="dxa"/>
            <w:vAlign w:val="bottom"/>
          </w:tcPr>
          <w:p>
            <w:pPr>
              <w:spacing w:after="0"/>
              <w:rPr>
                <w:sz w:val="13"/>
                <w:szCs w:val="13"/>
                <w:color w:val="auto"/>
              </w:rPr>
            </w:pPr>
          </w:p>
        </w:tc>
        <w:tc>
          <w:tcPr>
            <w:tcW w:w="4240" w:type="dxa"/>
            <w:vAlign w:val="bottom"/>
          </w:tcPr>
          <w:p>
            <w:pPr>
              <w:spacing w:after="0" w:line="150" w:lineRule="exact"/>
              <w:rPr>
                <w:sz w:val="20"/>
                <w:szCs w:val="20"/>
                <w:color w:val="auto"/>
              </w:rPr>
            </w:pPr>
            <w:r>
              <w:rPr>
                <w:rFonts w:ascii="Arial" w:cs="Arial" w:eastAsia="Arial" w:hAnsi="Arial"/>
                <w:sz w:val="14"/>
                <w:szCs w:val="14"/>
                <w:color w:val="auto"/>
              </w:rPr>
              <w:t>Cumulative gap as a % of total interest-earning assets</w:t>
            </w:r>
          </w:p>
        </w:tc>
        <w:tc>
          <w:tcPr>
            <w:tcW w:w="6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40" w:type="dxa"/>
            <w:vAlign w:val="bottom"/>
            <w:gridSpan w:val="2"/>
          </w:tcPr>
          <w:p>
            <w:pPr>
              <w:jc w:val="right"/>
              <w:ind w:right="60"/>
              <w:spacing w:after="0" w:line="150" w:lineRule="exact"/>
              <w:rPr>
                <w:sz w:val="20"/>
                <w:szCs w:val="20"/>
                <w:color w:val="auto"/>
              </w:rPr>
            </w:pPr>
            <w:r>
              <w:rPr>
                <w:rFonts w:ascii="Arial" w:cs="Arial" w:eastAsia="Arial" w:hAnsi="Arial"/>
                <w:sz w:val="14"/>
                <w:szCs w:val="14"/>
                <w:color w:val="auto"/>
              </w:rPr>
              <w:t>-3%</w:t>
            </w:r>
          </w:p>
        </w:tc>
        <w:tc>
          <w:tcPr>
            <w:tcW w:w="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40" w:type="dxa"/>
            <w:vAlign w:val="bottom"/>
            <w:gridSpan w:val="2"/>
          </w:tcPr>
          <w:p>
            <w:pPr>
              <w:jc w:val="right"/>
              <w:ind w:right="60"/>
              <w:spacing w:after="0" w:line="150" w:lineRule="exact"/>
              <w:rPr>
                <w:sz w:val="20"/>
                <w:szCs w:val="20"/>
                <w:color w:val="auto"/>
              </w:rPr>
            </w:pPr>
            <w:r>
              <w:rPr>
                <w:rFonts w:ascii="Arial" w:cs="Arial" w:eastAsia="Arial" w:hAnsi="Arial"/>
                <w:sz w:val="14"/>
                <w:szCs w:val="14"/>
                <w:color w:val="auto"/>
              </w:rPr>
              <w:t>12%</w:t>
            </w:r>
          </w:p>
        </w:tc>
        <w:tc>
          <w:tcPr>
            <w:tcW w:w="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60" w:type="dxa"/>
            <w:vAlign w:val="bottom"/>
            <w:gridSpan w:val="2"/>
          </w:tcPr>
          <w:p>
            <w:pPr>
              <w:jc w:val="right"/>
              <w:ind w:right="40"/>
              <w:spacing w:after="0" w:line="150" w:lineRule="exact"/>
              <w:rPr>
                <w:sz w:val="20"/>
                <w:szCs w:val="20"/>
                <w:color w:val="auto"/>
              </w:rPr>
            </w:pPr>
            <w:r>
              <w:rPr>
                <w:rFonts w:ascii="Arial" w:cs="Arial" w:eastAsia="Arial" w:hAnsi="Arial"/>
                <w:sz w:val="14"/>
                <w:szCs w:val="14"/>
                <w:color w:val="auto"/>
              </w:rPr>
              <w:t>20%</w:t>
            </w: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760" w:type="dxa"/>
            <w:vAlign w:val="bottom"/>
            <w:gridSpan w:val="2"/>
          </w:tcPr>
          <w:p>
            <w:pPr>
              <w:jc w:val="right"/>
              <w:ind w:right="100"/>
              <w:spacing w:after="0" w:line="150" w:lineRule="exact"/>
              <w:rPr>
                <w:sz w:val="20"/>
                <w:szCs w:val="20"/>
                <w:color w:val="auto"/>
              </w:rPr>
            </w:pPr>
            <w:r>
              <w:rPr>
                <w:rFonts w:ascii="Arial" w:cs="Arial" w:eastAsia="Arial" w:hAnsi="Arial"/>
                <w:sz w:val="14"/>
                <w:szCs w:val="14"/>
                <w:color w:val="auto"/>
              </w:rPr>
              <w:t>18%</w:t>
            </w:r>
          </w:p>
        </w:tc>
        <w:tc>
          <w:tcPr>
            <w:tcW w:w="220" w:type="dxa"/>
            <w:vAlign w:val="bottom"/>
          </w:tcPr>
          <w:p>
            <w:pPr>
              <w:spacing w:after="0"/>
              <w:rPr>
                <w:sz w:val="13"/>
                <w:szCs w:val="13"/>
                <w:color w:val="auto"/>
              </w:rPr>
            </w:pPr>
          </w:p>
        </w:tc>
        <w:tc>
          <w:tcPr>
            <w:tcW w:w="640" w:type="dxa"/>
            <w:vAlign w:val="bottom"/>
            <w:gridSpan w:val="2"/>
          </w:tcPr>
          <w:p>
            <w:pPr>
              <w:jc w:val="right"/>
              <w:ind w:right="60"/>
              <w:spacing w:after="0" w:line="150" w:lineRule="exact"/>
              <w:rPr>
                <w:sz w:val="20"/>
                <w:szCs w:val="20"/>
                <w:color w:val="auto"/>
              </w:rPr>
            </w:pPr>
            <w:r>
              <w:rPr>
                <w:rFonts w:ascii="Arial" w:cs="Arial" w:eastAsia="Arial" w:hAnsi="Arial"/>
                <w:sz w:val="14"/>
                <w:szCs w:val="14"/>
                <w:color w:val="auto"/>
              </w:rPr>
              <w:t>18%</w:t>
            </w:r>
          </w:p>
        </w:tc>
        <w:tc>
          <w:tcPr>
            <w:tcW w:w="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20" w:type="dxa"/>
            <w:vAlign w:val="bottom"/>
            <w:gridSpan w:val="2"/>
          </w:tcPr>
          <w:p>
            <w:pPr>
              <w:jc w:val="right"/>
              <w:spacing w:after="0" w:line="150"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bl>
    <w:p>
      <w:pPr>
        <w:spacing w:after="0"/>
        <w:rPr>
          <w:sz w:val="20"/>
          <w:szCs w:val="20"/>
          <w:color w:val="auto"/>
        </w:rPr>
      </w:pPr>
      <w:r>
        <w:rPr>
          <w:rFonts w:ascii="Arial" w:cs="Arial" w:eastAsia="Arial" w:hAnsi="Arial"/>
          <w:sz w:val="30"/>
          <w:szCs w:val="30"/>
          <w:color w:val="auto"/>
          <w:vertAlign w:val="superscript"/>
        </w:rPr>
        <w:t>(1)</w:t>
      </w:r>
      <w:r>
        <w:rPr>
          <w:rFonts w:ascii="Arial" w:cs="Arial" w:eastAsia="Arial" w:hAnsi="Arial"/>
          <w:sz w:val="18"/>
          <w:szCs w:val="18"/>
          <w:color w:val="auto"/>
        </w:rPr>
        <w:t>Gross of prepaid commissions of $4.2 million as of December 31, 2017.</w:t>
      </w:r>
    </w:p>
    <w:p>
      <w:pPr>
        <w:spacing w:after="0" w:line="2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74" w:name="page75"/>
    <w:bookmarkEnd w:id="74"/>
    <w:p>
      <w:pPr>
        <w:jc w:val="both"/>
        <w:spacing w:after="0" w:line="293" w:lineRule="auto"/>
        <w:rPr>
          <w:sz w:val="20"/>
          <w:szCs w:val="20"/>
          <w:color w:val="auto"/>
        </w:rPr>
      </w:pPr>
      <w:r>
        <w:rPr>
          <w:rFonts w:ascii="Arial" w:cs="Arial" w:eastAsia="Arial" w:hAnsi="Arial"/>
          <w:sz w:val="16"/>
          <w:szCs w:val="16"/>
          <w:color w:val="auto"/>
        </w:rPr>
        <w:t>The Bank’s interest rate risk is the exposure of earnings (current and potential) and capital to changes in interest rates. Due to the fact that the significant majority of the Bank’s assets and liabilities are either short-term or have short-term US-LIBOR based repricing schedules, the Bank has a relatively low exposure to interest rate volatility, with most interest rate sensitivity being short-term in nature (up to six months). Through an active interest rate management strategy, the Bank has aligned this moderate exposure to profit from an increase in short-term LIBOR rates.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color w:val="auto"/>
        </w:rPr>
        <w:t>See Item 11, “Quantitative and Qualitative Disclosure About Market Risk.”</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Stockholders’ Equity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information regarding the Bank’s capital position at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1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560" w:type="dxa"/>
            <w:vAlign w:val="bottom"/>
            <w:tcBorders>
              <w:bottom w:val="single" w:sz="8" w:color="auto"/>
            </w:tcBorders>
            <w:gridSpan w:val="4"/>
          </w:tcPr>
          <w:p>
            <w:pPr>
              <w:jc w:val="right"/>
              <w:ind w:right="60"/>
              <w:spacing w:after="0"/>
              <w:rPr>
                <w:sz w:val="20"/>
                <w:szCs w:val="20"/>
                <w:color w:val="auto"/>
              </w:rPr>
            </w:pPr>
            <w:r>
              <w:rPr>
                <w:rFonts w:ascii="Arial" w:cs="Arial" w:eastAsia="Arial" w:hAnsi="Arial"/>
                <w:sz w:val="18"/>
                <w:szCs w:val="18"/>
                <w:b w:val="1"/>
                <w:bCs w:val="1"/>
                <w:color w:val="auto"/>
                <w:w w:val="88"/>
              </w:rPr>
              <w:t>As of December 31,</w:t>
            </w:r>
          </w:p>
        </w:tc>
        <w:tc>
          <w:tcPr>
            <w:tcW w:w="6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612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8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4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r>
      <w:tr>
        <w:trPr>
          <w:trHeight w:val="210"/>
        </w:trPr>
        <w:tc>
          <w:tcPr>
            <w:tcW w:w="6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4"/>
          </w:tcPr>
          <w:p>
            <w:pPr>
              <w:jc w:val="right"/>
              <w:ind w:right="180"/>
              <w:spacing w:after="0"/>
              <w:rPr>
                <w:sz w:val="20"/>
                <w:szCs w:val="20"/>
                <w:color w:val="auto"/>
              </w:rPr>
            </w:pPr>
            <w:r>
              <w:rPr>
                <w:rFonts w:ascii="Arial" w:cs="Arial" w:eastAsia="Arial" w:hAnsi="Arial"/>
                <w:sz w:val="18"/>
                <w:szCs w:val="18"/>
                <w:b w:val="1"/>
                <w:bCs w:val="1"/>
                <w:color w:val="auto"/>
                <w:w w:val="97"/>
              </w:rPr>
              <w:t>(in $ thousands)</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120" w:type="dxa"/>
            <w:vAlign w:val="bottom"/>
            <w:shd w:val="clear" w:color="auto" w:fill="CCEEFF"/>
          </w:tcPr>
          <w:p>
            <w:pPr>
              <w:spacing w:after="0"/>
              <w:rPr>
                <w:sz w:val="20"/>
                <w:szCs w:val="20"/>
                <w:color w:val="auto"/>
              </w:rPr>
            </w:pPr>
            <w:r>
              <w:rPr>
                <w:rFonts w:ascii="Arial" w:cs="Arial" w:eastAsia="Arial" w:hAnsi="Arial"/>
                <w:sz w:val="18"/>
                <w:szCs w:val="18"/>
                <w:color w:val="auto"/>
              </w:rPr>
              <w:t>Common stock</w:t>
            </w:r>
          </w:p>
        </w:tc>
        <w:tc>
          <w:tcPr>
            <w:tcW w:w="1260" w:type="dxa"/>
            <w:vAlign w:val="bottom"/>
            <w:gridSpan w:val="2"/>
            <w:shd w:val="clear" w:color="auto" w:fill="CCEEFF"/>
          </w:tcPr>
          <w:p>
            <w:pPr>
              <w:jc w:val="right"/>
              <w:ind w:right="125"/>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279,980</w:t>
            </w:r>
          </w:p>
        </w:tc>
        <w:tc>
          <w:tcPr>
            <w:tcW w:w="440" w:type="dxa"/>
            <w:vAlign w:val="bottom"/>
            <w:gridSpan w:val="2"/>
            <w:shd w:val="clear" w:color="auto" w:fill="CCEEFF"/>
          </w:tcPr>
          <w:p>
            <w:pPr>
              <w:jc w:val="right"/>
              <w:ind w:right="105"/>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279,980</w:t>
            </w:r>
          </w:p>
        </w:tc>
        <w:tc>
          <w:tcPr>
            <w:tcW w:w="3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279,980</w:t>
            </w:r>
          </w:p>
        </w:tc>
      </w:tr>
      <w:tr>
        <w:trPr>
          <w:trHeight w:val="216"/>
        </w:trPr>
        <w:tc>
          <w:tcPr>
            <w:tcW w:w="6120" w:type="dxa"/>
            <w:vAlign w:val="bottom"/>
          </w:tcPr>
          <w:p>
            <w:pPr>
              <w:spacing w:after="0"/>
              <w:rPr>
                <w:sz w:val="20"/>
                <w:szCs w:val="20"/>
                <w:color w:val="auto"/>
              </w:rPr>
            </w:pPr>
            <w:r>
              <w:rPr>
                <w:rFonts w:ascii="Arial" w:cs="Arial" w:eastAsia="Arial" w:hAnsi="Arial"/>
                <w:sz w:val="18"/>
                <w:szCs w:val="18"/>
                <w:color w:val="auto"/>
              </w:rPr>
              <w:t>Treasury stock</w:t>
            </w: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(63,248)</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(69,176)</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(73,397)</w:t>
            </w:r>
          </w:p>
        </w:tc>
      </w:tr>
      <w:tr>
        <w:trPr>
          <w:trHeight w:val="216"/>
        </w:trPr>
        <w:tc>
          <w:tcPr>
            <w:tcW w:w="6120" w:type="dxa"/>
            <w:vAlign w:val="bottom"/>
            <w:shd w:val="clear" w:color="auto" w:fill="CCEEFF"/>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119,941</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120,594</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120,177</w:t>
            </w:r>
          </w:p>
        </w:tc>
      </w:tr>
      <w:tr>
        <w:trPr>
          <w:trHeight w:val="216"/>
        </w:trPr>
        <w:tc>
          <w:tcPr>
            <w:tcW w:w="6120" w:type="dxa"/>
            <w:vAlign w:val="bottom"/>
          </w:tcPr>
          <w:p>
            <w:pPr>
              <w:spacing w:after="0"/>
              <w:rPr>
                <w:sz w:val="20"/>
                <w:szCs w:val="20"/>
                <w:color w:val="auto"/>
              </w:rPr>
            </w:pPr>
            <w:r>
              <w:rPr>
                <w:rFonts w:ascii="Arial" w:cs="Arial" w:eastAsia="Arial" w:hAnsi="Arial"/>
                <w:sz w:val="18"/>
                <w:szCs w:val="18"/>
                <w:color w:val="auto"/>
              </w:rPr>
              <w:t>Capital reserves</w:t>
            </w: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95,210</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95,210</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95,210</w:t>
            </w:r>
          </w:p>
        </w:tc>
      </w:tr>
      <w:tr>
        <w:trPr>
          <w:trHeight w:val="216"/>
        </w:trPr>
        <w:tc>
          <w:tcPr>
            <w:tcW w:w="612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608,966</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587,507</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560,642</w:t>
            </w:r>
          </w:p>
        </w:tc>
      </w:tr>
      <w:tr>
        <w:trPr>
          <w:trHeight w:val="230"/>
        </w:trPr>
        <w:tc>
          <w:tcPr>
            <w:tcW w:w="6120" w:type="dxa"/>
            <w:vAlign w:val="bottom"/>
          </w:tcPr>
          <w:p>
            <w:pPr>
              <w:spacing w:after="0"/>
              <w:rPr>
                <w:sz w:val="20"/>
                <w:szCs w:val="20"/>
                <w:color w:val="auto"/>
              </w:rPr>
            </w:pPr>
            <w:r>
              <w:rPr>
                <w:rFonts w:ascii="Arial" w:cs="Arial" w:eastAsia="Arial" w:hAnsi="Arial"/>
                <w:sz w:val="18"/>
                <w:szCs w:val="18"/>
                <w:color w:val="auto"/>
              </w:rPr>
              <w:t>Accumulated other comprehensive income (loss)</w:t>
            </w:r>
          </w:p>
        </w:tc>
        <w:tc>
          <w:tcPr>
            <w:tcW w:w="9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1,963</w:t>
            </w:r>
          </w:p>
        </w:tc>
        <w:tc>
          <w:tcPr>
            <w:tcW w:w="1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(2,801)</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(10,681)</w:t>
            </w:r>
          </w:p>
        </w:tc>
      </w:tr>
      <w:tr>
        <w:trPr>
          <w:trHeight w:val="223"/>
        </w:trPr>
        <w:tc>
          <w:tcPr>
            <w:tcW w:w="6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stockholders’ equity</w:t>
            </w:r>
          </w:p>
        </w:tc>
        <w:tc>
          <w:tcPr>
            <w:tcW w:w="98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1,042,812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1,011,314</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971,931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1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As of December 31, 2017, total stockholders’ equity amounted to $1,043 million, compared to $1,011 million as of December 31, 2016 and compared to $972 million as of December 31, 2015. The Bank’ equity consists of issued and fully paid ordinary common stock and retained earnings.</w:t>
      </w:r>
    </w:p>
    <w:p>
      <w:pPr>
        <w:spacing w:after="0" w:line="14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Total stockholders’ equity increased $32 million during the year ended December 31, 2017, primarily due to (i) a $21 million increase in retained earnings mostly from $82 million profit for the year ended December 31, 2017, which was partially offset by the $61 million cash dividend declared in 2017, and (ii) a $5 million positive variation in accumulated other comprehensive income mostly resulting from reclassification adjustments for losses on derivative financial instruments, and exchange difference in conversion of foreign operating currency.</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During 2016, total stockholders’ equity increased by $39 million compared to 2015. This increase was primarily due to a $27 million increase in retained earnings as a result of an $87 million profit for the year ended December 31, 2016, which was partially offset by a $60 million cash dividend declared in 2016, and (ii) an $8 million decrease in accumulated other comprehensive loss attributable to net unrealized gain arising from improved mark-to-market conditions in 2016, and reclassification adjustments for losses on the sale of financial instruments at FVOCI.</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Capital reserves are established as an appropriation of retained earnings and, as such, are a form of retained earnings. Capital reserves are intended to strengthen the Bank’s capital position. Reductions of these reserves, for purposes such as the payment of dividends, require the approval of the Board and Panamanian banking authorities.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December 31, 2017, the capital ratio of total stockholders’ equity to total assets was 16.6%, and the Bank’s Tier 1 capital ratio calculated according to Basel III capital adequacy guidelines was 21.1%, compared to 14.1% and 17.9%, respectively, as of December 31, 2016. The 2017 leverage ratio was 6.0x compared to 7.1x in 2016.</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75" w:name="page76"/>
    <w:bookmarkEnd w:id="75"/>
    <w:p>
      <w:pPr>
        <w:spacing w:after="0" w:line="277" w:lineRule="auto"/>
        <w:rPr>
          <w:sz w:val="20"/>
          <w:szCs w:val="20"/>
          <w:color w:val="auto"/>
        </w:rPr>
      </w:pPr>
      <w:r>
        <w:rPr>
          <w:rFonts w:ascii="Arial" w:cs="Arial" w:eastAsia="Arial" w:hAnsi="Arial"/>
          <w:sz w:val="18"/>
          <w:szCs w:val="18"/>
          <w:color w:val="auto"/>
        </w:rPr>
        <w:t>As of December 31, 2017, the Bank’s total capital to risk-weighted asset ratio, calculated according to the guidelines of the Banking Law, was 18.7%, compared to 16.6% as of December 31, 2016.</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See Item 4, “Information on the Company—Business Overview—Supervision and Regulation,” and Item 18, “Financial Statements,” notes 14, 15, 16, 19 and 27.4.</w:t>
      </w:r>
    </w:p>
    <w:p>
      <w:pPr>
        <w:spacing w:after="0" w:line="166" w:lineRule="exact"/>
        <w:rPr>
          <w:sz w:val="20"/>
          <w:szCs w:val="20"/>
          <w:color w:val="auto"/>
        </w:rPr>
      </w:pPr>
    </w:p>
    <w:p>
      <w:pPr>
        <w:ind w:left="520" w:right="6780" w:hanging="512"/>
        <w:spacing w:after="0" w:line="501" w:lineRule="auto"/>
        <w:tabs>
          <w:tab w:leader="none" w:pos="506" w:val="left"/>
        </w:tabs>
        <w:numPr>
          <w:ilvl w:val="0"/>
          <w:numId w:val="47"/>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Research and Development, Patents and Licenses, etc. </w:t>
      </w:r>
      <w:r>
        <w:rPr>
          <w:rFonts w:ascii="Arial" w:cs="Arial" w:eastAsia="Arial" w:hAnsi="Arial"/>
          <w:sz w:val="18"/>
          <w:szCs w:val="18"/>
          <w:color w:val="auto"/>
        </w:rPr>
        <w:t>Not applicable.</w:t>
      </w:r>
    </w:p>
    <w:p>
      <w:pPr>
        <w:ind w:left="500" w:hanging="492"/>
        <w:spacing w:after="0"/>
        <w:tabs>
          <w:tab w:leader="none" w:pos="500" w:val="left"/>
        </w:tabs>
        <w:numPr>
          <w:ilvl w:val="0"/>
          <w:numId w:val="47"/>
        </w:numPr>
        <w:rPr>
          <w:rFonts w:ascii="Arial" w:cs="Arial" w:eastAsia="Arial" w:hAnsi="Arial"/>
          <w:sz w:val="18"/>
          <w:szCs w:val="18"/>
          <w:b w:val="1"/>
          <w:bCs w:val="1"/>
          <w:color w:val="auto"/>
        </w:rPr>
      </w:pPr>
      <w:r>
        <w:rPr>
          <w:rFonts w:ascii="Arial" w:cs="Arial" w:eastAsia="Arial" w:hAnsi="Arial"/>
          <w:sz w:val="18"/>
          <w:szCs w:val="18"/>
          <w:b w:val="1"/>
          <w:bCs w:val="1"/>
          <w:color w:val="auto"/>
        </w:rPr>
        <w:t>Trend Information</w:t>
      </w:r>
    </w:p>
    <w:p>
      <w:pPr>
        <w:spacing w:after="0" w:line="229" w:lineRule="exact"/>
        <w:rPr>
          <w:sz w:val="20"/>
          <w:szCs w:val="20"/>
          <w:color w:val="auto"/>
        </w:rPr>
      </w:pPr>
    </w:p>
    <w:p>
      <w:pPr>
        <w:spacing w:after="0" w:line="308" w:lineRule="auto"/>
        <w:rPr>
          <w:sz w:val="20"/>
          <w:szCs w:val="20"/>
          <w:color w:val="auto"/>
        </w:rPr>
      </w:pPr>
      <w:r>
        <w:rPr>
          <w:rFonts w:ascii="Arial" w:cs="Arial" w:eastAsia="Arial" w:hAnsi="Arial"/>
          <w:sz w:val="17"/>
          <w:szCs w:val="17"/>
          <w:color w:val="auto"/>
        </w:rPr>
        <w:t>The following are the most important trends, uncertainties and events that the Bank’s management believes are likely to materially affect the Bank or that could cause the financial information disclosed herein not to be indicative of the Bank’s future operating results or financial condition:</w:t>
      </w:r>
    </w:p>
    <w:p>
      <w:pPr>
        <w:spacing w:after="0" w:line="147" w:lineRule="exact"/>
        <w:rPr>
          <w:sz w:val="20"/>
          <w:szCs w:val="20"/>
          <w:color w:val="auto"/>
        </w:rPr>
      </w:pPr>
    </w:p>
    <w:p>
      <w:pPr>
        <w:jc w:val="both"/>
        <w:ind w:left="820" w:hanging="488"/>
        <w:spacing w:after="0" w:line="254"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The Bank’s results may be affected by changes in global economic conditions, including the prices of oil and other commodities, uncertainties regarding U.S. policies affecting the dollar exchange rate, liquidity access, interest rates, slower economic growth in developed countries and trading partners, and the effect that these changes may have on the economic condition of countries in the Region, including the Region’s foreign trade growth, and, therefore, the growth of the Bank’s trade financing business;</w:t>
      </w:r>
    </w:p>
    <w:p>
      <w:pPr>
        <w:spacing w:after="0" w:line="2" w:lineRule="exact"/>
        <w:rPr>
          <w:rFonts w:ascii="Arial" w:cs="Arial" w:eastAsia="Arial" w:hAnsi="Arial"/>
          <w:sz w:val="18"/>
          <w:szCs w:val="18"/>
          <w:color w:val="auto"/>
        </w:rPr>
      </w:pPr>
    </w:p>
    <w:p>
      <w:pPr>
        <w:jc w:val="both"/>
        <w:ind w:left="820" w:hanging="488"/>
        <w:spacing w:after="0" w:line="250"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The Region may be impacted by weaker currencies against the U.S. dollar given concerns about continual rate increases. Any U.S. monetary tightening, in conjunction with rising inflation, could prompt many of the Region’s central banks to tighten monetary policy. The resulting increased interest rates would lead to weaker asset quality because borrowers’ repayment capacity might be reduced, which could likely lead to an increase in non-performing loans;</w:t>
      </w:r>
    </w:p>
    <w:p>
      <w:pPr>
        <w:spacing w:after="0" w:line="1" w:lineRule="exact"/>
        <w:rPr>
          <w:rFonts w:ascii="Arial" w:cs="Arial" w:eastAsia="Arial" w:hAnsi="Arial"/>
          <w:sz w:val="18"/>
          <w:szCs w:val="18"/>
          <w:color w:val="auto"/>
        </w:rPr>
      </w:pPr>
    </w:p>
    <w:p>
      <w:pPr>
        <w:jc w:val="both"/>
        <w:ind w:left="820" w:hanging="488"/>
        <w:spacing w:after="0" w:line="250"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In Mexico, uncertainty surrounding NAFTA and the July 1, 2018 elections may affect the Bank’s business. There is a significant possibility that NAFTA renegotiations may stop and/or the U.S. may withdraw from negotiations or from NAFTA itself. Any such event could impact investor confidence, as well as levels of investment and consumption, both in Mexico and throughout the Region. The Bank is unsure how its business and the Region will be impacted by these events;</w:t>
      </w:r>
    </w:p>
    <w:p>
      <w:pPr>
        <w:spacing w:after="0" w:line="1" w:lineRule="exact"/>
        <w:rPr>
          <w:rFonts w:ascii="Arial" w:cs="Arial" w:eastAsia="Arial" w:hAnsi="Arial"/>
          <w:sz w:val="18"/>
          <w:szCs w:val="18"/>
          <w:color w:val="auto"/>
        </w:rPr>
      </w:pPr>
    </w:p>
    <w:p>
      <w:pPr>
        <w:jc w:val="both"/>
        <w:ind w:left="820" w:hanging="488"/>
        <w:spacing w:after="0" w:line="250"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Diverging monetary stimulus policies in certain important global economies, most importantly any policy shift that may disrupt trade, remittances, or foreign restrictions derived from the U.S. administration’s policy agenda, could result in greater disparity of global interest rates, leading to possible changes in global capital flows. As a result, capital flows to the Region could be significantly curtailed. A slowdown in capital flows could potentially destabilize exchange rates and the financing of current account balances, which may cause inflationary pressures and tighter monetary policies. A resulting economic slowdown or related political events in the Region could have an adverse effect on the growth prospects in the Region, and on the Bank’s asset quality and operations;</w:t>
      </w:r>
    </w:p>
    <w:p>
      <w:pPr>
        <w:spacing w:after="0" w:line="2" w:lineRule="exact"/>
        <w:rPr>
          <w:rFonts w:ascii="Arial" w:cs="Arial" w:eastAsia="Arial" w:hAnsi="Arial"/>
          <w:sz w:val="18"/>
          <w:szCs w:val="18"/>
          <w:color w:val="auto"/>
        </w:rPr>
      </w:pPr>
    </w:p>
    <w:p>
      <w:pPr>
        <w:jc w:val="both"/>
        <w:ind w:left="820" w:right="20" w:hanging="488"/>
        <w:spacing w:after="0" w:line="250"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Changes of risk perception in the markets in which the Bank operates could lead to increased or decreased competition, and impact the availability of U.S. dollar liquidity, which could affect spreads over the cost of funds on the Bank’s Loan Portfolio and, consequently, impact the Bank’s net interest spreads.</w:t>
      </w:r>
    </w:p>
    <w:p>
      <w:pPr>
        <w:spacing w:after="0" w:line="1" w:lineRule="exact"/>
        <w:rPr>
          <w:rFonts w:ascii="Arial" w:cs="Arial" w:eastAsia="Arial" w:hAnsi="Arial"/>
          <w:sz w:val="18"/>
          <w:szCs w:val="18"/>
          <w:color w:val="auto"/>
        </w:rPr>
      </w:pPr>
    </w:p>
    <w:p>
      <w:pPr>
        <w:jc w:val="both"/>
        <w:ind w:left="820" w:hanging="488"/>
        <w:spacing w:after="0" w:line="254"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A prolonged downturn in global debt capital markets stemming from credit risk aversions, anti-money laundering, or other economic or political concerns pertaining to the Region, or a continued downturn in investor confidence, could affect the Bank’s access to cross border funding or increase its cost of funding. Furthermore, de-risking by global banks may reduce lender access to cross border payment processing, and to lower fund inflows into the Region.</w:t>
      </w: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76" w:name="page77"/>
    <w:bookmarkEnd w:id="76"/>
    <w:p>
      <w:pPr>
        <w:spacing w:after="0"/>
        <w:rPr>
          <w:sz w:val="20"/>
          <w:szCs w:val="20"/>
          <w:color w:val="auto"/>
        </w:rPr>
      </w:pPr>
      <w:r>
        <w:rPr>
          <w:rFonts w:ascii="Arial" w:cs="Arial" w:eastAsia="Arial" w:hAnsi="Arial"/>
          <w:sz w:val="18"/>
          <w:szCs w:val="18"/>
          <w:i w:val="1"/>
          <w:iCs w:val="1"/>
          <w:color w:val="auto"/>
        </w:rPr>
        <w:t>Year 2017</w:t>
      </w:r>
    </w:p>
    <w:p>
      <w:pPr>
        <w:spacing w:after="0" w:line="225"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The Bank’s profit for the year 2017 totaled $82.0 million, compared to $87.0 million in 2016. The $5.0 million, or 6%, decrease was mostly attributable to: (i) lower net interest income from reduced average loan balances and narrower lending spreads, as the Bank mitigated risk and diversified its portfolio mix, as well as shortened its average lending tenor, and (ii) non-recurring personnel-change related expenses, resulting in $3.2 million in charges for 2017, both of which were mostly offset by the positive effects of: (i) improved credit quality reflected in lower impairment loss from ECL, (ii) strong annual growth in fee income from its letters of credit business and structuring / syndication activity, (iii) the absence of non-core trading losses, as the Bank completely divested from its participation in investment funds during 2016, and (iv) a decrease in its recurring base of operating expenses (excluding personnel-change related expenses), reflecting the Bank’s focus on increasing efficiency through technology, processes and structural improvements.</w:t>
      </w:r>
    </w:p>
    <w:p>
      <w:pPr>
        <w:spacing w:after="0" w:line="167"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For the year ended December 31, 2017, the Bank’s net interest income and margin reached $119.8 million, and 1.85%, respectively, compared to $155.2 million, and 2.08%, respectively, during the year ended December 31, 2016. The decreases in net interest income and margin were mostly impacted by: (i) lower average loan volumes, as the Bank improved its portfolio risk profile by reducing unwanted exposures to certain countries, industries and clients, along with an increasing focus on short-term lending, and (ii) tighter lending spreads from shortened average tenors combined with pricing pressures from increased levels of USD liquidity, while the Bank prioritized adequate risk-return pricing over volume growth. These effects were partially offset by (i) upward repricing on LIBOR-based market rates, which impacted both the earning-assets side and the financial liabilities side due to the Bank’s short-tenor interest rate gap structure, and (ii) lower spreads on its funding, as the Bank continued to benefit from the flight to quality trend among global funding sources, given the negative credit cycle in the Region.</w:t>
      </w:r>
    </w:p>
    <w:p>
      <w:pPr>
        <w:spacing w:after="0" w:line="192" w:lineRule="exact"/>
        <w:rPr>
          <w:sz w:val="20"/>
          <w:szCs w:val="20"/>
          <w:color w:val="auto"/>
        </w:rPr>
      </w:pPr>
    </w:p>
    <w:p>
      <w:pPr>
        <w:jc w:val="both"/>
        <w:ind w:right="20"/>
        <w:spacing w:after="0" w:line="302" w:lineRule="auto"/>
        <w:rPr>
          <w:sz w:val="20"/>
          <w:szCs w:val="20"/>
          <w:color w:val="auto"/>
        </w:rPr>
      </w:pPr>
      <w:r>
        <w:rPr>
          <w:rFonts w:ascii="Arial" w:cs="Arial" w:eastAsia="Arial" w:hAnsi="Arial"/>
          <w:sz w:val="16"/>
          <w:szCs w:val="16"/>
          <w:color w:val="auto"/>
        </w:rPr>
        <w:t>Fees and commissions amounted to $17.5 million for the year ended December 31, 2017, compared to $14.3 million for the year ended December 31, 2016. The $3.2 million, or 22%, increase was primarily driven by the upward trend in fee generation from the Bank’s structuring and syndication activities, with seven transactions resulting in fees of $6.6 million having closed in 2017, and strong annual growth of $3.0 million in fee income from the Bank’s letters of credit business, due to a more diversified letter of credit client base, and the Bank’s focus on deepening the its participation in the trade value chain.</w:t>
      </w:r>
    </w:p>
    <w:p>
      <w:pPr>
        <w:spacing w:after="0" w:line="154"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Return on average equity (“ROAE”) reached 8.0% for 2017, compared to 8.8% for the year 2016, as a result of lower profits for 2017 and an increased capitalization level, with a Tier 1 Basel III Capital Ratio of 21.1% as of December 31, 2017, compared to 17.9% as of December 31, 2016.</w:t>
      </w:r>
    </w:p>
    <w:p>
      <w:pPr>
        <w:spacing w:after="0" w:line="147"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Bank’s 2017 efficiency ratio reached 34%, compared to 27% for the year 2016, mainly due to non-recurring operating expenses and lower total income generation year-over-year. The Bank’s operating expenses to average assets ratio was 72 basis points in 2017 compared to 61 basis points in 2016.</w:t>
      </w:r>
    </w:p>
    <w:p>
      <w:pPr>
        <w:spacing w:after="0" w:line="124"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weighted average funding cost for the year ended December 31, 2017 was 1.95%, compared to 1.39% for the year ended December 31, 2016, an increase of 56 basis points mainly reflecting the increase in LIBOR-based market rates, which was partly offset by lower funding spreads.</w:t>
      </w:r>
    </w:p>
    <w:p>
      <w:pPr>
        <w:spacing w:after="0" w:line="14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 addition, see Item 3.D. “Key Information—Risk Factors,” for a discussion of the risks the Bank faces, which could affect the Bank’s business, results of operations and/or financial condition, and Item 5.A., “Operating Results,” for a discussion of the Bank’s financial results.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35" w:right="239" w:bottom="1440" w:gutter="0" w:footer="0" w:header="0"/>
        </w:sectPr>
      </w:pPr>
    </w:p>
    <w:bookmarkStart w:id="77" w:name="page78"/>
    <w:bookmarkEnd w:id="77"/>
    <w:p>
      <w:pPr>
        <w:ind w:left="660" w:hanging="652"/>
        <w:spacing w:after="0"/>
        <w:tabs>
          <w:tab w:leader="none" w:pos="66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Off-Balance Sheet Arrangements</w:t>
      </w:r>
    </w:p>
    <w:p>
      <w:pPr>
        <w:spacing w:after="0" w:line="229"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In the normal course of business, in order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 The contractual amount of these instruments represents the maximum possible credit risk should the counterparty draw down the commitment or the Bank fulfill the obligation under the guarantee, and the counterparty subsequently fails to perform according to the terms of the contract. Most of these commitments and guarantees expire without the counterparty drawing on the credit line or a default occurring. As a result, the total contractual amount of these instruments does not represent our future credit exposure or funding requirements.</w:t>
      </w:r>
    </w:p>
    <w:p>
      <w:pPr>
        <w:spacing w:after="0" w:line="17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December 31, 2017, the Bank’s off-balance sheet arrangements, as defined in the Instructions to Item 5.E. of Form 20-F, included confirmed letters of credit, stand-by letters of credit, and guarantees (covering commercial risk). These arrangements are kept off-balance sheet as long as the Bank does not incur an obligation relating to them or itself become entitled to an asset.</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The Bank’s outstanding off-balance sheet arrangements and total loan commitments and financial guarantee contracts are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440" w:type="dxa"/>
            <w:vAlign w:val="bottom"/>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89"/>
              </w:rPr>
              <w:t>As of December 31,</w:t>
            </w:r>
          </w:p>
        </w:tc>
        <w:tc>
          <w:tcPr>
            <w:tcW w:w="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7440" w:type="dxa"/>
            <w:vAlign w:val="bottom"/>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2017</w:t>
            </w:r>
          </w:p>
        </w:tc>
        <w:tc>
          <w:tcPr>
            <w:tcW w:w="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center"/>
              <w:ind w:right="130"/>
              <w:spacing w:after="0"/>
              <w:rPr>
                <w:sz w:val="20"/>
                <w:szCs w:val="20"/>
                <w:color w:val="auto"/>
              </w:rPr>
            </w:pPr>
            <w:r>
              <w:rPr>
                <w:rFonts w:ascii="Arial" w:cs="Arial" w:eastAsia="Arial" w:hAnsi="Arial"/>
                <w:sz w:val="18"/>
                <w:szCs w:val="18"/>
                <w:b w:val="1"/>
                <w:bCs w:val="1"/>
                <w:color w:val="auto"/>
                <w:w w:val="89"/>
              </w:rPr>
              <w:t>2016</w:t>
            </w:r>
          </w:p>
        </w:tc>
        <w:tc>
          <w:tcPr>
            <w:tcW w:w="18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r>
      <w:tr>
        <w:trPr>
          <w:trHeight w:val="210"/>
        </w:trPr>
        <w:tc>
          <w:tcPr>
            <w:tcW w:w="74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20" w:type="dxa"/>
            <w:vAlign w:val="bottom"/>
            <w:gridSpan w:val="4"/>
          </w:tcPr>
          <w:p>
            <w:pPr>
              <w:jc w:val="center"/>
              <w:ind w:right="20"/>
              <w:spacing w:after="0"/>
              <w:rPr>
                <w:sz w:val="20"/>
                <w:szCs w:val="20"/>
                <w:color w:val="auto"/>
              </w:rPr>
            </w:pPr>
            <w:r>
              <w:rPr>
                <w:rFonts w:ascii="Arial" w:cs="Arial" w:eastAsia="Arial" w:hAnsi="Arial"/>
                <w:sz w:val="18"/>
                <w:szCs w:val="18"/>
                <w:b w:val="1"/>
                <w:bCs w:val="1"/>
                <w:color w:val="auto"/>
                <w:w w:val="87"/>
              </w:rPr>
              <w:t>(in $ thousands)</w:t>
            </w: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440" w:type="dxa"/>
            <w:vAlign w:val="bottom"/>
            <w:shd w:val="clear" w:color="auto" w:fill="CCEEFF"/>
          </w:tcPr>
          <w:p>
            <w:pPr>
              <w:spacing w:after="0"/>
              <w:rPr>
                <w:sz w:val="20"/>
                <w:szCs w:val="20"/>
                <w:color w:val="auto"/>
              </w:rPr>
            </w:pPr>
            <w:r>
              <w:rPr>
                <w:rFonts w:ascii="Arial" w:cs="Arial" w:eastAsia="Arial" w:hAnsi="Arial"/>
                <w:sz w:val="18"/>
                <w:szCs w:val="18"/>
                <w:color w:val="auto"/>
              </w:rPr>
              <w:t>Confirmed letters of credit</w:t>
            </w: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273,449</w:t>
            </w:r>
          </w:p>
        </w:tc>
        <w:tc>
          <w:tcPr>
            <w:tcW w:w="44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216,608</w:t>
            </w:r>
          </w:p>
        </w:tc>
        <w:tc>
          <w:tcPr>
            <w:tcW w:w="280" w:type="dxa"/>
            <w:vAlign w:val="bottom"/>
            <w:gridSpan w:val="2"/>
            <w:shd w:val="clear" w:color="auto" w:fill="CCEEFF"/>
          </w:tcPr>
          <w:p>
            <w:pPr>
              <w:jc w:val="right"/>
              <w:ind w:right="85"/>
              <w:spacing w:after="0"/>
              <w:rPr>
                <w:sz w:val="20"/>
                <w:szCs w:val="20"/>
                <w:color w:val="auto"/>
              </w:rPr>
            </w:pPr>
            <w:r>
              <w:rPr>
                <w:rFonts w:ascii="Arial" w:cs="Arial" w:eastAsia="Arial" w:hAnsi="Arial"/>
                <w:sz w:val="18"/>
                <w:szCs w:val="18"/>
                <w:color w:val="auto"/>
                <w:w w:val="99"/>
              </w:rPr>
              <w:t>$</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99,031</w:t>
            </w:r>
          </w:p>
        </w:tc>
      </w:tr>
      <w:tr>
        <w:trPr>
          <w:trHeight w:val="230"/>
        </w:trPr>
        <w:tc>
          <w:tcPr>
            <w:tcW w:w="7440" w:type="dxa"/>
            <w:vAlign w:val="bottom"/>
          </w:tcPr>
          <w:p>
            <w:pPr>
              <w:spacing w:after="0"/>
              <w:rPr>
                <w:sz w:val="20"/>
                <w:szCs w:val="20"/>
                <w:color w:val="auto"/>
              </w:rPr>
            </w:pPr>
            <w:r>
              <w:rPr>
                <w:rFonts w:ascii="Arial" w:cs="Arial" w:eastAsia="Arial" w:hAnsi="Arial"/>
                <w:sz w:val="18"/>
                <w:szCs w:val="18"/>
                <w:color w:val="auto"/>
              </w:rPr>
              <w:t>Stand-by letters of credit and guarantees – Commercial risk</w:t>
            </w:r>
          </w:p>
        </w:tc>
        <w:tc>
          <w:tcPr>
            <w:tcW w:w="240" w:type="dxa"/>
            <w:vAlign w:val="bottom"/>
          </w:tcPr>
          <w:p>
            <w:pPr>
              <w:spacing w:after="0"/>
              <w:rPr>
                <w:sz w:val="19"/>
                <w:szCs w:val="19"/>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168,976</w:t>
            </w:r>
          </w:p>
        </w:tc>
        <w:tc>
          <w:tcPr>
            <w:tcW w:w="2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8"/>
                <w:szCs w:val="18"/>
                <w:color w:val="auto"/>
              </w:rPr>
              <w:t>176,177</w:t>
            </w:r>
          </w:p>
        </w:tc>
        <w:tc>
          <w:tcPr>
            <w:tcW w:w="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158,599</w:t>
            </w:r>
          </w:p>
        </w:tc>
      </w:tr>
      <w:tr>
        <w:trPr>
          <w:trHeight w:val="210"/>
        </w:trPr>
        <w:tc>
          <w:tcPr>
            <w:tcW w:w="7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off-balance sheet arrangements</w:t>
            </w:r>
          </w:p>
        </w:tc>
        <w:tc>
          <w:tcPr>
            <w:tcW w:w="24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442,425</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392,785</w:t>
            </w: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257,630</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7440" w:type="dxa"/>
            <w:vAlign w:val="bottom"/>
          </w:tcPr>
          <w:p>
            <w:pPr>
              <w:spacing w:after="0"/>
              <w:rPr>
                <w:sz w:val="20"/>
                <w:szCs w:val="20"/>
                <w:color w:val="auto"/>
              </w:rPr>
            </w:pPr>
            <w:r>
              <w:rPr>
                <w:rFonts w:ascii="Arial" w:cs="Arial" w:eastAsia="Arial" w:hAnsi="Arial"/>
                <w:sz w:val="18"/>
                <w:szCs w:val="18"/>
                <w:color w:val="auto"/>
              </w:rPr>
              <w:t>Credit commitments</w:t>
            </w:r>
          </w:p>
        </w:tc>
        <w:tc>
          <w:tcPr>
            <w:tcW w:w="240" w:type="dxa"/>
            <w:vAlign w:val="bottom"/>
          </w:tcPr>
          <w:p>
            <w:pPr>
              <w:spacing w:after="0"/>
              <w:rPr>
                <w:sz w:val="19"/>
                <w:szCs w:val="19"/>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8"/>
                <w:szCs w:val="18"/>
                <w:color w:val="auto"/>
              </w:rPr>
              <w:t>45,578</w:t>
            </w:r>
          </w:p>
        </w:tc>
        <w:tc>
          <w:tcPr>
            <w:tcW w:w="2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8"/>
                <w:szCs w:val="18"/>
                <w:color w:val="auto"/>
              </w:rPr>
              <w:t>10,250</w:t>
            </w:r>
          </w:p>
        </w:tc>
        <w:tc>
          <w:tcPr>
            <w:tcW w:w="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189,820</w:t>
            </w:r>
          </w:p>
        </w:tc>
      </w:tr>
      <w:tr>
        <w:trPr>
          <w:trHeight w:val="223"/>
        </w:trPr>
        <w:tc>
          <w:tcPr>
            <w:tcW w:w="7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loan commitments and financial guarantee contracts</w:t>
            </w:r>
          </w:p>
        </w:tc>
        <w:tc>
          <w:tcPr>
            <w:tcW w:w="240" w:type="dxa"/>
            <w:vAlign w:val="bottom"/>
            <w:tcBorders>
              <w:top w:val="single" w:sz="8" w:color="auto"/>
              <w:bottom w:val="single" w:sz="8" w:color="auto"/>
            </w:tcBorders>
            <w:shd w:val="clear" w:color="auto" w:fill="CCEEFF"/>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403,035</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447,450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44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Fees and commission income from off-balance sheet arrangements amounted to $11 million for the year ended December 31, 2017, compared to $9 million and $12 million for the years ended December 31, 2016, and 2015, respectively.</w:t>
      </w:r>
    </w:p>
    <w:p>
      <w:pPr>
        <w:spacing w:after="0" w:line="170" w:lineRule="exact"/>
        <w:rPr>
          <w:sz w:val="20"/>
          <w:szCs w:val="20"/>
          <w:color w:val="auto"/>
        </w:rPr>
      </w:pPr>
    </w:p>
    <w:p>
      <w:pPr>
        <w:jc w:val="both"/>
        <w:ind w:right="20"/>
        <w:spacing w:after="0" w:line="312" w:lineRule="auto"/>
        <w:rPr>
          <w:sz w:val="20"/>
          <w:szCs w:val="20"/>
          <w:color w:val="auto"/>
        </w:rPr>
      </w:pPr>
      <w:r>
        <w:rPr>
          <w:rFonts w:ascii="Arial" w:cs="Arial" w:eastAsia="Arial" w:hAnsi="Arial"/>
          <w:sz w:val="16"/>
          <w:szCs w:val="16"/>
          <w:color w:val="auto"/>
        </w:rPr>
        <w:t>The allowance for ECL on loan commitments and financial guarantee contracts is recognized on the consolidated statement of financial position, with the resulting impairment recorded in the consolidated statement of profit or loss. As of December 31, 2017, total allowance for ECL on loan commitments and financial guarantee contracts amounted to $7 million, compared to $6 million as of December 31, 2016 and $5 million as of December 31, 2015.</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additional information, see Item 5, “Operating and Financial Review and Prospects—Operating Results—Fees and Commissions, net” and Item 18, “Financial Statements,” note 6 and 21.</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8" w:name="page79"/>
    <w:bookmarkEnd w:id="78"/>
    <w:p>
      <w:pPr>
        <w:ind w:left="660" w:hanging="652"/>
        <w:spacing w:after="0"/>
        <w:tabs>
          <w:tab w:leader="none" w:pos="66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Tabular Disclosure of Contractual Obligations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tables set forth information regarding the Bank’s contractual obligations and commercial commitments as of December 31, 2017.</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6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420" w:type="dxa"/>
            <w:vAlign w:val="bottom"/>
            <w:tcBorders>
              <w:bottom w:val="single" w:sz="8" w:color="auto"/>
            </w:tcBorders>
            <w:gridSpan w:val="10"/>
          </w:tcPr>
          <w:p>
            <w:pPr>
              <w:jc w:val="center"/>
              <w:ind w:right="400"/>
              <w:spacing w:after="0"/>
              <w:rPr>
                <w:sz w:val="20"/>
                <w:szCs w:val="20"/>
                <w:color w:val="auto"/>
              </w:rPr>
            </w:pPr>
            <w:r>
              <w:rPr>
                <w:rFonts w:ascii="Arial" w:cs="Arial" w:eastAsia="Arial" w:hAnsi="Arial"/>
                <w:sz w:val="18"/>
                <w:szCs w:val="18"/>
                <w:b w:val="1"/>
                <w:bCs w:val="1"/>
                <w:color w:val="auto"/>
                <w:w w:val="89"/>
              </w:rPr>
              <w:t>Payments Due by Period</w:t>
            </w: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4600" w:type="dxa"/>
            <w:vAlign w:val="bottom"/>
            <w:vMerge w:val="restart"/>
          </w:tcPr>
          <w:p>
            <w:pPr>
              <w:spacing w:after="0"/>
              <w:rPr>
                <w:sz w:val="20"/>
                <w:szCs w:val="20"/>
                <w:color w:val="auto"/>
              </w:rPr>
            </w:pPr>
            <w:r>
              <w:rPr>
                <w:rFonts w:ascii="Arial" w:cs="Arial" w:eastAsia="Arial" w:hAnsi="Arial"/>
                <w:sz w:val="18"/>
                <w:szCs w:val="18"/>
                <w:b w:val="1"/>
                <w:bCs w:val="1"/>
                <w:color w:val="auto"/>
              </w:rPr>
              <w:t>Contractual Obligations</w:t>
            </w:r>
          </w:p>
        </w:tc>
        <w:tc>
          <w:tcPr>
            <w:tcW w:w="6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gridSpan w:val="3"/>
          </w:tcPr>
          <w:p>
            <w:pPr>
              <w:jc w:val="center"/>
              <w:ind w:right="80"/>
              <w:spacing w:after="0" w:line="191" w:lineRule="exact"/>
              <w:rPr>
                <w:sz w:val="20"/>
                <w:szCs w:val="20"/>
                <w:color w:val="auto"/>
              </w:rPr>
            </w:pPr>
            <w:r>
              <w:rPr>
                <w:rFonts w:ascii="Arial" w:cs="Arial" w:eastAsia="Arial" w:hAnsi="Arial"/>
                <w:sz w:val="18"/>
                <w:szCs w:val="18"/>
                <w:b w:val="1"/>
                <w:bCs w:val="1"/>
                <w:color w:val="auto"/>
                <w:w w:val="88"/>
              </w:rPr>
              <w:t>Less than 1</w:t>
            </w:r>
          </w:p>
        </w:tc>
        <w:tc>
          <w:tcPr>
            <w:tcW w:w="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20" w:type="dxa"/>
            <w:vAlign w:val="bottom"/>
          </w:tcPr>
          <w:p>
            <w:pPr>
              <w:jc w:val="center"/>
              <w:ind w:right="10"/>
              <w:spacing w:after="0" w:line="191" w:lineRule="exact"/>
              <w:rPr>
                <w:sz w:val="20"/>
                <w:szCs w:val="20"/>
                <w:color w:val="auto"/>
              </w:rPr>
            </w:pPr>
            <w:r>
              <w:rPr>
                <w:rFonts w:ascii="Arial" w:cs="Arial" w:eastAsia="Arial" w:hAnsi="Arial"/>
                <w:sz w:val="18"/>
                <w:szCs w:val="18"/>
                <w:b w:val="1"/>
                <w:bCs w:val="1"/>
                <w:color w:val="auto"/>
                <w:w w:val="95"/>
              </w:rPr>
              <w:t>More than</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600" w:type="dxa"/>
            <w:vAlign w:val="bottom"/>
            <w:vMerge w:val="continue"/>
          </w:tcPr>
          <w:p>
            <w:pPr>
              <w:spacing w:after="0"/>
              <w:rPr>
                <w:sz w:val="20"/>
                <w:szCs w:val="20"/>
                <w:color w:val="auto"/>
              </w:rPr>
            </w:pPr>
          </w:p>
        </w:tc>
        <w:tc>
          <w:tcPr>
            <w:tcW w:w="6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60" w:type="dxa"/>
            <w:vAlign w:val="bottom"/>
            <w:gridSpan w:val="2"/>
          </w:tcPr>
          <w:p>
            <w:pPr>
              <w:ind w:left="12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0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1"/>
              </w:rPr>
              <w:t>year</w:t>
            </w:r>
          </w:p>
        </w:tc>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spacing w:after="0"/>
              <w:rPr>
                <w:sz w:val="20"/>
                <w:szCs w:val="20"/>
                <w:color w:val="auto"/>
              </w:rPr>
            </w:pPr>
            <w:r>
              <w:rPr>
                <w:rFonts w:ascii="Arial" w:cs="Arial" w:eastAsia="Arial" w:hAnsi="Arial"/>
                <w:sz w:val="18"/>
                <w:szCs w:val="18"/>
                <w:b w:val="1"/>
                <w:bCs w:val="1"/>
                <w:color w:val="auto"/>
              </w:rPr>
              <w:t>1 – 3 years</w:t>
            </w: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6"/>
              </w:rPr>
              <w:t>3 – 5 years</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5 years</w:t>
            </w:r>
          </w:p>
        </w:tc>
        <w:tc>
          <w:tcPr>
            <w:tcW w:w="0" w:type="dxa"/>
            <w:vAlign w:val="bottom"/>
          </w:tcPr>
          <w:p>
            <w:pPr>
              <w:spacing w:after="0"/>
              <w:rPr>
                <w:sz w:val="1"/>
                <w:szCs w:val="1"/>
                <w:color w:val="auto"/>
              </w:rPr>
            </w:pPr>
          </w:p>
        </w:tc>
      </w:tr>
      <w:tr>
        <w:trPr>
          <w:trHeight w:val="210"/>
        </w:trPr>
        <w:tc>
          <w:tcPr>
            <w:tcW w:w="4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gridSpan w:val="4"/>
          </w:tcPr>
          <w:p>
            <w:pPr>
              <w:jc w:val="center"/>
              <w:ind w:right="60"/>
              <w:spacing w:after="0"/>
              <w:rPr>
                <w:sz w:val="20"/>
                <w:szCs w:val="20"/>
                <w:color w:val="auto"/>
              </w:rPr>
            </w:pPr>
            <w:r>
              <w:rPr>
                <w:rFonts w:ascii="Arial" w:cs="Arial" w:eastAsia="Arial" w:hAnsi="Arial"/>
                <w:sz w:val="18"/>
                <w:szCs w:val="18"/>
                <w:b w:val="1"/>
                <w:bCs w:val="1"/>
                <w:color w:val="auto"/>
                <w:w w:val="91"/>
              </w:rPr>
              <w:t>(in $ millions)</w:t>
            </w:r>
          </w:p>
        </w:tc>
        <w:tc>
          <w:tcPr>
            <w:tcW w:w="1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60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88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2,929</w:t>
            </w:r>
          </w:p>
        </w:tc>
        <w:tc>
          <w:tcPr>
            <w:tcW w:w="340" w:type="dxa"/>
            <w:vAlign w:val="bottom"/>
            <w:gridSpan w:val="2"/>
            <w:shd w:val="clear" w:color="auto" w:fill="CCEEFF"/>
          </w:tcPr>
          <w:p>
            <w:pPr>
              <w:jc w:val="right"/>
              <w:ind w:right="57"/>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2,827</w:t>
            </w:r>
          </w:p>
        </w:tc>
        <w:tc>
          <w:tcPr>
            <w:tcW w:w="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4600" w:type="dxa"/>
            <w:vAlign w:val="bottom"/>
          </w:tcPr>
          <w:p>
            <w:pPr>
              <w:spacing w:after="0"/>
              <w:rPr>
                <w:sz w:val="20"/>
                <w:szCs w:val="20"/>
                <w:color w:val="auto"/>
              </w:rPr>
            </w:pPr>
            <w:r>
              <w:rPr>
                <w:rFonts w:ascii="Arial" w:cs="Arial" w:eastAsia="Arial" w:hAnsi="Arial"/>
                <w:sz w:val="18"/>
                <w:szCs w:val="18"/>
                <w:color w:val="auto"/>
              </w:rPr>
              <w:t>Short-term borrowings and debt</w:t>
            </w: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1,073</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1,073</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57"/>
        </w:trPr>
        <w:tc>
          <w:tcPr>
            <w:tcW w:w="46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Long-term borrowings and debt </w:t>
            </w:r>
            <w:r>
              <w:rPr>
                <w:rFonts w:ascii="Arial" w:cs="Arial" w:eastAsia="Arial" w:hAnsi="Arial"/>
                <w:sz w:val="29"/>
                <w:szCs w:val="29"/>
                <w:color w:val="auto"/>
                <w:vertAlign w:val="superscript"/>
              </w:rPr>
              <w:t>(1)</w:t>
            </w:r>
          </w:p>
        </w:tc>
        <w:tc>
          <w:tcPr>
            <w:tcW w:w="68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1,143</w:t>
            </w:r>
          </w:p>
        </w:tc>
        <w:tc>
          <w:tcPr>
            <w:tcW w:w="12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139</w:t>
            </w:r>
          </w:p>
        </w:tc>
        <w:tc>
          <w:tcPr>
            <w:tcW w:w="1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733</w:t>
            </w:r>
          </w:p>
        </w:tc>
        <w:tc>
          <w:tcPr>
            <w:tcW w:w="1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211</w:t>
            </w: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w:t>
            </w:r>
          </w:p>
        </w:tc>
        <w:tc>
          <w:tcPr>
            <w:tcW w:w="0" w:type="dxa"/>
            <w:vAlign w:val="bottom"/>
          </w:tcPr>
          <w:p>
            <w:pPr>
              <w:spacing w:after="0"/>
              <w:rPr>
                <w:sz w:val="1"/>
                <w:szCs w:val="1"/>
                <w:color w:val="auto"/>
              </w:rPr>
            </w:pPr>
          </w:p>
        </w:tc>
      </w:tr>
      <w:tr>
        <w:trPr>
          <w:trHeight w:val="216"/>
        </w:trPr>
        <w:tc>
          <w:tcPr>
            <w:tcW w:w="4600" w:type="dxa"/>
            <w:vAlign w:val="bottom"/>
          </w:tcPr>
          <w:p>
            <w:pPr>
              <w:spacing w:after="0"/>
              <w:rPr>
                <w:sz w:val="20"/>
                <w:szCs w:val="20"/>
                <w:color w:val="auto"/>
              </w:rPr>
            </w:pPr>
            <w:r>
              <w:rPr>
                <w:rFonts w:ascii="Arial" w:cs="Arial" w:eastAsia="Arial" w:hAnsi="Arial"/>
                <w:sz w:val="18"/>
                <w:szCs w:val="18"/>
                <w:color w:val="auto"/>
              </w:rPr>
              <w:t>Accrued interest payable</w:t>
            </w: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16</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16</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57"/>
        </w:trPr>
        <w:tc>
          <w:tcPr>
            <w:tcW w:w="46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Future contractual interest payable, not yet accrued </w:t>
            </w:r>
            <w:r>
              <w:rPr>
                <w:rFonts w:ascii="Arial" w:cs="Arial" w:eastAsia="Arial" w:hAnsi="Arial"/>
                <w:sz w:val="29"/>
                <w:szCs w:val="29"/>
                <w:color w:val="auto"/>
                <w:vertAlign w:val="superscript"/>
              </w:rPr>
              <w:t>(2)</w:t>
            </w:r>
          </w:p>
        </w:tc>
        <w:tc>
          <w:tcPr>
            <w:tcW w:w="68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97</w:t>
            </w:r>
          </w:p>
        </w:tc>
        <w:tc>
          <w:tcPr>
            <w:tcW w:w="12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w:t>
            </w:r>
          </w:p>
        </w:tc>
        <w:tc>
          <w:tcPr>
            <w:tcW w:w="1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w:t>
            </w:r>
          </w:p>
        </w:tc>
        <w:tc>
          <w:tcPr>
            <w:tcW w:w="1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w:t>
            </w: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70"/>
        </w:trPr>
        <w:tc>
          <w:tcPr>
            <w:tcW w:w="4600" w:type="dxa"/>
            <w:vAlign w:val="bottom"/>
          </w:tcPr>
          <w:p>
            <w:pPr>
              <w:spacing w:after="0" w:line="269" w:lineRule="exact"/>
              <w:rPr>
                <w:sz w:val="20"/>
                <w:szCs w:val="20"/>
                <w:color w:val="auto"/>
              </w:rPr>
            </w:pPr>
            <w:r>
              <w:rPr>
                <w:rFonts w:ascii="Arial" w:cs="Arial" w:eastAsia="Arial" w:hAnsi="Arial"/>
                <w:sz w:val="18"/>
                <w:szCs w:val="18"/>
                <w:color w:val="auto"/>
              </w:rPr>
              <w:t xml:space="preserve">Leasehold obligations </w:t>
            </w:r>
            <w:r>
              <w:rPr>
                <w:rFonts w:ascii="Arial" w:cs="Arial" w:eastAsia="Arial" w:hAnsi="Arial"/>
                <w:sz w:val="30"/>
                <w:szCs w:val="30"/>
                <w:color w:val="auto"/>
                <w:vertAlign w:val="superscript"/>
              </w:rPr>
              <w:t>(3)</w:t>
            </w:r>
          </w:p>
        </w:tc>
        <w:tc>
          <w:tcPr>
            <w:tcW w:w="68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18</w:t>
            </w:r>
          </w:p>
        </w:tc>
        <w:tc>
          <w:tcPr>
            <w:tcW w:w="12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2</w:t>
            </w:r>
          </w:p>
        </w:tc>
        <w:tc>
          <w:tcPr>
            <w:tcW w:w="16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4</w:t>
            </w:r>
          </w:p>
        </w:tc>
        <w:tc>
          <w:tcPr>
            <w:tcW w:w="12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9</w:t>
            </w:r>
          </w:p>
        </w:tc>
        <w:tc>
          <w:tcPr>
            <w:tcW w:w="0" w:type="dxa"/>
            <w:vAlign w:val="bottom"/>
          </w:tcPr>
          <w:p>
            <w:pPr>
              <w:spacing w:after="0"/>
              <w:rPr>
                <w:sz w:val="1"/>
                <w:szCs w:val="1"/>
                <w:color w:val="auto"/>
              </w:rPr>
            </w:pPr>
          </w:p>
        </w:tc>
      </w:tr>
      <w:tr>
        <w:trPr>
          <w:trHeight w:val="223"/>
        </w:trPr>
        <w:tc>
          <w:tcPr>
            <w:tcW w:w="4600" w:type="dxa"/>
            <w:vAlign w:val="bottom"/>
            <w:tcBorders>
              <w:top w:val="single" w:sz="8" w:color="CCEEFF"/>
              <w:bottom w:val="single" w:sz="8" w:color="CCEEFF"/>
            </w:tcBorders>
            <w:shd w:val="clear" w:color="auto" w:fill="CCEEFF"/>
          </w:tcPr>
          <w:p>
            <w:pPr>
              <w:ind w:left="260"/>
              <w:spacing w:after="0"/>
              <w:rPr>
                <w:sz w:val="20"/>
                <w:szCs w:val="20"/>
                <w:color w:val="auto"/>
              </w:rPr>
            </w:pPr>
            <w:r>
              <w:rPr>
                <w:rFonts w:ascii="Arial" w:cs="Arial" w:eastAsia="Arial" w:hAnsi="Arial"/>
                <w:sz w:val="18"/>
                <w:szCs w:val="18"/>
                <w:b w:val="1"/>
                <w:bCs w:val="1"/>
                <w:color w:val="auto"/>
              </w:rPr>
              <w:t>Total contractual obligations</w:t>
            </w:r>
          </w:p>
        </w:tc>
        <w:tc>
          <w:tcPr>
            <w:tcW w:w="68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5,276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jc w:val="right"/>
              <w:ind w:right="5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4,072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6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line="194" w:lineRule="auto"/>
        <w:tabs>
          <w:tab w:leader="none" w:pos="340" w:val="left"/>
        </w:tabs>
        <w:numPr>
          <w:ilvl w:val="0"/>
          <w:numId w:val="51"/>
        </w:numPr>
        <w:rPr>
          <w:rFonts w:ascii="Arial" w:cs="Arial" w:eastAsia="Arial" w:hAnsi="Arial"/>
          <w:sz w:val="30"/>
          <w:szCs w:val="30"/>
          <w:color w:val="auto"/>
          <w:vertAlign w:val="superscript"/>
        </w:rPr>
      </w:pPr>
      <w:r>
        <w:rPr>
          <w:rFonts w:ascii="Arial" w:cs="Arial" w:eastAsia="Arial" w:hAnsi="Arial"/>
          <w:sz w:val="18"/>
          <w:szCs w:val="18"/>
          <w:color w:val="auto"/>
        </w:rPr>
        <w:t>Gross of prepaid commissions of $4.2 million as of December 31, 2017. Certain debt obligations are subject to covenants that could accelerate the payment of these obligations.</w:t>
      </w:r>
    </w:p>
    <w:p>
      <w:pPr>
        <w:jc w:val="both"/>
        <w:ind w:left="340" w:hanging="332"/>
        <w:spacing w:after="0" w:line="204" w:lineRule="auto"/>
        <w:tabs>
          <w:tab w:leader="none" w:pos="340" w:val="left"/>
        </w:tabs>
        <w:numPr>
          <w:ilvl w:val="0"/>
          <w:numId w:val="51"/>
        </w:numPr>
        <w:rPr>
          <w:rFonts w:ascii="Arial" w:cs="Arial" w:eastAsia="Arial" w:hAnsi="Arial"/>
          <w:sz w:val="30"/>
          <w:szCs w:val="30"/>
          <w:color w:val="auto"/>
          <w:vertAlign w:val="superscript"/>
        </w:rPr>
      </w:pPr>
      <w:r>
        <w:rPr>
          <w:rFonts w:ascii="Arial" w:cs="Arial" w:eastAsia="Arial" w:hAnsi="Arial"/>
          <w:sz w:val="18"/>
          <w:szCs w:val="18"/>
          <w:color w:val="auto"/>
        </w:rPr>
        <w:t>Consists of future interest payable on interest-bearing liabilities and their hedges, calculated on the basis of their respective interest rates as of December 31, 2017 for the days remaining to maturity. Some of these obligations have floating interest rates which could fluctuate in the future and hence change the value of interest payable accordingly.</w:t>
      </w:r>
    </w:p>
    <w:p>
      <w:pPr>
        <w:spacing w:after="0" w:line="3" w:lineRule="exact"/>
        <w:rPr>
          <w:rFonts w:ascii="Arial" w:cs="Arial" w:eastAsia="Arial" w:hAnsi="Arial"/>
          <w:sz w:val="30"/>
          <w:szCs w:val="30"/>
          <w:color w:val="auto"/>
          <w:vertAlign w:val="superscript"/>
        </w:rPr>
      </w:pPr>
    </w:p>
    <w:p>
      <w:pPr>
        <w:ind w:left="340" w:hanging="332"/>
        <w:spacing w:after="0" w:line="200" w:lineRule="auto"/>
        <w:tabs>
          <w:tab w:leader="none" w:pos="340" w:val="left"/>
        </w:tabs>
        <w:numPr>
          <w:ilvl w:val="0"/>
          <w:numId w:val="51"/>
        </w:numPr>
        <w:rPr>
          <w:rFonts w:ascii="Arial" w:cs="Arial" w:eastAsia="Arial" w:hAnsi="Arial"/>
          <w:sz w:val="28"/>
          <w:szCs w:val="28"/>
          <w:color w:val="auto"/>
          <w:vertAlign w:val="superscript"/>
        </w:rPr>
      </w:pPr>
      <w:r>
        <w:rPr>
          <w:rFonts w:ascii="Arial" w:cs="Arial" w:eastAsia="Arial" w:hAnsi="Arial"/>
          <w:sz w:val="17"/>
          <w:szCs w:val="17"/>
          <w:color w:val="auto"/>
        </w:rPr>
        <w:t>Operating lease commitments result primarily from cancellable rental agreements for properties; the amounts in the above table are calculated based on current rental agreements. The total amount of expenses recognized in connection with such leases in 2017 is $2.3 million.</w:t>
      </w:r>
    </w:p>
    <w:p>
      <w:pPr>
        <w:spacing w:after="0" w:line="19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0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780" w:type="dxa"/>
            <w:vAlign w:val="bottom"/>
            <w:gridSpan w:val="12"/>
          </w:tcPr>
          <w:p>
            <w:pPr>
              <w:jc w:val="center"/>
              <w:ind w:right="20"/>
              <w:spacing w:after="0"/>
              <w:rPr>
                <w:sz w:val="20"/>
                <w:szCs w:val="20"/>
                <w:color w:val="auto"/>
              </w:rPr>
            </w:pPr>
            <w:r>
              <w:rPr>
                <w:rFonts w:ascii="Arial" w:cs="Arial" w:eastAsia="Arial" w:hAnsi="Arial"/>
                <w:sz w:val="18"/>
                <w:szCs w:val="18"/>
                <w:b w:val="1"/>
                <w:bCs w:val="1"/>
                <w:color w:val="auto"/>
                <w:w w:val="92"/>
              </w:rPr>
              <w:t>Amount of Commitment Expiration by Period</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40" w:type="dxa"/>
            <w:vAlign w:val="bottom"/>
            <w:vMerge w:val="restart"/>
          </w:tcPr>
          <w:p>
            <w:pPr>
              <w:spacing w:after="0"/>
              <w:rPr>
                <w:sz w:val="20"/>
                <w:szCs w:val="20"/>
                <w:color w:val="auto"/>
              </w:rPr>
            </w:pPr>
            <w:r>
              <w:rPr>
                <w:rFonts w:ascii="Arial" w:cs="Arial" w:eastAsia="Arial" w:hAnsi="Arial"/>
                <w:sz w:val="18"/>
                <w:szCs w:val="18"/>
                <w:b w:val="1"/>
                <w:bCs w:val="1"/>
                <w:color w:val="auto"/>
              </w:rPr>
              <w:t>Other Commercial Commitments</w:t>
            </w: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2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Less than 1</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3"/>
              </w:rPr>
              <w:t>More than 5</w:t>
            </w:r>
          </w:p>
        </w:tc>
        <w:tc>
          <w:tcPr>
            <w:tcW w:w="0" w:type="dxa"/>
            <w:vAlign w:val="bottom"/>
          </w:tcPr>
          <w:p>
            <w:pPr>
              <w:spacing w:after="0"/>
              <w:rPr>
                <w:sz w:val="1"/>
                <w:szCs w:val="1"/>
                <w:color w:val="auto"/>
              </w:rPr>
            </w:pPr>
          </w:p>
        </w:tc>
      </w:tr>
      <w:tr>
        <w:trPr>
          <w:trHeight w:val="234"/>
        </w:trPr>
        <w:tc>
          <w:tcPr>
            <w:tcW w:w="4040" w:type="dxa"/>
            <w:vAlign w:val="bottom"/>
            <w:vMerge w:val="continue"/>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40" w:type="dxa"/>
            <w:vAlign w:val="bottom"/>
            <w:gridSpan w:val="2"/>
          </w:tcPr>
          <w:p>
            <w:pPr>
              <w:ind w:left="1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0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1"/>
              </w:rPr>
              <w:t>year</w:t>
            </w:r>
          </w:p>
        </w:tc>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spacing w:after="0"/>
              <w:rPr>
                <w:sz w:val="20"/>
                <w:szCs w:val="20"/>
                <w:color w:val="auto"/>
              </w:rPr>
            </w:pPr>
            <w:r>
              <w:rPr>
                <w:rFonts w:ascii="Arial" w:cs="Arial" w:eastAsia="Arial" w:hAnsi="Arial"/>
                <w:sz w:val="18"/>
                <w:szCs w:val="18"/>
                <w:b w:val="1"/>
                <w:bCs w:val="1"/>
                <w:color w:val="auto"/>
              </w:rPr>
              <w:t>1 – 3 years</w:t>
            </w: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6"/>
              </w:rPr>
              <w:t>3 – 5 years</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9"/>
              </w:rPr>
              <w:t>years</w:t>
            </w:r>
          </w:p>
        </w:tc>
        <w:tc>
          <w:tcPr>
            <w:tcW w:w="0" w:type="dxa"/>
            <w:vAlign w:val="bottom"/>
          </w:tcPr>
          <w:p>
            <w:pPr>
              <w:spacing w:after="0"/>
              <w:rPr>
                <w:sz w:val="1"/>
                <w:szCs w:val="1"/>
                <w:color w:val="auto"/>
              </w:rPr>
            </w:pPr>
          </w:p>
        </w:tc>
      </w:tr>
      <w:tr>
        <w:trPr>
          <w:trHeight w:val="210"/>
        </w:trPr>
        <w:tc>
          <w:tcPr>
            <w:tcW w:w="40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gridSpan w:val="4"/>
          </w:tcPr>
          <w:p>
            <w:pPr>
              <w:jc w:val="center"/>
              <w:ind w:right="60"/>
              <w:spacing w:after="0"/>
              <w:rPr>
                <w:sz w:val="20"/>
                <w:szCs w:val="20"/>
                <w:color w:val="auto"/>
              </w:rPr>
            </w:pPr>
            <w:r>
              <w:rPr>
                <w:rFonts w:ascii="Arial" w:cs="Arial" w:eastAsia="Arial" w:hAnsi="Arial"/>
                <w:sz w:val="18"/>
                <w:szCs w:val="18"/>
                <w:b w:val="1"/>
                <w:bCs w:val="1"/>
                <w:color w:val="auto"/>
                <w:w w:val="91"/>
              </w:rPr>
              <w:t>(in $ millions)</w:t>
            </w:r>
          </w:p>
        </w:tc>
        <w:tc>
          <w:tcPr>
            <w:tcW w:w="1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Letters of credit </w:t>
            </w:r>
            <w:r>
              <w:rPr>
                <w:rFonts w:ascii="Arial" w:cs="Arial" w:eastAsia="Arial" w:hAnsi="Arial"/>
                <w:sz w:val="29"/>
                <w:szCs w:val="29"/>
                <w:color w:val="auto"/>
                <w:vertAlign w:val="superscript"/>
              </w:rPr>
              <w:t>(4)</w:t>
            </w:r>
          </w:p>
        </w:tc>
        <w:tc>
          <w:tcPr>
            <w:tcW w:w="144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w:t>
            </w:r>
          </w:p>
        </w:tc>
        <w:tc>
          <w:tcPr>
            <w:tcW w:w="360" w:type="dxa"/>
            <w:vAlign w:val="bottom"/>
            <w:gridSpan w:val="2"/>
            <w:shd w:val="clear" w:color="auto" w:fill="CCEEFF"/>
          </w:tcPr>
          <w:p>
            <w:pPr>
              <w:jc w:val="right"/>
              <w:ind w:right="57"/>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280</w:t>
            </w:r>
          </w:p>
        </w:tc>
        <w:tc>
          <w:tcPr>
            <w:tcW w:w="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300" w:type="dxa"/>
            <w:vAlign w:val="bottom"/>
            <w:gridSpan w:val="2"/>
            <w:shd w:val="clear" w:color="auto" w:fill="CCEEFF"/>
          </w:tcPr>
          <w:p>
            <w:pPr>
              <w:jc w:val="right"/>
              <w:ind w:right="37"/>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4040" w:type="dxa"/>
            <w:vAlign w:val="bottom"/>
          </w:tcPr>
          <w:p>
            <w:pPr>
              <w:spacing w:after="0"/>
              <w:rPr>
                <w:sz w:val="20"/>
                <w:szCs w:val="20"/>
                <w:color w:val="auto"/>
              </w:rPr>
            </w:pPr>
            <w:r>
              <w:rPr>
                <w:rFonts w:ascii="Arial" w:cs="Arial" w:eastAsia="Arial" w:hAnsi="Arial"/>
                <w:sz w:val="18"/>
                <w:szCs w:val="18"/>
                <w:color w:val="auto"/>
              </w:rPr>
              <w:t>Stand-by letters of credit</w:t>
            </w: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167</w:t>
            </w:r>
          </w:p>
        </w:tc>
        <w:tc>
          <w:tcPr>
            <w:tcW w:w="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167</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4040" w:type="dxa"/>
            <w:vAlign w:val="bottom"/>
            <w:shd w:val="clear" w:color="auto" w:fill="CCEEFF"/>
          </w:tcPr>
          <w:p>
            <w:pPr>
              <w:spacing w:after="0"/>
              <w:rPr>
                <w:sz w:val="20"/>
                <w:szCs w:val="20"/>
                <w:color w:val="auto"/>
              </w:rPr>
            </w:pPr>
            <w:r>
              <w:rPr>
                <w:rFonts w:ascii="Arial" w:cs="Arial" w:eastAsia="Arial" w:hAnsi="Arial"/>
                <w:sz w:val="18"/>
                <w:szCs w:val="18"/>
                <w:color w:val="auto"/>
              </w:rPr>
              <w:t>Guarantees</w:t>
            </w: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w:t>
            </w:r>
          </w:p>
        </w:tc>
        <w:tc>
          <w:tcPr>
            <w:tcW w:w="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4040" w:type="dxa"/>
            <w:vAlign w:val="bottom"/>
          </w:tcPr>
          <w:p>
            <w:pPr>
              <w:spacing w:after="0"/>
              <w:rPr>
                <w:sz w:val="20"/>
                <w:szCs w:val="20"/>
                <w:color w:val="auto"/>
              </w:rPr>
            </w:pPr>
            <w:r>
              <w:rPr>
                <w:rFonts w:ascii="Arial" w:cs="Arial" w:eastAsia="Arial" w:hAnsi="Arial"/>
                <w:sz w:val="18"/>
                <w:szCs w:val="18"/>
                <w:color w:val="auto"/>
              </w:rPr>
              <w:t>Other commercial commitments</w:t>
            </w:r>
          </w:p>
        </w:tc>
        <w:tc>
          <w:tcPr>
            <w:tcW w:w="12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45</w:t>
            </w:r>
          </w:p>
        </w:tc>
        <w:tc>
          <w:tcPr>
            <w:tcW w:w="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15</w:t>
            </w: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30</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4040" w:type="dxa"/>
            <w:vAlign w:val="bottom"/>
            <w:tcBorders>
              <w:top w:val="single" w:sz="8" w:color="CCEEFF"/>
              <w:bottom w:val="single" w:sz="8" w:color="CCEEFF"/>
            </w:tcBorders>
            <w:shd w:val="clear" w:color="auto" w:fill="CCEEFF"/>
          </w:tcPr>
          <w:p>
            <w:pPr>
              <w:ind w:left="260"/>
              <w:spacing w:after="0"/>
              <w:rPr>
                <w:sz w:val="20"/>
                <w:szCs w:val="20"/>
                <w:color w:val="auto"/>
              </w:rPr>
            </w:pPr>
            <w:r>
              <w:rPr>
                <w:rFonts w:ascii="Arial" w:cs="Arial" w:eastAsia="Arial" w:hAnsi="Arial"/>
                <w:sz w:val="18"/>
                <w:szCs w:val="18"/>
                <w:b w:val="1"/>
                <w:bCs w:val="1"/>
                <w:color w:val="auto"/>
              </w:rPr>
              <w:t>Total Commercial Commitments</w:t>
            </w:r>
          </w:p>
        </w:tc>
        <w:tc>
          <w:tcPr>
            <w:tcW w:w="12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jc w:val="right"/>
              <w:ind w:right="5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464</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3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4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97" w:lineRule="exact"/>
        <w:rPr>
          <w:sz w:val="20"/>
          <w:szCs w:val="20"/>
          <w:color w:val="auto"/>
        </w:rPr>
      </w:pPr>
    </w:p>
    <w:p>
      <w:pPr>
        <w:ind w:left="340" w:hanging="332"/>
        <w:spacing w:after="0"/>
        <w:tabs>
          <w:tab w:leader="none" w:pos="340" w:val="left"/>
        </w:tabs>
        <w:numPr>
          <w:ilvl w:val="0"/>
          <w:numId w:val="52"/>
        </w:numPr>
        <w:rPr>
          <w:rFonts w:ascii="Arial" w:cs="Arial" w:eastAsia="Arial" w:hAnsi="Arial"/>
          <w:sz w:val="28"/>
          <w:szCs w:val="28"/>
          <w:color w:val="auto"/>
          <w:vertAlign w:val="superscript"/>
        </w:rPr>
      </w:pPr>
      <w:r>
        <w:rPr>
          <w:rFonts w:ascii="Arial" w:cs="Arial" w:eastAsia="Arial" w:hAnsi="Arial"/>
          <w:sz w:val="17"/>
          <w:szCs w:val="17"/>
          <w:color w:val="auto"/>
        </w:rPr>
        <w:t>Includes customers’ liabilities under acceptances outstanding (on-balance sheet assets) for a total amount of $6.4 million as of December 31, 2017.</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covenants included in some of the Bank’s liabilities contracts are standard market covenants. Bladex has been and expects to continue to be in compliance with regard to these covenants.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notes 6, 10, 11, 12 and 25.</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9" w:name="page80"/>
    <w:bookmarkEnd w:id="79"/>
    <w:p>
      <w:pPr>
        <w:spacing w:after="0"/>
        <w:tabs>
          <w:tab w:leader="none" w:pos="1280" w:val="left"/>
        </w:tabs>
        <w:rPr>
          <w:sz w:val="20"/>
          <w:szCs w:val="20"/>
          <w:color w:val="auto"/>
        </w:rPr>
      </w:pPr>
      <w:r>
        <w:rPr>
          <w:rFonts w:ascii="Arial" w:cs="Arial" w:eastAsia="Arial" w:hAnsi="Arial"/>
          <w:sz w:val="18"/>
          <w:szCs w:val="18"/>
          <w:b w:val="1"/>
          <w:bCs w:val="1"/>
          <w:color w:val="auto"/>
        </w:rPr>
        <w:t>Item 6.</w:t>
      </w:r>
      <w:r>
        <w:rPr>
          <w:sz w:val="20"/>
          <w:szCs w:val="20"/>
          <w:color w:val="auto"/>
        </w:rPr>
        <w:tab/>
      </w:r>
      <w:r>
        <w:rPr>
          <w:rFonts w:ascii="Arial" w:cs="Arial" w:eastAsia="Arial" w:hAnsi="Arial"/>
          <w:sz w:val="16"/>
          <w:szCs w:val="16"/>
          <w:b w:val="1"/>
          <w:bCs w:val="1"/>
          <w:color w:val="auto"/>
        </w:rPr>
        <w:t>Directors, Executive Officers and Employees</w:t>
      </w:r>
    </w:p>
    <w:p>
      <w:pPr>
        <w:spacing w:after="0" w:line="225" w:lineRule="exact"/>
        <w:rPr>
          <w:sz w:val="20"/>
          <w:szCs w:val="20"/>
          <w:color w:val="auto"/>
        </w:rPr>
      </w:pPr>
    </w:p>
    <w:p>
      <w:pPr>
        <w:ind w:left="660" w:right="8260" w:hanging="652"/>
        <w:spacing w:after="0" w:line="503" w:lineRule="auto"/>
        <w:tabs>
          <w:tab w:leader="none" w:pos="66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Directors and Executive Officers </w:t>
      </w:r>
      <w:r>
        <w:rPr>
          <w:rFonts w:ascii="Arial" w:cs="Arial" w:eastAsia="Arial" w:hAnsi="Arial"/>
          <w:sz w:val="18"/>
          <w:szCs w:val="18"/>
          <w:b w:val="1"/>
          <w:bCs w:val="1"/>
          <w:i w:val="1"/>
          <w:iCs w:val="1"/>
          <w:color w:val="auto"/>
        </w:rPr>
        <w:t>Directors</w:t>
      </w:r>
    </w:p>
    <w:p>
      <w:pPr>
        <w:spacing w:after="0" w:line="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following table and biographies set forth certain information concerning the Directors of the Bank as of the date of this Annual Report, including information with respect to each Director’s current position with the Bank and other institutions, class of shares which the Director represents, country of citizenship, the year that each Director’s term expires, and age.</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4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Country of</w:t>
            </w:r>
          </w:p>
        </w:tc>
        <w:tc>
          <w:tcPr>
            <w:tcW w:w="19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Position Held with</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Year Term</w:t>
            </w:r>
          </w:p>
        </w:tc>
        <w:tc>
          <w:tcPr>
            <w:tcW w:w="1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Director</w:t>
            </w:r>
          </w:p>
        </w:tc>
        <w:tc>
          <w:tcPr>
            <w:tcW w:w="900" w:type="dxa"/>
            <w:vAlign w:val="bottom"/>
          </w:tcPr>
          <w:p>
            <w:pPr>
              <w:spacing w:after="0"/>
              <w:rPr>
                <w:sz w:val="18"/>
                <w:szCs w:val="18"/>
                <w:color w:val="auto"/>
              </w:rPr>
            </w:pPr>
          </w:p>
        </w:tc>
      </w:tr>
      <w:tr>
        <w:trPr>
          <w:trHeight w:val="234"/>
        </w:trPr>
        <w:tc>
          <w:tcPr>
            <w:tcW w:w="4700" w:type="dxa"/>
            <w:vAlign w:val="bottom"/>
            <w:gridSpan w:val="2"/>
          </w:tcPr>
          <w:p>
            <w:pPr>
              <w:spacing w:after="0"/>
              <w:rPr>
                <w:sz w:val="20"/>
                <w:szCs w:val="20"/>
                <w:color w:val="auto"/>
              </w:rPr>
            </w:pPr>
            <w:r>
              <w:rPr>
                <w:rFonts w:ascii="Arial" w:cs="Arial" w:eastAsia="Arial" w:hAnsi="Arial"/>
                <w:sz w:val="18"/>
                <w:szCs w:val="18"/>
                <w:b w:val="1"/>
                <w:bCs w:val="1"/>
                <w:color w:val="auto"/>
              </w:rPr>
              <w:t>Name</w:t>
            </w:r>
          </w:p>
        </w:tc>
        <w:tc>
          <w:tcPr>
            <w:tcW w:w="220" w:type="dxa"/>
            <w:vAlign w:val="bottom"/>
          </w:tcPr>
          <w:p>
            <w:pPr>
              <w:spacing w:after="0"/>
              <w:rPr>
                <w:sz w:val="20"/>
                <w:szCs w:val="20"/>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Citizenship</w:t>
            </w:r>
          </w:p>
        </w:tc>
        <w:tc>
          <w:tcPr>
            <w:tcW w:w="19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The Bank</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Expires</w:t>
            </w:r>
          </w:p>
        </w:tc>
        <w:tc>
          <w:tcPr>
            <w:tcW w:w="11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Since</w:t>
            </w:r>
          </w:p>
        </w:tc>
        <w:tc>
          <w:tcPr>
            <w:tcW w:w="900" w:type="dxa"/>
            <w:vAlign w:val="bottom"/>
          </w:tcPr>
          <w:p>
            <w:pPr>
              <w:jc w:val="center"/>
              <w:spacing w:after="0"/>
              <w:rPr>
                <w:sz w:val="20"/>
                <w:szCs w:val="20"/>
                <w:color w:val="auto"/>
              </w:rPr>
            </w:pPr>
            <w:r>
              <w:rPr>
                <w:rFonts w:ascii="Arial" w:cs="Arial" w:eastAsia="Arial" w:hAnsi="Arial"/>
                <w:sz w:val="18"/>
                <w:szCs w:val="18"/>
                <w:b w:val="1"/>
                <w:bCs w:val="1"/>
                <w:color w:val="auto"/>
                <w:w w:val="88"/>
              </w:rPr>
              <w:t>Age</w:t>
            </w:r>
          </w:p>
        </w:tc>
      </w:tr>
      <w:tr>
        <w:trPr>
          <w:trHeight w:val="210"/>
        </w:trPr>
        <w:tc>
          <w:tcPr>
            <w:tcW w:w="20" w:type="dxa"/>
            <w:vAlign w:val="bottom"/>
          </w:tcPr>
          <w:p>
            <w:pPr>
              <w:spacing w:after="0"/>
              <w:rPr>
                <w:sz w:val="18"/>
                <w:szCs w:val="18"/>
                <w:color w:val="auto"/>
              </w:rPr>
            </w:pPr>
          </w:p>
        </w:tc>
        <w:tc>
          <w:tcPr>
            <w:tcW w:w="4680" w:type="dxa"/>
            <w:vAlign w:val="bottom"/>
            <w:tcBorders>
              <w:top w:val="single" w:sz="8" w:color="auto"/>
            </w:tcBorders>
          </w:tcPr>
          <w:p>
            <w:pPr>
              <w:spacing w:after="0"/>
              <w:rPr>
                <w:sz w:val="20"/>
                <w:szCs w:val="20"/>
                <w:color w:val="auto"/>
              </w:rPr>
            </w:pPr>
            <w:r>
              <w:rPr>
                <w:rFonts w:ascii="Arial" w:cs="Arial" w:eastAsia="Arial" w:hAnsi="Arial"/>
                <w:sz w:val="18"/>
                <w:szCs w:val="18"/>
                <w:b w:val="1"/>
                <w:bCs w:val="1"/>
                <w:color w:val="auto"/>
              </w:rPr>
              <w:t>CLASS A</w:t>
            </w:r>
          </w:p>
        </w:tc>
        <w:tc>
          <w:tcPr>
            <w:tcW w:w="220" w:type="dxa"/>
            <w:vAlign w:val="bottom"/>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7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João Carlos de Nóbrega Pecego</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02"/>
        </w:trPr>
        <w:tc>
          <w:tcPr>
            <w:tcW w:w="20" w:type="dxa"/>
            <w:vAlign w:val="bottom"/>
          </w:tcPr>
          <w:p>
            <w:pPr>
              <w:spacing w:after="0"/>
              <w:rPr>
                <w:sz w:val="17"/>
                <w:szCs w:val="17"/>
                <w:color w:val="auto"/>
              </w:rPr>
            </w:pPr>
          </w:p>
        </w:tc>
        <w:tc>
          <w:tcPr>
            <w:tcW w:w="46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Chief Executive Officer</w:t>
            </w: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r>
      <w:tr>
        <w:trPr>
          <w:trHeight w:val="230"/>
        </w:trPr>
        <w:tc>
          <w:tcPr>
            <w:tcW w:w="20" w:type="dxa"/>
            <w:vAlign w:val="bottom"/>
          </w:tcPr>
          <w:p>
            <w:pPr>
              <w:spacing w:after="0"/>
              <w:rPr>
                <w:sz w:val="20"/>
                <w:szCs w:val="20"/>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Banco Patagonia, Argentina</w:t>
            </w:r>
          </w:p>
        </w:tc>
        <w:tc>
          <w:tcPr>
            <w:tcW w:w="22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center"/>
              <w:ind w:right="240"/>
              <w:spacing w:after="0"/>
              <w:rPr>
                <w:sz w:val="20"/>
                <w:szCs w:val="20"/>
                <w:color w:val="auto"/>
              </w:rPr>
            </w:pPr>
            <w:r>
              <w:rPr>
                <w:rFonts w:ascii="Arial" w:cs="Arial" w:eastAsia="Arial" w:hAnsi="Arial"/>
                <w:sz w:val="18"/>
                <w:szCs w:val="18"/>
                <w:color w:val="auto"/>
                <w:w w:val="97"/>
              </w:rPr>
              <w:t>Brazil</w:t>
            </w:r>
          </w:p>
        </w:tc>
        <w:tc>
          <w:tcPr>
            <w:tcW w:w="194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5"/>
              </w:rPr>
              <w:t>Director</w:t>
            </w: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2019</w:t>
            </w:r>
          </w:p>
        </w:tc>
        <w:tc>
          <w:tcPr>
            <w:tcW w:w="220" w:type="dxa"/>
            <w:vAlign w:val="bottom"/>
            <w:shd w:val="clear" w:color="auto" w:fill="CCEEFF"/>
          </w:tcPr>
          <w:p>
            <w:pPr>
              <w:spacing w:after="0"/>
              <w:rPr>
                <w:sz w:val="20"/>
                <w:szCs w:val="20"/>
                <w:color w:val="auto"/>
              </w:rPr>
            </w:pP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2010</w:t>
            </w:r>
          </w:p>
        </w:tc>
        <w:tc>
          <w:tcPr>
            <w:tcW w:w="120" w:type="dxa"/>
            <w:vAlign w:val="bottom"/>
            <w:shd w:val="clear" w:color="auto" w:fill="CCEEFF"/>
          </w:tcPr>
          <w:p>
            <w:pPr>
              <w:spacing w:after="0"/>
              <w:rPr>
                <w:sz w:val="20"/>
                <w:szCs w:val="20"/>
                <w:color w:val="auto"/>
              </w:rPr>
            </w:pPr>
          </w:p>
        </w:tc>
        <w:tc>
          <w:tcPr>
            <w:tcW w:w="9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54</w:t>
            </w:r>
          </w:p>
        </w:tc>
      </w:tr>
      <w:tr>
        <w:trPr>
          <w:trHeight w:val="202"/>
        </w:trPr>
        <w:tc>
          <w:tcPr>
            <w:tcW w:w="20" w:type="dxa"/>
            <w:vAlign w:val="bottom"/>
          </w:tcPr>
          <w:p>
            <w:pPr>
              <w:spacing w:after="0"/>
              <w:rPr>
                <w:sz w:val="17"/>
                <w:szCs w:val="17"/>
                <w:color w:val="auto"/>
              </w:rPr>
            </w:pPr>
          </w:p>
        </w:tc>
        <w:tc>
          <w:tcPr>
            <w:tcW w:w="4680" w:type="dxa"/>
            <w:vAlign w:val="bottom"/>
          </w:tcPr>
          <w:p>
            <w:pPr>
              <w:spacing w:after="0" w:line="201" w:lineRule="exact"/>
              <w:rPr>
                <w:sz w:val="20"/>
                <w:szCs w:val="20"/>
                <w:color w:val="auto"/>
              </w:rPr>
            </w:pPr>
            <w:r>
              <w:rPr>
                <w:rFonts w:ascii="Arial" w:cs="Arial" w:eastAsia="Arial" w:hAnsi="Arial"/>
                <w:sz w:val="18"/>
                <w:szCs w:val="18"/>
                <w:color w:val="auto"/>
              </w:rPr>
              <w:t>José Alberto Garzón</w:t>
            </w: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7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r>
      <w:tr>
        <w:trPr>
          <w:trHeight w:val="216"/>
        </w:trPr>
        <w:tc>
          <w:tcPr>
            <w:tcW w:w="4700" w:type="dxa"/>
            <w:vAlign w:val="bottom"/>
            <w:gridSpan w:val="2"/>
          </w:tcPr>
          <w:p>
            <w:pPr>
              <w:spacing w:after="0"/>
              <w:rPr>
                <w:sz w:val="20"/>
                <w:szCs w:val="20"/>
                <w:color w:val="auto"/>
              </w:rPr>
            </w:pPr>
            <w:r>
              <w:rPr>
                <w:rFonts w:ascii="Arial" w:cs="Arial" w:eastAsia="Arial" w:hAnsi="Arial"/>
                <w:sz w:val="18"/>
                <w:szCs w:val="18"/>
                <w:color w:val="auto"/>
              </w:rPr>
              <w:t>Legal Vice President and General Secretary</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r>
      <w:tr>
        <w:trPr>
          <w:trHeight w:val="230"/>
        </w:trPr>
        <w:tc>
          <w:tcPr>
            <w:tcW w:w="4700" w:type="dxa"/>
            <w:vAlign w:val="bottom"/>
            <w:gridSpan w:val="2"/>
          </w:tcPr>
          <w:p>
            <w:pPr>
              <w:spacing w:after="0"/>
              <w:rPr>
                <w:sz w:val="20"/>
                <w:szCs w:val="20"/>
                <w:color w:val="auto"/>
              </w:rPr>
            </w:pPr>
            <w:r>
              <w:rPr>
                <w:rFonts w:ascii="Arial" w:cs="Arial" w:eastAsia="Arial" w:hAnsi="Arial"/>
                <w:sz w:val="18"/>
                <w:szCs w:val="18"/>
                <w:color w:val="auto"/>
              </w:rPr>
              <w:t>Banco de Comercio Exterior de Colombia</w:t>
            </w:r>
          </w:p>
        </w:tc>
        <w:tc>
          <w:tcPr>
            <w:tcW w:w="220" w:type="dxa"/>
            <w:vAlign w:val="bottom"/>
          </w:tcPr>
          <w:p>
            <w:pPr>
              <w:spacing w:after="0"/>
              <w:rPr>
                <w:sz w:val="20"/>
                <w:szCs w:val="20"/>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color w:val="auto"/>
                <w:w w:val="94"/>
              </w:rPr>
              <w:t>Colombia</w:t>
            </w:r>
          </w:p>
        </w:tc>
        <w:tc>
          <w:tcPr>
            <w:tcW w:w="1940" w:type="dxa"/>
            <w:vAlign w:val="bottom"/>
            <w:gridSpan w:val="2"/>
          </w:tcPr>
          <w:p>
            <w:pPr>
              <w:jc w:val="center"/>
              <w:ind w:right="220"/>
              <w:spacing w:after="0"/>
              <w:rPr>
                <w:sz w:val="20"/>
                <w:szCs w:val="20"/>
                <w:color w:val="auto"/>
              </w:rPr>
            </w:pPr>
            <w:r>
              <w:rPr>
                <w:rFonts w:ascii="Arial" w:cs="Arial" w:eastAsia="Arial" w:hAnsi="Arial"/>
                <w:sz w:val="18"/>
                <w:szCs w:val="18"/>
                <w:color w:val="auto"/>
                <w:w w:val="95"/>
              </w:rPr>
              <w:t>Director</w:t>
            </w:r>
          </w:p>
        </w:tc>
        <w:tc>
          <w:tcPr>
            <w:tcW w:w="1020" w:type="dxa"/>
            <w:vAlign w:val="bottom"/>
          </w:tcPr>
          <w:p>
            <w:pPr>
              <w:jc w:val="center"/>
              <w:spacing w:after="0"/>
              <w:rPr>
                <w:sz w:val="20"/>
                <w:szCs w:val="20"/>
                <w:color w:val="auto"/>
              </w:rPr>
            </w:pPr>
            <w:r>
              <w:rPr>
                <w:rFonts w:ascii="Arial" w:cs="Arial" w:eastAsia="Arial" w:hAnsi="Arial"/>
                <w:sz w:val="18"/>
                <w:szCs w:val="18"/>
                <w:color w:val="auto"/>
                <w:w w:val="89"/>
              </w:rPr>
              <w:t>2020</w:t>
            </w:r>
          </w:p>
        </w:tc>
        <w:tc>
          <w:tcPr>
            <w:tcW w:w="220" w:type="dxa"/>
            <w:vAlign w:val="bottom"/>
          </w:tcPr>
          <w:p>
            <w:pPr>
              <w:spacing w:after="0"/>
              <w:rPr>
                <w:sz w:val="20"/>
                <w:szCs w:val="20"/>
                <w:color w:val="auto"/>
              </w:rPr>
            </w:pPr>
          </w:p>
        </w:tc>
        <w:tc>
          <w:tcPr>
            <w:tcW w:w="1020" w:type="dxa"/>
            <w:vAlign w:val="bottom"/>
          </w:tcPr>
          <w:p>
            <w:pPr>
              <w:jc w:val="center"/>
              <w:spacing w:after="0"/>
              <w:rPr>
                <w:sz w:val="20"/>
                <w:szCs w:val="20"/>
                <w:color w:val="auto"/>
              </w:rPr>
            </w:pPr>
            <w:r>
              <w:rPr>
                <w:rFonts w:ascii="Arial" w:cs="Arial" w:eastAsia="Arial" w:hAnsi="Arial"/>
                <w:sz w:val="18"/>
                <w:szCs w:val="18"/>
                <w:color w:val="auto"/>
                <w:w w:val="89"/>
              </w:rPr>
              <w:t>2017</w:t>
            </w:r>
          </w:p>
        </w:tc>
        <w:tc>
          <w:tcPr>
            <w:tcW w:w="120" w:type="dxa"/>
            <w:vAlign w:val="bottom"/>
          </w:tcPr>
          <w:p>
            <w:pPr>
              <w:spacing w:after="0"/>
              <w:rPr>
                <w:sz w:val="20"/>
                <w:szCs w:val="20"/>
                <w:color w:val="auto"/>
              </w:rPr>
            </w:pPr>
          </w:p>
        </w:tc>
        <w:tc>
          <w:tcPr>
            <w:tcW w:w="900" w:type="dxa"/>
            <w:vAlign w:val="bottom"/>
          </w:tcPr>
          <w:p>
            <w:pPr>
              <w:jc w:val="center"/>
              <w:spacing w:after="0"/>
              <w:rPr>
                <w:sz w:val="20"/>
                <w:szCs w:val="20"/>
                <w:color w:val="auto"/>
              </w:rPr>
            </w:pPr>
            <w:r>
              <w:rPr>
                <w:rFonts w:ascii="Arial" w:cs="Arial" w:eastAsia="Arial" w:hAnsi="Arial"/>
                <w:sz w:val="18"/>
                <w:szCs w:val="18"/>
                <w:color w:val="auto"/>
                <w:w w:val="89"/>
              </w:rPr>
              <w:t>47</w:t>
            </w: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Javier González Fraga</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Chairman</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Banco de la Nación Argentina</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center"/>
              <w:ind w:right="240"/>
              <w:spacing w:after="0"/>
              <w:rPr>
                <w:sz w:val="20"/>
                <w:szCs w:val="20"/>
                <w:color w:val="auto"/>
              </w:rPr>
            </w:pPr>
            <w:r>
              <w:rPr>
                <w:rFonts w:ascii="Arial" w:cs="Arial" w:eastAsia="Arial" w:hAnsi="Arial"/>
                <w:sz w:val="18"/>
                <w:szCs w:val="18"/>
                <w:color w:val="auto"/>
                <w:w w:val="93"/>
              </w:rPr>
              <w:t>Argentina</w:t>
            </w:r>
          </w:p>
        </w:tc>
        <w:tc>
          <w:tcPr>
            <w:tcW w:w="194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5"/>
              </w:rPr>
              <w:t>Director</w:t>
            </w: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2020</w:t>
            </w: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2017</w:t>
            </w: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69</w:t>
            </w:r>
          </w:p>
        </w:tc>
      </w:tr>
      <w:tr>
        <w:trPr>
          <w:trHeight w:val="432"/>
        </w:trPr>
        <w:tc>
          <w:tcPr>
            <w:tcW w:w="4700" w:type="dxa"/>
            <w:vAlign w:val="bottom"/>
            <w:gridSpan w:val="2"/>
          </w:tcPr>
          <w:p>
            <w:pPr>
              <w:spacing w:after="0"/>
              <w:rPr>
                <w:sz w:val="20"/>
                <w:szCs w:val="20"/>
                <w:color w:val="auto"/>
              </w:rPr>
            </w:pPr>
            <w:r>
              <w:rPr>
                <w:rFonts w:ascii="Arial" w:cs="Arial" w:eastAsia="Arial" w:hAnsi="Arial"/>
                <w:sz w:val="18"/>
                <w:szCs w:val="18"/>
                <w:b w:val="1"/>
                <w:bCs w:val="1"/>
                <w:color w:val="auto"/>
              </w:rPr>
              <w:t>CLASS E</w:t>
            </w:r>
          </w:p>
        </w:tc>
        <w:tc>
          <w:tcPr>
            <w:tcW w:w="2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00" w:type="dxa"/>
            <w:vAlign w:val="bottom"/>
          </w:tcPr>
          <w:p>
            <w:pPr>
              <w:spacing w:after="0"/>
              <w:rPr>
                <w:sz w:val="24"/>
                <w:szCs w:val="24"/>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Ricardo Manuel Arango</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Senior Partner</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Arias, Fábrega &amp; Fábrega, Panama</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center"/>
              <w:ind w:right="240"/>
              <w:spacing w:after="0"/>
              <w:rPr>
                <w:sz w:val="20"/>
                <w:szCs w:val="20"/>
                <w:color w:val="auto"/>
              </w:rPr>
            </w:pPr>
            <w:r>
              <w:rPr>
                <w:rFonts w:ascii="Arial" w:cs="Arial" w:eastAsia="Arial" w:hAnsi="Arial"/>
                <w:sz w:val="18"/>
                <w:szCs w:val="18"/>
                <w:color w:val="auto"/>
                <w:w w:val="83"/>
              </w:rPr>
              <w:t>Panama</w:t>
            </w:r>
          </w:p>
        </w:tc>
        <w:tc>
          <w:tcPr>
            <w:tcW w:w="194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5"/>
              </w:rPr>
              <w:t>Director</w:t>
            </w: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2019</w:t>
            </w: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2016</w:t>
            </w: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57</w:t>
            </w:r>
          </w:p>
        </w:tc>
      </w:tr>
      <w:tr>
        <w:trPr>
          <w:trHeight w:val="202"/>
        </w:trPr>
        <w:tc>
          <w:tcPr>
            <w:tcW w:w="20" w:type="dxa"/>
            <w:vAlign w:val="bottom"/>
          </w:tcPr>
          <w:p>
            <w:pPr>
              <w:spacing w:after="0"/>
              <w:rPr>
                <w:sz w:val="17"/>
                <w:szCs w:val="17"/>
                <w:color w:val="auto"/>
              </w:rPr>
            </w:pPr>
          </w:p>
        </w:tc>
        <w:tc>
          <w:tcPr>
            <w:tcW w:w="4680" w:type="dxa"/>
            <w:vAlign w:val="bottom"/>
          </w:tcPr>
          <w:p>
            <w:pPr>
              <w:spacing w:after="0" w:line="201" w:lineRule="exact"/>
              <w:rPr>
                <w:sz w:val="20"/>
                <w:szCs w:val="20"/>
                <w:color w:val="auto"/>
              </w:rPr>
            </w:pPr>
            <w:r>
              <w:rPr>
                <w:rFonts w:ascii="Arial" w:cs="Arial" w:eastAsia="Arial" w:hAnsi="Arial"/>
                <w:sz w:val="18"/>
                <w:szCs w:val="18"/>
                <w:color w:val="auto"/>
              </w:rPr>
              <w:t>Herminio A. Blanco</w:t>
            </w: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7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r>
      <w:tr>
        <w:trPr>
          <w:trHeight w:val="216"/>
        </w:trPr>
        <w:tc>
          <w:tcPr>
            <w:tcW w:w="4700" w:type="dxa"/>
            <w:vAlign w:val="bottom"/>
            <w:gridSpan w:val="2"/>
          </w:tcPr>
          <w:p>
            <w:pPr>
              <w:spacing w:after="0"/>
              <w:rPr>
                <w:sz w:val="20"/>
                <w:szCs w:val="20"/>
                <w:color w:val="auto"/>
              </w:rPr>
            </w:pPr>
            <w:r>
              <w:rPr>
                <w:rFonts w:ascii="Arial" w:cs="Arial" w:eastAsia="Arial" w:hAnsi="Arial"/>
                <w:sz w:val="18"/>
                <w:szCs w:val="18"/>
                <w:color w:val="auto"/>
              </w:rPr>
              <w:t>President</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r>
      <w:tr>
        <w:trPr>
          <w:trHeight w:val="230"/>
        </w:trPr>
        <w:tc>
          <w:tcPr>
            <w:tcW w:w="4700" w:type="dxa"/>
            <w:vAlign w:val="bottom"/>
            <w:gridSpan w:val="2"/>
          </w:tcPr>
          <w:p>
            <w:pPr>
              <w:spacing w:after="0"/>
              <w:rPr>
                <w:sz w:val="20"/>
                <w:szCs w:val="20"/>
                <w:color w:val="auto"/>
              </w:rPr>
            </w:pPr>
            <w:r>
              <w:rPr>
                <w:rFonts w:ascii="Arial" w:cs="Arial" w:eastAsia="Arial" w:hAnsi="Arial"/>
                <w:sz w:val="18"/>
                <w:szCs w:val="18"/>
                <w:color w:val="auto"/>
              </w:rPr>
              <w:t>IQOM, Mexico</w:t>
            </w:r>
          </w:p>
        </w:tc>
        <w:tc>
          <w:tcPr>
            <w:tcW w:w="220" w:type="dxa"/>
            <w:vAlign w:val="bottom"/>
          </w:tcPr>
          <w:p>
            <w:pPr>
              <w:spacing w:after="0"/>
              <w:rPr>
                <w:sz w:val="20"/>
                <w:szCs w:val="20"/>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color w:val="auto"/>
                <w:w w:val="98"/>
              </w:rPr>
              <w:t>Mexico</w:t>
            </w:r>
          </w:p>
        </w:tc>
        <w:tc>
          <w:tcPr>
            <w:tcW w:w="1940" w:type="dxa"/>
            <w:vAlign w:val="bottom"/>
            <w:gridSpan w:val="2"/>
          </w:tcPr>
          <w:p>
            <w:pPr>
              <w:jc w:val="center"/>
              <w:ind w:right="220"/>
              <w:spacing w:after="0"/>
              <w:rPr>
                <w:sz w:val="20"/>
                <w:szCs w:val="20"/>
                <w:color w:val="auto"/>
              </w:rPr>
            </w:pPr>
            <w:r>
              <w:rPr>
                <w:rFonts w:ascii="Arial" w:cs="Arial" w:eastAsia="Arial" w:hAnsi="Arial"/>
                <w:sz w:val="18"/>
                <w:szCs w:val="18"/>
                <w:color w:val="auto"/>
                <w:w w:val="95"/>
              </w:rPr>
              <w:t>Director</w:t>
            </w:r>
          </w:p>
        </w:tc>
        <w:tc>
          <w:tcPr>
            <w:tcW w:w="1020" w:type="dxa"/>
            <w:vAlign w:val="bottom"/>
          </w:tcPr>
          <w:p>
            <w:pPr>
              <w:jc w:val="center"/>
              <w:spacing w:after="0"/>
              <w:rPr>
                <w:sz w:val="20"/>
                <w:szCs w:val="20"/>
                <w:color w:val="auto"/>
              </w:rPr>
            </w:pPr>
            <w:r>
              <w:rPr>
                <w:rFonts w:ascii="Arial" w:cs="Arial" w:eastAsia="Arial" w:hAnsi="Arial"/>
                <w:sz w:val="18"/>
                <w:szCs w:val="18"/>
                <w:color w:val="auto"/>
                <w:w w:val="89"/>
              </w:rPr>
              <w:t>2019</w:t>
            </w:r>
          </w:p>
        </w:tc>
        <w:tc>
          <w:tcPr>
            <w:tcW w:w="220" w:type="dxa"/>
            <w:vAlign w:val="bottom"/>
          </w:tcPr>
          <w:p>
            <w:pPr>
              <w:spacing w:after="0"/>
              <w:rPr>
                <w:sz w:val="20"/>
                <w:szCs w:val="20"/>
                <w:color w:val="auto"/>
              </w:rPr>
            </w:pPr>
          </w:p>
        </w:tc>
        <w:tc>
          <w:tcPr>
            <w:tcW w:w="1020" w:type="dxa"/>
            <w:vAlign w:val="bottom"/>
          </w:tcPr>
          <w:p>
            <w:pPr>
              <w:jc w:val="center"/>
              <w:spacing w:after="0"/>
              <w:rPr>
                <w:sz w:val="20"/>
                <w:szCs w:val="20"/>
                <w:color w:val="auto"/>
              </w:rPr>
            </w:pPr>
            <w:r>
              <w:rPr>
                <w:rFonts w:ascii="Arial" w:cs="Arial" w:eastAsia="Arial" w:hAnsi="Arial"/>
                <w:sz w:val="18"/>
                <w:szCs w:val="18"/>
                <w:color w:val="auto"/>
                <w:w w:val="89"/>
              </w:rPr>
              <w:t>2004</w:t>
            </w:r>
          </w:p>
        </w:tc>
        <w:tc>
          <w:tcPr>
            <w:tcW w:w="120" w:type="dxa"/>
            <w:vAlign w:val="bottom"/>
          </w:tcPr>
          <w:p>
            <w:pPr>
              <w:spacing w:after="0"/>
              <w:rPr>
                <w:sz w:val="20"/>
                <w:szCs w:val="20"/>
                <w:color w:val="auto"/>
              </w:rPr>
            </w:pPr>
          </w:p>
        </w:tc>
        <w:tc>
          <w:tcPr>
            <w:tcW w:w="900" w:type="dxa"/>
            <w:vAlign w:val="bottom"/>
          </w:tcPr>
          <w:p>
            <w:pPr>
              <w:jc w:val="center"/>
              <w:spacing w:after="0"/>
              <w:rPr>
                <w:sz w:val="20"/>
                <w:szCs w:val="20"/>
                <w:color w:val="auto"/>
              </w:rPr>
            </w:pPr>
            <w:r>
              <w:rPr>
                <w:rFonts w:ascii="Arial" w:cs="Arial" w:eastAsia="Arial" w:hAnsi="Arial"/>
                <w:sz w:val="18"/>
                <w:szCs w:val="18"/>
                <w:color w:val="auto"/>
                <w:w w:val="89"/>
              </w:rPr>
              <w:t>67</w:t>
            </w: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Mario Covo</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Founding Partner</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DanaMar LLC, U.S.A.</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6"/>
              </w:rPr>
              <w:t>U.S.A.</w:t>
            </w:r>
          </w:p>
        </w:tc>
        <w:tc>
          <w:tcPr>
            <w:tcW w:w="194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5"/>
              </w:rPr>
              <w:t>Director</w:t>
            </w: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2020</w:t>
            </w: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1999</w:t>
            </w: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60</w:t>
            </w:r>
          </w:p>
        </w:tc>
      </w:tr>
      <w:tr>
        <w:trPr>
          <w:trHeight w:val="202"/>
        </w:trPr>
        <w:tc>
          <w:tcPr>
            <w:tcW w:w="20" w:type="dxa"/>
            <w:vAlign w:val="bottom"/>
          </w:tcPr>
          <w:p>
            <w:pPr>
              <w:spacing w:after="0"/>
              <w:rPr>
                <w:sz w:val="17"/>
                <w:szCs w:val="17"/>
                <w:color w:val="auto"/>
              </w:rPr>
            </w:pPr>
          </w:p>
        </w:tc>
        <w:tc>
          <w:tcPr>
            <w:tcW w:w="4680" w:type="dxa"/>
            <w:vAlign w:val="bottom"/>
          </w:tcPr>
          <w:p>
            <w:pPr>
              <w:spacing w:after="0" w:line="201" w:lineRule="exact"/>
              <w:rPr>
                <w:sz w:val="20"/>
                <w:szCs w:val="20"/>
                <w:color w:val="auto"/>
              </w:rPr>
            </w:pPr>
            <w:r>
              <w:rPr>
                <w:rFonts w:ascii="Arial" w:cs="Arial" w:eastAsia="Arial" w:hAnsi="Arial"/>
                <w:sz w:val="18"/>
                <w:szCs w:val="18"/>
                <w:color w:val="auto"/>
              </w:rPr>
              <w:t>Miguel Heras Castro</w:t>
            </w: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7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r>
      <w:tr>
        <w:trPr>
          <w:trHeight w:val="216"/>
        </w:trPr>
        <w:tc>
          <w:tcPr>
            <w:tcW w:w="4700" w:type="dxa"/>
            <w:vAlign w:val="bottom"/>
            <w:gridSpan w:val="2"/>
          </w:tcPr>
          <w:p>
            <w:pPr>
              <w:spacing w:after="0"/>
              <w:rPr>
                <w:sz w:val="20"/>
                <w:szCs w:val="20"/>
                <w:color w:val="auto"/>
              </w:rPr>
            </w:pPr>
            <w:r>
              <w:rPr>
                <w:rFonts w:ascii="Arial" w:cs="Arial" w:eastAsia="Arial" w:hAnsi="Arial"/>
                <w:sz w:val="18"/>
                <w:szCs w:val="18"/>
                <w:color w:val="auto"/>
              </w:rPr>
              <w:t>Executive Director</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r>
      <w:tr>
        <w:trPr>
          <w:trHeight w:val="230"/>
        </w:trPr>
        <w:tc>
          <w:tcPr>
            <w:tcW w:w="4700" w:type="dxa"/>
            <w:vAlign w:val="bottom"/>
            <w:gridSpan w:val="2"/>
          </w:tcPr>
          <w:p>
            <w:pPr>
              <w:spacing w:after="0"/>
              <w:rPr>
                <w:sz w:val="20"/>
                <w:szCs w:val="20"/>
                <w:color w:val="auto"/>
              </w:rPr>
            </w:pPr>
            <w:r>
              <w:rPr>
                <w:rFonts w:ascii="Arial" w:cs="Arial" w:eastAsia="Arial" w:hAnsi="Arial"/>
                <w:sz w:val="18"/>
                <w:szCs w:val="18"/>
                <w:color w:val="auto"/>
              </w:rPr>
              <w:t>Inversiones Bahia Ltd., Panama</w:t>
            </w:r>
          </w:p>
        </w:tc>
        <w:tc>
          <w:tcPr>
            <w:tcW w:w="220" w:type="dxa"/>
            <w:vAlign w:val="bottom"/>
          </w:tcPr>
          <w:p>
            <w:pPr>
              <w:spacing w:after="0"/>
              <w:rPr>
                <w:sz w:val="20"/>
                <w:szCs w:val="20"/>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color w:val="auto"/>
                <w:w w:val="83"/>
              </w:rPr>
              <w:t>Panama</w:t>
            </w:r>
          </w:p>
        </w:tc>
        <w:tc>
          <w:tcPr>
            <w:tcW w:w="1940" w:type="dxa"/>
            <w:vAlign w:val="bottom"/>
            <w:gridSpan w:val="2"/>
          </w:tcPr>
          <w:p>
            <w:pPr>
              <w:jc w:val="center"/>
              <w:ind w:right="220"/>
              <w:spacing w:after="0"/>
              <w:rPr>
                <w:sz w:val="20"/>
                <w:szCs w:val="20"/>
                <w:color w:val="auto"/>
              </w:rPr>
            </w:pPr>
            <w:r>
              <w:rPr>
                <w:rFonts w:ascii="Arial" w:cs="Arial" w:eastAsia="Arial" w:hAnsi="Arial"/>
                <w:sz w:val="18"/>
                <w:szCs w:val="18"/>
                <w:color w:val="auto"/>
                <w:w w:val="95"/>
              </w:rPr>
              <w:t>Director</w:t>
            </w:r>
          </w:p>
        </w:tc>
        <w:tc>
          <w:tcPr>
            <w:tcW w:w="1020" w:type="dxa"/>
            <w:vAlign w:val="bottom"/>
          </w:tcPr>
          <w:p>
            <w:pPr>
              <w:jc w:val="center"/>
              <w:spacing w:after="0"/>
              <w:rPr>
                <w:sz w:val="20"/>
                <w:szCs w:val="20"/>
                <w:color w:val="auto"/>
              </w:rPr>
            </w:pPr>
            <w:r>
              <w:rPr>
                <w:rFonts w:ascii="Arial" w:cs="Arial" w:eastAsia="Arial" w:hAnsi="Arial"/>
                <w:sz w:val="18"/>
                <w:szCs w:val="18"/>
                <w:color w:val="auto"/>
                <w:w w:val="89"/>
              </w:rPr>
              <w:t>2021</w:t>
            </w:r>
          </w:p>
        </w:tc>
        <w:tc>
          <w:tcPr>
            <w:tcW w:w="220" w:type="dxa"/>
            <w:vAlign w:val="bottom"/>
          </w:tcPr>
          <w:p>
            <w:pPr>
              <w:spacing w:after="0"/>
              <w:rPr>
                <w:sz w:val="20"/>
                <w:szCs w:val="20"/>
                <w:color w:val="auto"/>
              </w:rPr>
            </w:pPr>
          </w:p>
        </w:tc>
        <w:tc>
          <w:tcPr>
            <w:tcW w:w="1020" w:type="dxa"/>
            <w:vAlign w:val="bottom"/>
          </w:tcPr>
          <w:p>
            <w:pPr>
              <w:jc w:val="center"/>
              <w:spacing w:after="0"/>
              <w:rPr>
                <w:sz w:val="20"/>
                <w:szCs w:val="20"/>
                <w:color w:val="auto"/>
              </w:rPr>
            </w:pPr>
            <w:r>
              <w:rPr>
                <w:rFonts w:ascii="Arial" w:cs="Arial" w:eastAsia="Arial" w:hAnsi="Arial"/>
                <w:sz w:val="18"/>
                <w:szCs w:val="18"/>
                <w:color w:val="auto"/>
                <w:w w:val="89"/>
              </w:rPr>
              <w:t>2015</w:t>
            </w:r>
          </w:p>
        </w:tc>
        <w:tc>
          <w:tcPr>
            <w:tcW w:w="120" w:type="dxa"/>
            <w:vAlign w:val="bottom"/>
          </w:tcPr>
          <w:p>
            <w:pPr>
              <w:spacing w:after="0"/>
              <w:rPr>
                <w:sz w:val="20"/>
                <w:szCs w:val="20"/>
                <w:color w:val="auto"/>
              </w:rPr>
            </w:pPr>
          </w:p>
        </w:tc>
        <w:tc>
          <w:tcPr>
            <w:tcW w:w="900" w:type="dxa"/>
            <w:vAlign w:val="bottom"/>
          </w:tcPr>
          <w:p>
            <w:pPr>
              <w:jc w:val="center"/>
              <w:spacing w:after="0"/>
              <w:rPr>
                <w:sz w:val="20"/>
                <w:szCs w:val="20"/>
                <w:color w:val="auto"/>
              </w:rPr>
            </w:pPr>
            <w:r>
              <w:rPr>
                <w:rFonts w:ascii="Arial" w:cs="Arial" w:eastAsia="Arial" w:hAnsi="Arial"/>
                <w:sz w:val="18"/>
                <w:szCs w:val="18"/>
                <w:color w:val="auto"/>
                <w:w w:val="89"/>
              </w:rPr>
              <w:t>49</w:t>
            </w: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Roland Holst</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02"/>
        </w:trPr>
        <w:tc>
          <w:tcPr>
            <w:tcW w:w="20" w:type="dxa"/>
            <w:vAlign w:val="bottom"/>
          </w:tcPr>
          <w:p>
            <w:pPr>
              <w:spacing w:after="0"/>
              <w:rPr>
                <w:sz w:val="17"/>
                <w:szCs w:val="17"/>
                <w:color w:val="auto"/>
              </w:rPr>
            </w:pPr>
          </w:p>
        </w:tc>
        <w:tc>
          <w:tcPr>
            <w:tcW w:w="46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Board Member</w:t>
            </w: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r>
      <w:tr>
        <w:trPr>
          <w:trHeight w:val="230"/>
        </w:trPr>
        <w:tc>
          <w:tcPr>
            <w:tcW w:w="20" w:type="dxa"/>
            <w:vAlign w:val="bottom"/>
          </w:tcPr>
          <w:p>
            <w:pPr>
              <w:spacing w:after="0"/>
              <w:rPr>
                <w:sz w:val="20"/>
                <w:szCs w:val="20"/>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Sudameris Bank, Paraguay</w:t>
            </w:r>
          </w:p>
        </w:tc>
        <w:tc>
          <w:tcPr>
            <w:tcW w:w="22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center"/>
              <w:ind w:right="240"/>
              <w:spacing w:after="0"/>
              <w:rPr>
                <w:sz w:val="20"/>
                <w:szCs w:val="20"/>
                <w:color w:val="auto"/>
              </w:rPr>
            </w:pPr>
            <w:r>
              <w:rPr>
                <w:rFonts w:ascii="Arial" w:cs="Arial" w:eastAsia="Arial" w:hAnsi="Arial"/>
                <w:sz w:val="18"/>
                <w:szCs w:val="18"/>
                <w:color w:val="auto"/>
                <w:w w:val="88"/>
              </w:rPr>
              <w:t>Paraguay</w:t>
            </w:r>
          </w:p>
        </w:tc>
        <w:tc>
          <w:tcPr>
            <w:tcW w:w="194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5"/>
              </w:rPr>
              <w:t>Director</w:t>
            </w: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2019</w:t>
            </w:r>
          </w:p>
        </w:tc>
        <w:tc>
          <w:tcPr>
            <w:tcW w:w="220" w:type="dxa"/>
            <w:vAlign w:val="bottom"/>
            <w:shd w:val="clear" w:color="auto" w:fill="CCEEFF"/>
          </w:tcPr>
          <w:p>
            <w:pPr>
              <w:spacing w:after="0"/>
              <w:rPr>
                <w:sz w:val="20"/>
                <w:szCs w:val="20"/>
                <w:color w:val="auto"/>
              </w:rPr>
            </w:pP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2017</w:t>
            </w:r>
          </w:p>
        </w:tc>
        <w:tc>
          <w:tcPr>
            <w:tcW w:w="120" w:type="dxa"/>
            <w:vAlign w:val="bottom"/>
            <w:shd w:val="clear" w:color="auto" w:fill="CCEEFF"/>
          </w:tcPr>
          <w:p>
            <w:pPr>
              <w:spacing w:after="0"/>
              <w:rPr>
                <w:sz w:val="20"/>
                <w:szCs w:val="20"/>
                <w:color w:val="auto"/>
              </w:rPr>
            </w:pPr>
          </w:p>
        </w:tc>
        <w:tc>
          <w:tcPr>
            <w:tcW w:w="9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48</w:t>
            </w:r>
          </w:p>
        </w:tc>
      </w:tr>
      <w:tr>
        <w:trPr>
          <w:trHeight w:val="473"/>
        </w:trPr>
        <w:tc>
          <w:tcPr>
            <w:tcW w:w="4700" w:type="dxa"/>
            <w:vAlign w:val="bottom"/>
            <w:gridSpan w:val="2"/>
          </w:tcPr>
          <w:p>
            <w:pPr>
              <w:spacing w:after="0"/>
              <w:rPr>
                <w:sz w:val="20"/>
                <w:szCs w:val="20"/>
                <w:color w:val="auto"/>
              </w:rPr>
            </w:pPr>
            <w:r>
              <w:rPr>
                <w:rFonts w:ascii="Arial" w:cs="Arial" w:eastAsia="Arial" w:hAnsi="Arial"/>
                <w:sz w:val="18"/>
                <w:szCs w:val="18"/>
                <w:b w:val="1"/>
                <w:bCs w:val="1"/>
                <w:color w:val="auto"/>
              </w:rPr>
              <w:t xml:space="preserve">ALL CLASSES OF COMMON STOCK </w:t>
            </w:r>
            <w:r>
              <w:rPr>
                <w:rFonts w:ascii="Arial" w:cs="Arial" w:eastAsia="Arial" w:hAnsi="Arial"/>
                <w:sz w:val="30"/>
                <w:szCs w:val="30"/>
                <w:b w:val="1"/>
                <w:bCs w:val="1"/>
                <w:color w:val="auto"/>
                <w:vertAlign w:val="superscript"/>
              </w:rPr>
              <w:t>(1)</w:t>
            </w:r>
          </w:p>
        </w:tc>
        <w:tc>
          <w:tcPr>
            <w:tcW w:w="2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00" w:type="dxa"/>
            <w:vAlign w:val="bottom"/>
          </w:tcPr>
          <w:p>
            <w:pPr>
              <w:spacing w:after="0"/>
              <w:rPr>
                <w:sz w:val="24"/>
                <w:szCs w:val="24"/>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Gonzalo Menéndez Duque</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Director</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940" w:type="dxa"/>
            <w:vAlign w:val="bottom"/>
            <w:gridSpan w:val="2"/>
            <w:shd w:val="clear" w:color="auto" w:fill="CCEEFF"/>
          </w:tcPr>
          <w:p>
            <w:pPr>
              <w:jc w:val="center"/>
              <w:ind w:right="240"/>
              <w:spacing w:after="0"/>
              <w:rPr>
                <w:sz w:val="20"/>
                <w:szCs w:val="20"/>
                <w:color w:val="auto"/>
              </w:rPr>
            </w:pPr>
            <w:r>
              <w:rPr>
                <w:rFonts w:ascii="Arial" w:cs="Arial" w:eastAsia="Arial" w:hAnsi="Arial"/>
                <w:sz w:val="18"/>
                <w:szCs w:val="18"/>
                <w:color w:val="auto"/>
                <w:w w:val="91"/>
              </w:rPr>
              <w:t>Chairman of</w:t>
            </w: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Banco de Chile, Chile</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center"/>
              <w:ind w:right="240"/>
              <w:spacing w:after="0"/>
              <w:rPr>
                <w:sz w:val="20"/>
                <w:szCs w:val="20"/>
                <w:color w:val="auto"/>
              </w:rPr>
            </w:pPr>
            <w:r>
              <w:rPr>
                <w:rFonts w:ascii="Arial" w:cs="Arial" w:eastAsia="Arial" w:hAnsi="Arial"/>
                <w:sz w:val="18"/>
                <w:szCs w:val="18"/>
                <w:color w:val="auto"/>
                <w:w w:val="97"/>
              </w:rPr>
              <w:t>Chile</w:t>
            </w:r>
          </w:p>
        </w:tc>
        <w:tc>
          <w:tcPr>
            <w:tcW w:w="1940" w:type="dxa"/>
            <w:vAlign w:val="bottom"/>
            <w:gridSpan w:val="2"/>
            <w:shd w:val="clear" w:color="auto" w:fill="CCEEFF"/>
          </w:tcPr>
          <w:p>
            <w:pPr>
              <w:jc w:val="center"/>
              <w:ind w:right="240"/>
              <w:spacing w:after="0"/>
              <w:rPr>
                <w:sz w:val="20"/>
                <w:szCs w:val="20"/>
                <w:color w:val="auto"/>
              </w:rPr>
            </w:pPr>
            <w:r>
              <w:rPr>
                <w:rFonts w:ascii="Arial" w:cs="Arial" w:eastAsia="Arial" w:hAnsi="Arial"/>
                <w:sz w:val="18"/>
                <w:szCs w:val="18"/>
                <w:color w:val="auto"/>
                <w:w w:val="89"/>
              </w:rPr>
              <w:t>the Board</w:t>
            </w: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2021</w:t>
            </w: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1990</w:t>
            </w: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69</w:t>
            </w:r>
          </w:p>
        </w:tc>
      </w:tr>
      <w:tr>
        <w:trPr>
          <w:trHeight w:val="202"/>
        </w:trPr>
        <w:tc>
          <w:tcPr>
            <w:tcW w:w="20" w:type="dxa"/>
            <w:vAlign w:val="bottom"/>
          </w:tcPr>
          <w:p>
            <w:pPr>
              <w:spacing w:after="0"/>
              <w:rPr>
                <w:sz w:val="17"/>
                <w:szCs w:val="17"/>
                <w:color w:val="auto"/>
              </w:rPr>
            </w:pPr>
          </w:p>
        </w:tc>
        <w:tc>
          <w:tcPr>
            <w:tcW w:w="4680" w:type="dxa"/>
            <w:vAlign w:val="bottom"/>
          </w:tcPr>
          <w:p>
            <w:pPr>
              <w:spacing w:after="0" w:line="201" w:lineRule="exact"/>
              <w:rPr>
                <w:sz w:val="20"/>
                <w:szCs w:val="20"/>
                <w:color w:val="auto"/>
              </w:rPr>
            </w:pPr>
            <w:r>
              <w:rPr>
                <w:rFonts w:ascii="Arial" w:cs="Arial" w:eastAsia="Arial" w:hAnsi="Arial"/>
                <w:sz w:val="18"/>
                <w:szCs w:val="18"/>
                <w:color w:val="auto"/>
              </w:rPr>
              <w:t>Gabriel Tolchinsky</w:t>
            </w: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7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r>
      <w:tr>
        <w:trPr>
          <w:trHeight w:val="216"/>
        </w:trPr>
        <w:tc>
          <w:tcPr>
            <w:tcW w:w="4700" w:type="dxa"/>
            <w:vAlign w:val="bottom"/>
            <w:gridSpan w:val="2"/>
          </w:tcPr>
          <w:p>
            <w:pPr>
              <w:spacing w:after="0"/>
              <w:rPr>
                <w:sz w:val="20"/>
                <w:szCs w:val="20"/>
                <w:color w:val="auto"/>
              </w:rPr>
            </w:pPr>
            <w:r>
              <w:rPr>
                <w:rFonts w:ascii="Arial" w:cs="Arial" w:eastAsia="Arial" w:hAnsi="Arial"/>
                <w:sz w:val="18"/>
                <w:szCs w:val="18"/>
                <w:color w:val="auto"/>
              </w:rPr>
              <w:t>Director</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940" w:type="dxa"/>
            <w:vAlign w:val="bottom"/>
            <w:gridSpan w:val="2"/>
          </w:tcPr>
          <w:p>
            <w:pPr>
              <w:jc w:val="center"/>
              <w:ind w:right="240"/>
              <w:spacing w:after="0"/>
              <w:rPr>
                <w:sz w:val="20"/>
                <w:szCs w:val="20"/>
                <w:color w:val="auto"/>
              </w:rPr>
            </w:pPr>
            <w:r>
              <w:rPr>
                <w:rFonts w:ascii="Arial" w:cs="Arial" w:eastAsia="Arial" w:hAnsi="Arial"/>
                <w:sz w:val="18"/>
                <w:szCs w:val="18"/>
                <w:color w:val="auto"/>
                <w:w w:val="94"/>
              </w:rPr>
              <w:t>Deputy Chief</w:t>
            </w: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r>
      <w:tr>
        <w:trPr>
          <w:trHeight w:val="230"/>
        </w:trPr>
        <w:tc>
          <w:tcPr>
            <w:tcW w:w="4700" w:type="dxa"/>
            <w:vAlign w:val="bottom"/>
            <w:gridSpan w:val="2"/>
          </w:tcPr>
          <w:p>
            <w:pPr>
              <w:spacing w:after="0"/>
              <w:rPr>
                <w:sz w:val="20"/>
                <w:szCs w:val="20"/>
                <w:color w:val="auto"/>
              </w:rPr>
            </w:pPr>
            <w:r>
              <w:rPr>
                <w:rFonts w:ascii="Arial" w:cs="Arial" w:eastAsia="Arial" w:hAnsi="Arial"/>
                <w:sz w:val="18"/>
                <w:szCs w:val="18"/>
                <w:color w:val="auto"/>
              </w:rPr>
              <w:t>Bladex, Panama</w:t>
            </w:r>
          </w:p>
        </w:tc>
        <w:tc>
          <w:tcPr>
            <w:tcW w:w="220" w:type="dxa"/>
            <w:vAlign w:val="bottom"/>
          </w:tcPr>
          <w:p>
            <w:pPr>
              <w:spacing w:after="0"/>
              <w:rPr>
                <w:sz w:val="20"/>
                <w:szCs w:val="20"/>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color w:val="auto"/>
                <w:w w:val="93"/>
              </w:rPr>
              <w:t>Argentina</w:t>
            </w:r>
          </w:p>
        </w:tc>
        <w:tc>
          <w:tcPr>
            <w:tcW w:w="1940" w:type="dxa"/>
            <w:vAlign w:val="bottom"/>
            <w:gridSpan w:val="2"/>
          </w:tcPr>
          <w:p>
            <w:pPr>
              <w:jc w:val="center"/>
              <w:ind w:right="220"/>
              <w:spacing w:after="0"/>
              <w:rPr>
                <w:sz w:val="20"/>
                <w:szCs w:val="20"/>
                <w:color w:val="auto"/>
              </w:rPr>
            </w:pPr>
            <w:r>
              <w:rPr>
                <w:rFonts w:ascii="Arial" w:cs="Arial" w:eastAsia="Arial" w:hAnsi="Arial"/>
                <w:sz w:val="18"/>
                <w:szCs w:val="18"/>
                <w:color w:val="auto"/>
                <w:w w:val="94"/>
              </w:rPr>
              <w:t>Executive Officer</w:t>
            </w:r>
          </w:p>
        </w:tc>
        <w:tc>
          <w:tcPr>
            <w:tcW w:w="1020" w:type="dxa"/>
            <w:vAlign w:val="bottom"/>
          </w:tcPr>
          <w:p>
            <w:pPr>
              <w:jc w:val="center"/>
              <w:spacing w:after="0"/>
              <w:rPr>
                <w:sz w:val="20"/>
                <w:szCs w:val="20"/>
                <w:color w:val="auto"/>
              </w:rPr>
            </w:pPr>
            <w:r>
              <w:rPr>
                <w:rFonts w:ascii="Arial" w:cs="Arial" w:eastAsia="Arial" w:hAnsi="Arial"/>
                <w:sz w:val="18"/>
                <w:szCs w:val="18"/>
                <w:color w:val="auto"/>
                <w:w w:val="89"/>
              </w:rPr>
              <w:t>2021</w:t>
            </w:r>
          </w:p>
        </w:tc>
        <w:tc>
          <w:tcPr>
            <w:tcW w:w="220" w:type="dxa"/>
            <w:vAlign w:val="bottom"/>
          </w:tcPr>
          <w:p>
            <w:pPr>
              <w:spacing w:after="0"/>
              <w:rPr>
                <w:sz w:val="20"/>
                <w:szCs w:val="20"/>
                <w:color w:val="auto"/>
              </w:rPr>
            </w:pPr>
          </w:p>
        </w:tc>
        <w:tc>
          <w:tcPr>
            <w:tcW w:w="1020" w:type="dxa"/>
            <w:vAlign w:val="bottom"/>
          </w:tcPr>
          <w:p>
            <w:pPr>
              <w:jc w:val="center"/>
              <w:spacing w:after="0"/>
              <w:rPr>
                <w:sz w:val="20"/>
                <w:szCs w:val="20"/>
                <w:color w:val="auto"/>
              </w:rPr>
            </w:pPr>
            <w:r>
              <w:rPr>
                <w:rFonts w:ascii="Arial" w:cs="Arial" w:eastAsia="Arial" w:hAnsi="Arial"/>
                <w:sz w:val="18"/>
                <w:szCs w:val="18"/>
                <w:color w:val="auto"/>
                <w:w w:val="89"/>
              </w:rPr>
              <w:t>2018</w:t>
            </w:r>
          </w:p>
        </w:tc>
        <w:tc>
          <w:tcPr>
            <w:tcW w:w="120" w:type="dxa"/>
            <w:vAlign w:val="bottom"/>
          </w:tcPr>
          <w:p>
            <w:pPr>
              <w:spacing w:after="0"/>
              <w:rPr>
                <w:sz w:val="20"/>
                <w:szCs w:val="20"/>
                <w:color w:val="auto"/>
              </w:rPr>
            </w:pPr>
          </w:p>
        </w:tc>
        <w:tc>
          <w:tcPr>
            <w:tcW w:w="900" w:type="dxa"/>
            <w:vAlign w:val="bottom"/>
          </w:tcPr>
          <w:p>
            <w:pPr>
              <w:jc w:val="center"/>
              <w:spacing w:after="0"/>
              <w:rPr>
                <w:sz w:val="20"/>
                <w:szCs w:val="20"/>
                <w:color w:val="auto"/>
              </w:rPr>
            </w:pPr>
            <w:r>
              <w:rPr>
                <w:rFonts w:ascii="Arial" w:cs="Arial" w:eastAsia="Arial" w:hAnsi="Arial"/>
                <w:sz w:val="18"/>
                <w:szCs w:val="18"/>
                <w:color w:val="auto"/>
                <w:w w:val="89"/>
              </w:rPr>
              <w:t>56</w:t>
            </w:r>
          </w:p>
        </w:tc>
      </w:tr>
    </w:tbl>
    <w:p>
      <w:pPr>
        <w:spacing w:after="0" w:line="174" w:lineRule="exact"/>
        <w:rPr>
          <w:sz w:val="20"/>
          <w:szCs w:val="20"/>
          <w:color w:val="auto"/>
        </w:rPr>
      </w:pPr>
    </w:p>
    <w:p>
      <w:pPr>
        <w:ind w:left="220" w:hanging="212"/>
        <w:spacing w:after="0"/>
        <w:tabs>
          <w:tab w:leader="none" w:pos="220" w:val="left"/>
        </w:tabs>
        <w:numPr>
          <w:ilvl w:val="0"/>
          <w:numId w:val="54"/>
        </w:numPr>
        <w:rPr>
          <w:rFonts w:ascii="Arial" w:cs="Arial" w:eastAsia="Arial" w:hAnsi="Arial"/>
          <w:sz w:val="26"/>
          <w:szCs w:val="26"/>
          <w:color w:val="auto"/>
          <w:vertAlign w:val="superscript"/>
        </w:rPr>
      </w:pPr>
      <w:r>
        <w:rPr>
          <w:rFonts w:ascii="Arial" w:cs="Arial" w:eastAsia="Arial" w:hAnsi="Arial"/>
          <w:sz w:val="16"/>
          <w:szCs w:val="16"/>
          <w:color w:val="auto"/>
        </w:rPr>
        <w:t>Denotes class(es) of common stock of the Bank that elect the directors listed.</w:t>
      </w:r>
    </w:p>
    <w:p>
      <w:pPr>
        <w:spacing w:after="0" w:line="198" w:lineRule="exact"/>
        <w:rPr>
          <w:sz w:val="20"/>
          <w:szCs w:val="20"/>
          <w:color w:val="auto"/>
        </w:rPr>
      </w:pPr>
    </w:p>
    <w:p>
      <w:pPr>
        <w:jc w:val="both"/>
        <w:spacing w:after="0" w:line="289" w:lineRule="auto"/>
        <w:rPr>
          <w:sz w:val="20"/>
          <w:szCs w:val="20"/>
          <w:color w:val="auto"/>
        </w:rPr>
      </w:pPr>
      <w:r>
        <w:rPr>
          <w:rFonts w:ascii="Arial" w:cs="Arial" w:eastAsia="Arial" w:hAnsi="Arial"/>
          <w:sz w:val="16"/>
          <w:szCs w:val="16"/>
          <w:b w:val="1"/>
          <w:bCs w:val="1"/>
          <w:color w:val="auto"/>
        </w:rPr>
        <w:t xml:space="preserve">João Carlos de Nóbrega Pecego </w:t>
      </w:r>
      <w:r>
        <w:rPr>
          <w:rFonts w:ascii="Arial" w:cs="Arial" w:eastAsia="Arial" w:hAnsi="Arial"/>
          <w:sz w:val="16"/>
          <w:szCs w:val="16"/>
          <w:color w:val="auto"/>
        </w:rPr>
        <w:t>has served as a Director of the Board since 2010. Mr. Pecego has served as Chief Executive Officer of Banco Patagonia,</w:t>
      </w:r>
      <w:r>
        <w:rPr>
          <w:rFonts w:ascii="Arial" w:cs="Arial" w:eastAsia="Arial" w:hAnsi="Arial"/>
          <w:sz w:val="16"/>
          <w:szCs w:val="16"/>
          <w:b w:val="1"/>
          <w:bCs w:val="1"/>
          <w:color w:val="auto"/>
        </w:rPr>
        <w:t xml:space="preserve"> </w:t>
      </w:r>
      <w:r>
        <w:rPr>
          <w:rFonts w:ascii="Arial" w:cs="Arial" w:eastAsia="Arial" w:hAnsi="Arial"/>
          <w:sz w:val="16"/>
          <w:szCs w:val="16"/>
          <w:color w:val="auto"/>
        </w:rPr>
        <w:t>Argentina since 2014. Mr. Pecego has also served as Vice President of GPAT Compañía Financiera since 2016, Director of Patagonia Valores since 2011, Director of Banco Patagonia Uruguay since 2011 and Director of ADEBA, Asociación de Bancos Argentinos since 2014. Mr. Pecego was President of Grupo Brasil from 2015 to 2017 and Director of Visa Argentina, from 2012 to 2017. Mr. Pecego was also Vice President of Banco Patagonia, Argentina, from 2011 to 2014. He has been employed by Banco do Brasil in various capacities since 1978, holding the positions of Manager of the main agencies in the State of São Paulo, Commercial Superintendent in the South Region of Brasil and Executive Manager responsible for Projects and Corporate Financing and Mr. Pecego was Regional General Director – Head of Latin America of Banco do Brasil based in Argentina from 2009 to 2011. Mr. Pecego holds a degree in Business Administration from Universidad Costa Braga, a postgraduate degree in Business Management from Instituto São Luiz, São Paulo, an MBA in International Business from Fundación Don Cabral, Minais Gerais and in Marketing from Pontificia Universidade Católica do Rio de Janeiro , PUC. Mr. Pecego’s professional experience in and related to the banking industry qualifies him to serve on the Board.</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0" w:name="page81"/>
    <w:bookmarkEnd w:id="80"/>
    <w:p>
      <w:pPr>
        <w:jc w:val="both"/>
        <w:spacing w:after="0" w:line="269" w:lineRule="auto"/>
        <w:rPr>
          <w:sz w:val="20"/>
          <w:szCs w:val="20"/>
          <w:color w:val="auto"/>
        </w:rPr>
      </w:pPr>
      <w:r>
        <w:rPr>
          <w:rFonts w:ascii="Arial" w:cs="Arial" w:eastAsia="Arial" w:hAnsi="Arial"/>
          <w:sz w:val="17"/>
          <w:szCs w:val="17"/>
          <w:b w:val="1"/>
          <w:bCs w:val="1"/>
          <w:color w:val="auto"/>
        </w:rPr>
        <w:t xml:space="preserve">José Alberto Garzón </w:t>
      </w:r>
      <w:r>
        <w:rPr>
          <w:rFonts w:ascii="Arial" w:cs="Arial" w:eastAsia="Arial" w:hAnsi="Arial"/>
          <w:sz w:val="17"/>
          <w:szCs w:val="17"/>
          <w:color w:val="auto"/>
        </w:rPr>
        <w:t>has served as a Director of the Board since 2017. Mr. Garzón has served as Legal Vice President and General Secretary of Banco de</w:t>
      </w:r>
      <w:r>
        <w:rPr>
          <w:rFonts w:ascii="Arial" w:cs="Arial" w:eastAsia="Arial" w:hAnsi="Arial"/>
          <w:sz w:val="17"/>
          <w:szCs w:val="17"/>
          <w:b w:val="1"/>
          <w:bCs w:val="1"/>
          <w:color w:val="auto"/>
        </w:rPr>
        <w:t xml:space="preserve"> </w:t>
      </w:r>
      <w:r>
        <w:rPr>
          <w:rFonts w:ascii="Arial" w:cs="Arial" w:eastAsia="Arial" w:hAnsi="Arial"/>
          <w:sz w:val="17"/>
          <w:szCs w:val="17"/>
          <w:color w:val="auto"/>
        </w:rPr>
        <w:t>Comercio Exterior de Colombia S.A. (“Bancoldex”) in Colombia since 2003, as Administrative Vice President from 2016 to 2017 and in various other capacities with Bancoldex since 1995, holding the positions of Director of the Legal Department from 2000 to 2003 and Attorney in the Legal Department from 1995 to 2000. Mr. Garzón has served as a member of the Board of Directors of Fiduciaria Colombiana de Comercio Exterior S.A. (Fiducoldex) in Colombia since 2016, Leasing Bancoldex S.A. Compañía de Financiamiento in Colombia since 2015 and Segurexpo de Colombia, S.A. Aseguradora de Crédito in Colombia since 2000. Previously Mr. Garzón was an Attorney at Legis Editores in Colombia in 1995 and General Manager of Servibolsa Ltda. Servicios Inmobiliarios from 1993 to 1995. He is currently Professor of Credit Insurance, Insurance Law Program at Pontificia Universidad Javeriana in Colombia and taught History of Political Ideas and Insurance at Fundación Universitaria Jorge Tadeo Lozano in Colombia from 1996 to 2004. Mr. Garzón holds a Law degree and a Master’s degree in Financial Law from Universidad del Rosario in Colombia. Mr. Garzón also holds Master’s degrees in Commercial Law and Project Finance studies from Universidad de Los Andes in Colombia and Insurance Law from Pontificia Universidad Javeriana in Colombia. Mr. Garzón is a graduate of Transformative Business Leadership at Centro de Liderazgo y Gestión and of Leading Economic Growth at Harvard’s Kennedy School of Government. Mr. Garzón’s first-hand experience and vast knowledge of administrative, legal and regulatory matters relating to the banking industry and, in particular, trade finance qualify him to serve on the Board.</w:t>
      </w:r>
    </w:p>
    <w:p>
      <w:pPr>
        <w:spacing w:after="0" w:line="17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b w:val="1"/>
          <w:bCs w:val="1"/>
          <w:color w:val="auto"/>
        </w:rPr>
        <w:t xml:space="preserve">Javier González Fraga </w:t>
      </w:r>
      <w:r>
        <w:rPr>
          <w:rFonts w:ascii="Arial" w:cs="Arial" w:eastAsia="Arial" w:hAnsi="Arial"/>
          <w:sz w:val="18"/>
          <w:szCs w:val="18"/>
          <w:color w:val="auto"/>
        </w:rPr>
        <w:t>has served as a Director of the Board since 2017. Mr. González Fraga is the Chairman of Banco de la Nación Argentina since 2017.</w:t>
      </w:r>
      <w:r>
        <w:rPr>
          <w:rFonts w:ascii="Arial" w:cs="Arial" w:eastAsia="Arial" w:hAnsi="Arial"/>
          <w:sz w:val="18"/>
          <w:szCs w:val="18"/>
          <w:b w:val="1"/>
          <w:bCs w:val="1"/>
          <w:color w:val="auto"/>
        </w:rPr>
        <w:t xml:space="preserve"> </w:t>
      </w:r>
      <w:r>
        <w:rPr>
          <w:rFonts w:ascii="Arial" w:cs="Arial" w:eastAsia="Arial" w:hAnsi="Arial"/>
          <w:sz w:val="18"/>
          <w:szCs w:val="18"/>
          <w:color w:val="auto"/>
        </w:rPr>
        <w:t>He was a candidate for Vice President of Argentina in 2011. Mr. González Fraga served as Chairman of the Central Bank of Argentina on two occasions between 1989 and 1991, and as Vice President of the Buenos Aires Stock Exchange from 1994 to 1999. Mr. González Fraga was a Director of the Argentine Institute of Capital Markets from 1992 to 1999 and member of the Board of Public Companies in Argentina in 1987. In 1998, Mr. González Fraga was recognized by Konex as Best SMES Entrepreneur of the Decade, for his capacity as Founder of the dairy company La Salamandra S.A., Argentina. He was Professor at UCA Pontificia Universidad Católica Argentina from 1973 to 2000. Mr. González Fraga holds a Bachelor degree in Economics from UCA and is a Ph.D. candidate, having various papers and books published. Mr. González Fraga’s business background and financial expertise qualify him to serve on the Board.</w:t>
      </w:r>
    </w:p>
    <w:p>
      <w:pPr>
        <w:spacing w:after="0" w:line="185" w:lineRule="exact"/>
        <w:rPr>
          <w:sz w:val="20"/>
          <w:szCs w:val="20"/>
          <w:color w:val="auto"/>
        </w:rPr>
      </w:pPr>
    </w:p>
    <w:p>
      <w:pPr>
        <w:jc w:val="both"/>
        <w:spacing w:after="0" w:line="286" w:lineRule="auto"/>
        <w:rPr>
          <w:sz w:val="20"/>
          <w:szCs w:val="20"/>
          <w:color w:val="auto"/>
        </w:rPr>
      </w:pPr>
      <w:r>
        <w:rPr>
          <w:rFonts w:ascii="Arial" w:cs="Arial" w:eastAsia="Arial" w:hAnsi="Arial"/>
          <w:sz w:val="16"/>
          <w:szCs w:val="16"/>
          <w:b w:val="1"/>
          <w:bCs w:val="1"/>
          <w:color w:val="auto"/>
        </w:rPr>
        <w:t xml:space="preserve">Ricardo Manuel Arango </w:t>
      </w:r>
      <w:r>
        <w:rPr>
          <w:rFonts w:ascii="Arial" w:cs="Arial" w:eastAsia="Arial" w:hAnsi="Arial"/>
          <w:sz w:val="16"/>
          <w:szCs w:val="16"/>
          <w:color w:val="auto"/>
        </w:rPr>
        <w:t>has served as a Director of the Board since 2016. Mr. Arango is a senior partner of the law firm of Arias, Fábrega &amp; Fábrega in</w:t>
      </w:r>
      <w:r>
        <w:rPr>
          <w:rFonts w:ascii="Arial" w:cs="Arial" w:eastAsia="Arial" w:hAnsi="Arial"/>
          <w:sz w:val="16"/>
          <w:szCs w:val="16"/>
          <w:b w:val="1"/>
          <w:bCs w:val="1"/>
          <w:color w:val="auto"/>
        </w:rPr>
        <w:t xml:space="preserve"> </w:t>
      </w:r>
      <w:r>
        <w:rPr>
          <w:rFonts w:ascii="Arial" w:cs="Arial" w:eastAsia="Arial" w:hAnsi="Arial"/>
          <w:sz w:val="16"/>
          <w:szCs w:val="16"/>
          <w:color w:val="auto"/>
        </w:rPr>
        <w:t>Panama. Since 2004, Mr. Arango has held several leadership positions in the firm, contributing to shape the organization into a leading Latin-American law firm, with offices in eight countries. Mr. Arango has served as a member of the board of directors of the Panama Canal Authority since 2016, and as a member of the board of directors and audit and compliance committees of Banco General since 2012. Mr. Arango served as a member of the board of directors of Corporación La Prensa from 2002 to 2016 and as Chairman of its Editorial Committee from 2011 to 2016. He also served as a member of the board of directors of the Panama Stock Exchange from 1999 to 2016 and as its Chairman from 2007 to 2011. Mr. Arango is a member of the Latin American Business Council (CEAL) and represents his firm before Lex Mundi, the largest network of independent law firms in the world. From 1985 to 1987, Mr. Arango worked at White &amp; Case in New York. From 1987 to 1995, Mr. Arango worked as an associate with Arias, Fábrega &amp; Fábrega in Panama, becoming a partner of the firm in 1995. Mr. Arango’s professional practice focuses on finance, capital markets, banking regulations, corporate governance and compliance, and mergers and acquisitions. During his career, Mr. Arango has acted as lead counsel in some of the largest and most complex financial transactions and acquisitions in Panama and Central America. From 1998 to 1999, Mr. Arango headed the Presidential Commission that drafted Panama’s current securities act. Mr. Arango holds a Bachelor’s degree in Law and Political Science from the University of Panama, a Master of Laws degree from Harvard Law School and a Master of Laws degree from Yale Law School. He was a Fulbright Scholar from 1983 to 1985. Mr. Arango is admitted to practice law in New York and Panama. Mr. Arango’s strong knowledge of the regulatory frameworks under which the Bank operates; skills in managing legal, compliance, operational and credit risks of the banking industry; diversified perspective based on his combined legal-business acumen; in-depth understanding of the Bank’s business and operations; and experience as a board member of different companies, qualify him to serve on the Board.</w:t>
      </w:r>
    </w:p>
    <w:p>
      <w:pPr>
        <w:spacing w:after="0" w:line="38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1" w:name="page82"/>
    <w:bookmarkEnd w:id="81"/>
    <w:p>
      <w:pPr>
        <w:jc w:val="both"/>
        <w:spacing w:after="0" w:line="270" w:lineRule="auto"/>
        <w:rPr>
          <w:sz w:val="20"/>
          <w:szCs w:val="20"/>
          <w:color w:val="auto"/>
        </w:rPr>
      </w:pPr>
      <w:r>
        <w:rPr>
          <w:rFonts w:ascii="Arial" w:cs="Arial" w:eastAsia="Arial" w:hAnsi="Arial"/>
          <w:sz w:val="17"/>
          <w:szCs w:val="17"/>
          <w:b w:val="1"/>
          <w:bCs w:val="1"/>
          <w:color w:val="auto"/>
        </w:rPr>
        <w:t xml:space="preserve">Herminio A. Blanco </w:t>
      </w:r>
      <w:r>
        <w:rPr>
          <w:rFonts w:ascii="Arial" w:cs="Arial" w:eastAsia="Arial" w:hAnsi="Arial"/>
          <w:sz w:val="17"/>
          <w:szCs w:val="17"/>
          <w:color w:val="auto"/>
        </w:rPr>
        <w:t>has served as a Director of the Board since 2004. Dr. Blanco has served as President of IQOM since 2005. IQOM offers business</w:t>
      </w:r>
      <w:r>
        <w:rPr>
          <w:rFonts w:ascii="Arial" w:cs="Arial" w:eastAsia="Arial" w:hAnsi="Arial"/>
          <w:sz w:val="17"/>
          <w:szCs w:val="17"/>
          <w:b w:val="1"/>
          <w:bCs w:val="1"/>
          <w:color w:val="auto"/>
        </w:rPr>
        <w:t xml:space="preserve"> </w:t>
      </w:r>
      <w:r>
        <w:rPr>
          <w:rFonts w:ascii="Arial" w:cs="Arial" w:eastAsia="Arial" w:hAnsi="Arial"/>
          <w:sz w:val="17"/>
          <w:szCs w:val="17"/>
          <w:color w:val="auto"/>
        </w:rPr>
        <w:t>solutions on international trade, investment and regulatory affairs and provides access to the most complete database of international trade flows and regulations. Since January 2017, IQOM has been the lead advisor of the Consejo Coordinador Empresarial, the umbrella organization of the Mexican private sector, in the renegotiation of the NAFTA. Dr. Blanco has been a member of the board of directors for CYDSA since 2004, Arcelor-Mittal Mexico since 2005, and Fibra Uno since 2011. He has also been a member of the Trilateral Commission since 2001. Dr. Blanco served as Secretary of Trade and Industry of Mexico from 1994 to 2000, Undersecretary for International Trade and Negotiations, and Chief Negotiator of the North American Free Trade Agreement (NAFTA) from 1990 to 1993. He was also responsible for the negotiation of the free trade agreement with the European Union, the European Free Trade Area, with various Latin American countries and with Israel from 1994 to 2003, and launched the process that led to the negotiation of the free trade agreement with Japan. Dr. Blanco holds a B.A. in Economics from Instituto Tecnológico de Estudios Superiores de Monterrey, a Ph.D. in Economics from University of Chicago, and a Doctor Honoris Causa from Rikkyo University in Japan. Dr. Blanco’s extensive experience and background in foreign trade and finance, along with his academic and consulting skills, qualify him to serve on the Board.</w:t>
      </w:r>
    </w:p>
    <w:p>
      <w:pPr>
        <w:spacing w:after="0" w:line="174" w:lineRule="exact"/>
        <w:rPr>
          <w:sz w:val="20"/>
          <w:szCs w:val="20"/>
          <w:color w:val="auto"/>
        </w:rPr>
      </w:pPr>
    </w:p>
    <w:p>
      <w:pPr>
        <w:jc w:val="both"/>
        <w:spacing w:after="0" w:line="272" w:lineRule="auto"/>
        <w:rPr>
          <w:sz w:val="20"/>
          <w:szCs w:val="20"/>
          <w:color w:val="auto"/>
        </w:rPr>
      </w:pPr>
      <w:r>
        <w:rPr>
          <w:rFonts w:ascii="Arial" w:cs="Arial" w:eastAsia="Arial" w:hAnsi="Arial"/>
          <w:sz w:val="17"/>
          <w:szCs w:val="17"/>
          <w:b w:val="1"/>
          <w:bCs w:val="1"/>
          <w:color w:val="auto"/>
        </w:rPr>
        <w:t xml:space="preserve">Mario Covo </w:t>
      </w:r>
      <w:r>
        <w:rPr>
          <w:rFonts w:ascii="Arial" w:cs="Arial" w:eastAsia="Arial" w:hAnsi="Arial"/>
          <w:sz w:val="17"/>
          <w:szCs w:val="17"/>
          <w:color w:val="auto"/>
        </w:rPr>
        <w:t>has served as a Director of the Board since 1999. Dr. Covo is the Founding Partner of DanaMar LLC in New York, a financial consulting firm</w:t>
      </w:r>
      <w:r>
        <w:rPr>
          <w:rFonts w:ascii="Arial" w:cs="Arial" w:eastAsia="Arial" w:hAnsi="Arial"/>
          <w:sz w:val="17"/>
          <w:szCs w:val="17"/>
          <w:b w:val="1"/>
          <w:bCs w:val="1"/>
          <w:color w:val="auto"/>
        </w:rPr>
        <w:t xml:space="preserve"> </w:t>
      </w:r>
      <w:r>
        <w:rPr>
          <w:rFonts w:ascii="Arial" w:cs="Arial" w:eastAsia="Arial" w:hAnsi="Arial"/>
          <w:sz w:val="17"/>
          <w:szCs w:val="17"/>
          <w:color w:val="auto"/>
        </w:rPr>
        <w:t>established in 2013. He was Founding Partner of Helios Advisors in 2003, Founding Partner of Finaccess International, Inc. in 2000 and Founding Partner of Columbus Advisors in 1995, in New York. Dr. Covo worked at Merrill Lynch from 1989 to 1995, where he was Head of Emerging Markets-Capital Markets. Prior to working for Merrill Lynch, Dr. Covo worked at Bankers Trust Company of New York from 1985 to 1989 as Vice President in the Latin American Merchant Banking Group, focusing on corporate finance and debt-for-equity swaps. Prior to that Dr. Covo was an International Economist for Chase Econometrics from 1984 to 1985, focusing primarily on Latin America. Dr. Covo holds a Ph.D. in Economics from Rice University and a B.A. with honors from Instituto Tecnológico Autónomo de Mexico. Dr. Covo’s extensive background and experience in the financial services industry, and his exposure to the markets in which the Bank operates qualify him to serve on the Board.</w:t>
      </w:r>
    </w:p>
    <w:p>
      <w:pPr>
        <w:spacing w:after="0" w:line="172" w:lineRule="exact"/>
        <w:rPr>
          <w:sz w:val="20"/>
          <w:szCs w:val="20"/>
          <w:color w:val="auto"/>
        </w:rPr>
      </w:pPr>
    </w:p>
    <w:p>
      <w:pPr>
        <w:jc w:val="both"/>
        <w:spacing w:after="0" w:line="287" w:lineRule="auto"/>
        <w:rPr>
          <w:sz w:val="20"/>
          <w:szCs w:val="20"/>
          <w:color w:val="auto"/>
        </w:rPr>
      </w:pPr>
      <w:r>
        <w:rPr>
          <w:rFonts w:ascii="Arial" w:cs="Arial" w:eastAsia="Arial" w:hAnsi="Arial"/>
          <w:sz w:val="16"/>
          <w:szCs w:val="16"/>
          <w:b w:val="1"/>
          <w:bCs w:val="1"/>
          <w:color w:val="auto"/>
        </w:rPr>
        <w:t xml:space="preserve">Miguel Heras Castro </w:t>
      </w:r>
      <w:r>
        <w:rPr>
          <w:rFonts w:ascii="Arial" w:cs="Arial" w:eastAsia="Arial" w:hAnsi="Arial"/>
          <w:sz w:val="16"/>
          <w:szCs w:val="16"/>
          <w:color w:val="auto"/>
        </w:rPr>
        <w:t>has served as a Director of the Board since 2015. Since 1999, Mr. Heras has served as Managing Director and member of the board of</w:t>
      </w:r>
      <w:r>
        <w:rPr>
          <w:rFonts w:ascii="Arial" w:cs="Arial" w:eastAsia="Arial" w:hAnsi="Arial"/>
          <w:sz w:val="16"/>
          <w:szCs w:val="16"/>
          <w:b w:val="1"/>
          <w:bCs w:val="1"/>
          <w:color w:val="auto"/>
        </w:rPr>
        <w:t xml:space="preserve"> </w:t>
      </w:r>
      <w:r>
        <w:rPr>
          <w:rFonts w:ascii="Arial" w:cs="Arial" w:eastAsia="Arial" w:hAnsi="Arial"/>
          <w:sz w:val="16"/>
          <w:szCs w:val="16"/>
          <w:color w:val="auto"/>
        </w:rPr>
        <w:t>directors of Inversiones Bahia, Ltd. in Panama, the largest investment group in Central America, focusing on the financial, infrastructure, real estate, and communications markets. He currently leads the private equity and venture capital efforts of the group. Mr. Heras also serves on various other boards throughout Latin America including Cable Onda since 2009, Sistemas de Generación S.A. (SIGSA), Televisora Nacional and Bahia Motors since 2007. Mr. Heras has served as Vice President of the board of the Panama Food Bank since 2015, as Director of the Biodiversity Museum from 2008 to 2014, and Banco Continental de Panama from 2002 to 2007 and was also a member of its ALCO Committee. Mr. Heras was the negotiator for the acquisition of several banking institutions, and in 2007 led the negotiation for the merger of Banco Continental with Banco General to create one of the largest banks in Central America. Mr. Heras was also a member of the board of directors of Amnet Telecommunications Holdings, the leading provider of pay TV and triple play services in Central America from 2005 to 2008, Tricom from 2009 to 2014, Vice Chairman of the board of Cable and Wireless (Panama) Inc. from 1997 to 1999 and a member of the board of the Panamanian Stock Exchange from 1999 to 2005. Mr. Heras was Minister of the Treasury of the Republic of Panama from 1996 to 1998 and President of the Council on Foreign Trade. He served as Vice Minister of the Treasury from 1994 to 1996. Mr. Heras holds a B.A. in Economics from the Wharton School of Commerce and Finance of the University of Pennsylvania. Mr. Heras’ professional expertise in economics, finance and private equity and his experience as a board member of different companies qualifies him to serve on the Board.</w:t>
      </w:r>
    </w:p>
    <w:p>
      <w:pPr>
        <w:spacing w:after="0" w:line="38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2" w:name="page83"/>
    <w:bookmarkEnd w:id="82"/>
    <w:p>
      <w:pPr>
        <w:jc w:val="both"/>
        <w:spacing w:after="0" w:line="288" w:lineRule="auto"/>
        <w:rPr>
          <w:sz w:val="20"/>
          <w:szCs w:val="20"/>
          <w:color w:val="auto"/>
        </w:rPr>
      </w:pPr>
      <w:r>
        <w:rPr>
          <w:rFonts w:ascii="Arial" w:cs="Arial" w:eastAsia="Arial" w:hAnsi="Arial"/>
          <w:sz w:val="16"/>
          <w:szCs w:val="16"/>
          <w:b w:val="1"/>
          <w:bCs w:val="1"/>
          <w:color w:val="auto"/>
        </w:rPr>
        <w:t xml:space="preserve">Roland Holst </w:t>
      </w:r>
      <w:r>
        <w:rPr>
          <w:rFonts w:ascii="Arial" w:cs="Arial" w:eastAsia="Arial" w:hAnsi="Arial"/>
          <w:sz w:val="16"/>
          <w:szCs w:val="16"/>
          <w:color w:val="auto"/>
        </w:rPr>
        <w:t>has served as a Director of the Board since November 1, 2017 when he was designated to fill the vacancy created by the retirement of Ms.</w:t>
      </w:r>
      <w:r>
        <w:rPr>
          <w:rFonts w:ascii="Arial" w:cs="Arial" w:eastAsia="Arial" w:hAnsi="Arial"/>
          <w:sz w:val="16"/>
          <w:szCs w:val="16"/>
          <w:b w:val="1"/>
          <w:bCs w:val="1"/>
          <w:color w:val="auto"/>
        </w:rPr>
        <w:t xml:space="preserve"> </w:t>
      </w:r>
      <w:r>
        <w:rPr>
          <w:rFonts w:ascii="Arial" w:cs="Arial" w:eastAsia="Arial" w:hAnsi="Arial"/>
          <w:sz w:val="16"/>
          <w:szCs w:val="16"/>
          <w:color w:val="auto"/>
        </w:rPr>
        <w:t>Maria da Graça França. Dr. Holst served as Treasurer and Member Ex-Officio of the Board from May to October 2017 and previously served as a Board member from 2014 to 2017. Dr. Holst is a board member of Sudameris Bank, Paraguay since 2017 and served as Director of the Board of Banco Central del Paraguay from 2012 to 2017. He was Head of Fixed Income Research at State Street Global Markets in Boston, Massachusetts from 2007 to 2011 and Quantitative Analyst at Starmine Corp. in San Francisco, California from 2006 to 2007. He was a Teaching Assistant of Econometrics, Public Finance, Finance, Program Evaluation, Macroeconomics and Labor Economics at the University of Chicago from 2003 to 2006. Dr. Holst worked at Garantia PFP, a pension fund, as Investment Manager from 1997 to 2001 and as General Manager of Bolsa de Valores de Asunción, Paraguay from 1995 to 1997. He is the author of Social Security and Policy Risk: Evidence of its effects on welfare costs and savings published in 2007. Dr. Holst holds a Ph.D. in Public Policy and a Master’s Degree in Economics from the University of Chicago. He also holds a Master’s Degree in Economics from Universidad Católica de Asunción, Paraguay, degrees in Economics and Agronomy from Universidad Nacional de Asunción, Paraguay and a Financial Risk Manager (FRM) certification. Mr. Holst’s professional experience in the fields of finance and economics and his academic accomplishments qualify him to serve on the Board.</w:t>
      </w:r>
    </w:p>
    <w:p>
      <w:pPr>
        <w:spacing w:after="0" w:line="164" w:lineRule="exact"/>
        <w:rPr>
          <w:sz w:val="20"/>
          <w:szCs w:val="20"/>
          <w:color w:val="auto"/>
        </w:rPr>
      </w:pPr>
    </w:p>
    <w:p>
      <w:pPr>
        <w:jc w:val="both"/>
        <w:spacing w:after="0" w:line="269" w:lineRule="auto"/>
        <w:rPr>
          <w:sz w:val="20"/>
          <w:szCs w:val="20"/>
          <w:color w:val="auto"/>
        </w:rPr>
      </w:pPr>
      <w:r>
        <w:rPr>
          <w:rFonts w:ascii="Arial" w:cs="Arial" w:eastAsia="Arial" w:hAnsi="Arial"/>
          <w:sz w:val="17"/>
          <w:szCs w:val="17"/>
          <w:b w:val="1"/>
          <w:bCs w:val="1"/>
          <w:color w:val="auto"/>
        </w:rPr>
        <w:t xml:space="preserve">Gonzalo Menéndez Duque </w:t>
      </w:r>
      <w:r>
        <w:rPr>
          <w:rFonts w:ascii="Arial" w:cs="Arial" w:eastAsia="Arial" w:hAnsi="Arial"/>
          <w:sz w:val="17"/>
          <w:szCs w:val="17"/>
          <w:color w:val="auto"/>
        </w:rPr>
        <w:t>has served as a Director of the Board since 1990, and as Chairman of the Board for two different terms, from 1995 to 1998, and</w:t>
      </w:r>
      <w:r>
        <w:rPr>
          <w:rFonts w:ascii="Arial" w:cs="Arial" w:eastAsia="Arial" w:hAnsi="Arial"/>
          <w:sz w:val="17"/>
          <w:szCs w:val="17"/>
          <w:b w:val="1"/>
          <w:bCs w:val="1"/>
          <w:color w:val="auto"/>
        </w:rPr>
        <w:t xml:space="preserve"> </w:t>
      </w:r>
      <w:r>
        <w:rPr>
          <w:rFonts w:ascii="Arial" w:cs="Arial" w:eastAsia="Arial" w:hAnsi="Arial"/>
          <w:sz w:val="17"/>
          <w:szCs w:val="17"/>
          <w:color w:val="auto"/>
        </w:rPr>
        <w:t>again since 2002. Mr. Menéndez Duque is currently a Director of the Luksic Group in Chile, including Banco de Chile since 2001, Compañía Sudamericana de Vapores, S.A. and Quiñenco S.A. and Vice Chairman of Fundación A. Luksic A. and Fundación Educacional Luksic. In addition, he serves as Chairman of Inversiones Vita S.A. and Director of Banchile Seguros de Vida S.A. Mr. Menéndez Duque served as Chief Executive Officer of Antofagasta plc, listed on the London Stock Exchange and has served as a member of its board since 1985. He also served as member of the Superior Council of Universidad de Antofagasta, Superior Council and member of the board of Centro de Estudios Públicos CEP (non-profit Chilean educational foundation) and Consejo de la Fundación Corporación de Ayuda al Niño Limitado COANIL. Mr. Menéndez Duque was a professor at the Faculty of Economics and Graduate Program of Universidad de Chile. Mr. Menéndez Duque was commended in 2008 by the Faculty of Economics and Business of Universidad de Chile, as the most outstanding graduate, in recognition of his career and contributions to society in the business and entrepreneurial sectors of Chile and was awarded the “Excelencia 90” Prize, as the most distinguished businessman of the year in Chile by AméricaEconomía magazine in 1990. Mr. Menéndez Duque holds a degree in business administration and accounting, with honors, from Universidad de Chile. Mr. Menéndez Duque´s skills, leadership and managerial experience in large complex organizations in various extensively regulated industries, and his experience as a board member of different companies, qualify him to serve on the Board.</w:t>
      </w:r>
    </w:p>
    <w:p>
      <w:pPr>
        <w:spacing w:after="0" w:line="177" w:lineRule="exact"/>
        <w:rPr>
          <w:sz w:val="20"/>
          <w:szCs w:val="20"/>
          <w:color w:val="auto"/>
        </w:rPr>
      </w:pPr>
    </w:p>
    <w:p>
      <w:pPr>
        <w:jc w:val="both"/>
        <w:spacing w:after="0" w:line="289" w:lineRule="auto"/>
        <w:rPr>
          <w:sz w:val="20"/>
          <w:szCs w:val="20"/>
          <w:color w:val="auto"/>
        </w:rPr>
      </w:pPr>
      <w:r>
        <w:rPr>
          <w:rFonts w:ascii="Arial" w:cs="Arial" w:eastAsia="Arial" w:hAnsi="Arial"/>
          <w:sz w:val="16"/>
          <w:szCs w:val="16"/>
          <w:b w:val="1"/>
          <w:bCs w:val="1"/>
          <w:color w:val="auto"/>
        </w:rPr>
        <w:t xml:space="preserve">Gabriel Tolchinsky </w:t>
      </w:r>
      <w:r>
        <w:rPr>
          <w:rFonts w:ascii="Arial" w:cs="Arial" w:eastAsia="Arial" w:hAnsi="Arial"/>
          <w:sz w:val="16"/>
          <w:szCs w:val="16"/>
          <w:color w:val="auto"/>
        </w:rPr>
        <w:t>joined Bladex as Chief Operating Officer – Executive Vice President in May 2017, after serving as an External Consultant since 2014.</w:t>
      </w:r>
      <w:r>
        <w:rPr>
          <w:rFonts w:ascii="Arial" w:cs="Arial" w:eastAsia="Arial" w:hAnsi="Arial"/>
          <w:sz w:val="16"/>
          <w:szCs w:val="16"/>
          <w:b w:val="1"/>
          <w:bCs w:val="1"/>
          <w:color w:val="auto"/>
        </w:rPr>
        <w:t xml:space="preserve"> </w:t>
      </w:r>
      <w:r>
        <w:rPr>
          <w:rFonts w:ascii="Arial" w:cs="Arial" w:eastAsia="Arial" w:hAnsi="Arial"/>
          <w:sz w:val="16"/>
          <w:szCs w:val="16"/>
          <w:color w:val="auto"/>
        </w:rPr>
        <w:t>He was appointed Deputy Chief Executive Officer of Bladex in February 2018 and was elected to serve as a Director of the Board on April 11, 2018. In 2013, he was a founding partner and Chief Administrative Officer of Maritime Finance Company Ltd., founded by KKR and specializing in maritime finance. Mr. Tolchinsky was also a founding partner of Helios Advisors LLC investment funds from 2002 to 2013, focused on commodity-related companies; FinAccess International Inc., from 2000 to 2002, a Mexican investment fund management company where he served as Chief Operating Officer; as well as a founding partner of Columbus Advisors LLC from 1995 to 2013, specializing in fixed income instruments in emerging markets, where he served as Portfolio and Risk Manager. He previously held various positions in investment banking on Wall Street, New York, from 1985 to 1995, including Producing Manager of Emerging Markets Fixed Income Sales at Merrill Lynch from 1991 to 1995. Mr. Tolchinsky holds a degree in Mathematical Sciences from Tel Aviv University, Israel, as well as a Master of Science (Operations Research) degree and a Master of Arts (Statistics) degree, both from Columbia University, New York. Mr. Tolchinsky’s extensive business experience, as well as his leadership and managerial experience, qualifies him to serve on the Board.</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3" w:name="page84"/>
    <w:bookmarkEnd w:id="83"/>
    <w:p>
      <w:pPr>
        <w:jc w:val="both"/>
        <w:ind w:right="20"/>
        <w:spacing w:after="0" w:line="277" w:lineRule="auto"/>
        <w:rPr>
          <w:sz w:val="20"/>
          <w:szCs w:val="20"/>
          <w:color w:val="auto"/>
        </w:rPr>
      </w:pPr>
      <w:r>
        <w:rPr>
          <w:rFonts w:ascii="Arial" w:cs="Arial" w:eastAsia="Arial" w:hAnsi="Arial"/>
          <w:sz w:val="18"/>
          <w:szCs w:val="18"/>
          <w:color w:val="auto"/>
        </w:rPr>
        <w:t>See Item 10, “Additional Information – Memorandum and Articles of Association” for a description of the stockholders’ voting rights with respect to the election of directors.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Executive Officers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and information set forth the names of the executive officers of the Bank, their respective positions at the date hereof and positions held by them with the Bank and other entities in prior years: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41"/>
        </w:trPr>
        <w:tc>
          <w:tcPr>
            <w:tcW w:w="3200" w:type="dxa"/>
            <w:vAlign w:val="bottom"/>
            <w:gridSpan w:val="2"/>
          </w:tcPr>
          <w:p>
            <w:pPr>
              <w:spacing w:after="0"/>
              <w:rPr>
                <w:sz w:val="20"/>
                <w:szCs w:val="20"/>
                <w:color w:val="auto"/>
              </w:rPr>
            </w:pPr>
            <w:r>
              <w:rPr>
                <w:rFonts w:ascii="Arial" w:cs="Arial" w:eastAsia="Arial" w:hAnsi="Arial"/>
                <w:sz w:val="18"/>
                <w:szCs w:val="18"/>
                <w:b w:val="1"/>
                <w:bCs w:val="1"/>
                <w:color w:val="auto"/>
              </w:rPr>
              <w:t>Name</w:t>
            </w:r>
          </w:p>
        </w:tc>
        <w:tc>
          <w:tcPr>
            <w:tcW w:w="5040" w:type="dxa"/>
            <w:vAlign w:val="bottom"/>
            <w:gridSpan w:val="2"/>
          </w:tcPr>
          <w:p>
            <w:pPr>
              <w:ind w:left="1320"/>
              <w:spacing w:after="0"/>
              <w:rPr>
                <w:sz w:val="20"/>
                <w:szCs w:val="20"/>
                <w:color w:val="auto"/>
              </w:rPr>
            </w:pPr>
            <w:r>
              <w:rPr>
                <w:rFonts w:ascii="Arial" w:cs="Arial" w:eastAsia="Arial" w:hAnsi="Arial"/>
                <w:sz w:val="18"/>
                <w:szCs w:val="18"/>
                <w:b w:val="1"/>
                <w:bCs w:val="1"/>
                <w:color w:val="auto"/>
              </w:rPr>
              <w:t>Position Held with the Bank</w:t>
            </w:r>
          </w:p>
        </w:tc>
        <w:tc>
          <w:tcPr>
            <w:tcW w:w="2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Country of Citizenship</w:t>
            </w:r>
          </w:p>
        </w:tc>
        <w:tc>
          <w:tcPr>
            <w:tcW w:w="680" w:type="dxa"/>
            <w:vAlign w:val="bottom"/>
          </w:tcPr>
          <w:p>
            <w:pPr>
              <w:jc w:val="center"/>
              <w:spacing w:after="0"/>
              <w:rPr>
                <w:sz w:val="20"/>
                <w:szCs w:val="20"/>
                <w:color w:val="auto"/>
              </w:rPr>
            </w:pPr>
            <w:r>
              <w:rPr>
                <w:rFonts w:ascii="Arial" w:cs="Arial" w:eastAsia="Arial" w:hAnsi="Arial"/>
                <w:sz w:val="18"/>
                <w:szCs w:val="18"/>
                <w:b w:val="1"/>
                <w:bCs w:val="1"/>
                <w:color w:val="auto"/>
                <w:w w:val="88"/>
              </w:rPr>
              <w:t>Age</w:t>
            </w:r>
          </w:p>
        </w:tc>
        <w:tc>
          <w:tcPr>
            <w:tcW w:w="0" w:type="dxa"/>
            <w:vAlign w:val="bottom"/>
          </w:tcPr>
          <w:p>
            <w:pPr>
              <w:spacing w:after="0"/>
              <w:rPr>
                <w:sz w:val="1"/>
                <w:szCs w:val="1"/>
                <w:color w:val="auto"/>
              </w:rPr>
            </w:pPr>
          </w:p>
        </w:tc>
      </w:tr>
      <w:tr>
        <w:trPr>
          <w:trHeight w:val="216"/>
        </w:trPr>
        <w:tc>
          <w:tcPr>
            <w:tcW w:w="29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Rubens V. Amaral Jr.</w:t>
            </w:r>
          </w:p>
        </w:tc>
        <w:tc>
          <w:tcPr>
            <w:tcW w:w="220" w:type="dxa"/>
            <w:vAlign w:val="bottom"/>
            <w:tcBorders>
              <w:top w:val="single" w:sz="8" w:color="CCEEFF"/>
            </w:tcBorders>
            <w:shd w:val="clear" w:color="auto" w:fill="CCEEFF"/>
          </w:tcPr>
          <w:p>
            <w:pPr>
              <w:spacing w:after="0"/>
              <w:rPr>
                <w:sz w:val="18"/>
                <w:szCs w:val="18"/>
                <w:color w:val="auto"/>
              </w:rPr>
            </w:pPr>
          </w:p>
        </w:tc>
        <w:tc>
          <w:tcPr>
            <w:tcW w:w="48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Chief Executive Officer</w:t>
            </w:r>
          </w:p>
        </w:tc>
        <w:tc>
          <w:tcPr>
            <w:tcW w:w="240" w:type="dxa"/>
            <w:vAlign w:val="bottom"/>
            <w:tcBorders>
              <w:top w:val="single" w:sz="8" w:color="CCEEFF"/>
            </w:tcBorders>
            <w:shd w:val="clear" w:color="auto" w:fill="CCEEFF"/>
          </w:tcPr>
          <w:p>
            <w:pPr>
              <w:spacing w:after="0"/>
              <w:rPr>
                <w:sz w:val="18"/>
                <w:szCs w:val="18"/>
                <w:color w:val="auto"/>
              </w:rPr>
            </w:pPr>
          </w:p>
        </w:tc>
        <w:tc>
          <w:tcPr>
            <w:tcW w:w="22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7"/>
              </w:rPr>
              <w:t>Brazil</w:t>
            </w: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9"/>
              </w:rPr>
              <w:t>58</w:t>
            </w:r>
          </w:p>
        </w:tc>
        <w:tc>
          <w:tcPr>
            <w:tcW w:w="0" w:type="dxa"/>
            <w:vAlign w:val="bottom"/>
          </w:tcPr>
          <w:p>
            <w:pPr>
              <w:spacing w:after="0"/>
              <w:rPr>
                <w:sz w:val="1"/>
                <w:szCs w:val="1"/>
                <w:color w:val="auto"/>
              </w:rPr>
            </w:pPr>
          </w:p>
        </w:tc>
      </w:tr>
      <w:tr>
        <w:trPr>
          <w:trHeight w:val="216"/>
        </w:trPr>
        <w:tc>
          <w:tcPr>
            <w:tcW w:w="3200" w:type="dxa"/>
            <w:vAlign w:val="bottom"/>
            <w:gridSpan w:val="2"/>
          </w:tcPr>
          <w:p>
            <w:pPr>
              <w:spacing w:after="0"/>
              <w:rPr>
                <w:sz w:val="20"/>
                <w:szCs w:val="20"/>
                <w:color w:val="auto"/>
              </w:rPr>
            </w:pPr>
            <w:r>
              <w:rPr>
                <w:rFonts w:ascii="Arial" w:cs="Arial" w:eastAsia="Arial" w:hAnsi="Arial"/>
                <w:sz w:val="18"/>
                <w:szCs w:val="18"/>
                <w:color w:val="auto"/>
              </w:rPr>
              <w:t>Gabriel Tolchinsky</w:t>
            </w:r>
          </w:p>
        </w:tc>
        <w:tc>
          <w:tcPr>
            <w:tcW w:w="5040" w:type="dxa"/>
            <w:vAlign w:val="bottom"/>
            <w:gridSpan w:val="2"/>
          </w:tcPr>
          <w:p>
            <w:pPr>
              <w:spacing w:after="0"/>
              <w:rPr>
                <w:sz w:val="20"/>
                <w:szCs w:val="20"/>
                <w:color w:val="auto"/>
              </w:rPr>
            </w:pPr>
            <w:r>
              <w:rPr>
                <w:rFonts w:ascii="Arial" w:cs="Arial" w:eastAsia="Arial" w:hAnsi="Arial"/>
                <w:sz w:val="18"/>
                <w:szCs w:val="18"/>
                <w:color w:val="auto"/>
              </w:rPr>
              <w:t>Deputy Chief Executive Officer</w:t>
            </w:r>
          </w:p>
        </w:tc>
        <w:tc>
          <w:tcPr>
            <w:tcW w:w="2500" w:type="dxa"/>
            <w:vAlign w:val="bottom"/>
            <w:gridSpan w:val="2"/>
          </w:tcPr>
          <w:p>
            <w:pPr>
              <w:jc w:val="center"/>
              <w:ind w:right="220"/>
              <w:spacing w:after="0"/>
              <w:rPr>
                <w:sz w:val="20"/>
                <w:szCs w:val="20"/>
                <w:color w:val="auto"/>
              </w:rPr>
            </w:pPr>
            <w:r>
              <w:rPr>
                <w:rFonts w:ascii="Arial" w:cs="Arial" w:eastAsia="Arial" w:hAnsi="Arial"/>
                <w:sz w:val="18"/>
                <w:szCs w:val="18"/>
                <w:color w:val="auto"/>
                <w:w w:val="93"/>
              </w:rPr>
              <w:t>Argentina</w:t>
            </w:r>
          </w:p>
        </w:tc>
        <w:tc>
          <w:tcPr>
            <w:tcW w:w="680" w:type="dxa"/>
            <w:vAlign w:val="bottom"/>
          </w:tcPr>
          <w:p>
            <w:pPr>
              <w:jc w:val="center"/>
              <w:spacing w:after="0"/>
              <w:rPr>
                <w:sz w:val="20"/>
                <w:szCs w:val="20"/>
                <w:color w:val="auto"/>
              </w:rPr>
            </w:pPr>
            <w:r>
              <w:rPr>
                <w:rFonts w:ascii="Arial" w:cs="Arial" w:eastAsia="Arial" w:hAnsi="Arial"/>
                <w:sz w:val="18"/>
                <w:szCs w:val="18"/>
                <w:color w:val="auto"/>
                <w:w w:val="89"/>
              </w:rPr>
              <w:t>56</w:t>
            </w:r>
          </w:p>
        </w:tc>
        <w:tc>
          <w:tcPr>
            <w:tcW w:w="0" w:type="dxa"/>
            <w:vAlign w:val="bottom"/>
          </w:tcPr>
          <w:p>
            <w:pPr>
              <w:spacing w:after="0"/>
              <w:rPr>
                <w:sz w:val="1"/>
                <w:szCs w:val="1"/>
                <w:color w:val="auto"/>
              </w:rPr>
            </w:pPr>
          </w:p>
        </w:tc>
      </w:tr>
      <w:tr>
        <w:trPr>
          <w:trHeight w:val="202"/>
        </w:trPr>
        <w:tc>
          <w:tcPr>
            <w:tcW w:w="320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Alejandro Jaramillo</w:t>
            </w:r>
          </w:p>
        </w:tc>
        <w:tc>
          <w:tcPr>
            <w:tcW w:w="50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Executive Vice President</w:t>
            </w:r>
          </w:p>
        </w:tc>
        <w:tc>
          <w:tcPr>
            <w:tcW w:w="2500" w:type="dxa"/>
            <w:vAlign w:val="bottom"/>
            <w:gridSpan w:val="2"/>
            <w:vMerge w:val="restart"/>
            <w:shd w:val="clear" w:color="auto" w:fill="CCEEFF"/>
          </w:tcPr>
          <w:p>
            <w:pPr>
              <w:jc w:val="center"/>
              <w:ind w:right="220"/>
              <w:spacing w:after="0"/>
              <w:rPr>
                <w:sz w:val="20"/>
                <w:szCs w:val="20"/>
                <w:color w:val="auto"/>
              </w:rPr>
            </w:pPr>
            <w:r>
              <w:rPr>
                <w:rFonts w:ascii="Arial" w:cs="Arial" w:eastAsia="Arial" w:hAnsi="Arial"/>
                <w:sz w:val="18"/>
                <w:szCs w:val="18"/>
                <w:color w:val="auto"/>
                <w:w w:val="94"/>
              </w:rPr>
              <w:t>Colombia</w:t>
            </w:r>
          </w:p>
        </w:tc>
        <w:tc>
          <w:tcPr>
            <w:tcW w:w="68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89"/>
              </w:rPr>
              <w:t>42</w:t>
            </w:r>
          </w:p>
        </w:tc>
        <w:tc>
          <w:tcPr>
            <w:tcW w:w="0" w:type="dxa"/>
            <w:vAlign w:val="bottom"/>
          </w:tcPr>
          <w:p>
            <w:pPr>
              <w:spacing w:after="0"/>
              <w:rPr>
                <w:sz w:val="1"/>
                <w:szCs w:val="1"/>
                <w:color w:val="auto"/>
              </w:rPr>
            </w:pPr>
          </w:p>
        </w:tc>
      </w:tr>
      <w:tr>
        <w:trPr>
          <w:trHeight w:val="122"/>
        </w:trPr>
        <w:tc>
          <w:tcPr>
            <w:tcW w:w="3200" w:type="dxa"/>
            <w:vAlign w:val="bottom"/>
            <w:gridSpan w:val="2"/>
            <w:vMerge w:val="continue"/>
            <w:shd w:val="clear" w:color="auto" w:fill="CCEEFF"/>
          </w:tcPr>
          <w:p>
            <w:pPr>
              <w:spacing w:after="0"/>
              <w:rPr>
                <w:sz w:val="10"/>
                <w:szCs w:val="10"/>
                <w:color w:val="auto"/>
              </w:rPr>
            </w:pPr>
          </w:p>
        </w:tc>
        <w:tc>
          <w:tcPr>
            <w:tcW w:w="504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Chief Commercial Officer</w:t>
            </w:r>
          </w:p>
        </w:tc>
        <w:tc>
          <w:tcPr>
            <w:tcW w:w="2500" w:type="dxa"/>
            <w:vAlign w:val="bottom"/>
            <w:gridSpan w:val="2"/>
            <w:vMerge w:val="continue"/>
            <w:shd w:val="clear" w:color="auto" w:fill="CCEEFF"/>
          </w:tcPr>
          <w:p>
            <w:pPr>
              <w:spacing w:after="0"/>
              <w:rPr>
                <w:sz w:val="10"/>
                <w:szCs w:val="10"/>
                <w:color w:val="auto"/>
              </w:rPr>
            </w:pPr>
          </w:p>
        </w:tc>
        <w:tc>
          <w:tcPr>
            <w:tcW w:w="680" w:type="dxa"/>
            <w:vAlign w:val="bottom"/>
            <w:vMerge w:val="continue"/>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9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5040" w:type="dxa"/>
            <w:vAlign w:val="bottom"/>
            <w:gridSpan w:val="2"/>
            <w:vMerge w:val="continue"/>
            <w:shd w:val="clear" w:color="auto" w:fill="CCEEFF"/>
          </w:tcPr>
          <w:p>
            <w:pPr>
              <w:spacing w:after="0"/>
              <w:rPr>
                <w:sz w:val="9"/>
                <w:szCs w:val="9"/>
                <w:color w:val="auto"/>
              </w:rPr>
            </w:pPr>
          </w:p>
        </w:tc>
        <w:tc>
          <w:tcPr>
            <w:tcW w:w="22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3200" w:type="dxa"/>
            <w:vAlign w:val="bottom"/>
            <w:gridSpan w:val="2"/>
            <w:vMerge w:val="restart"/>
          </w:tcPr>
          <w:p>
            <w:pPr>
              <w:spacing w:after="0"/>
              <w:rPr>
                <w:sz w:val="20"/>
                <w:szCs w:val="20"/>
                <w:color w:val="auto"/>
              </w:rPr>
            </w:pPr>
            <w:r>
              <w:rPr>
                <w:rFonts w:ascii="Arial" w:cs="Arial" w:eastAsia="Arial" w:hAnsi="Arial"/>
                <w:sz w:val="18"/>
                <w:szCs w:val="18"/>
                <w:color w:val="auto"/>
              </w:rPr>
              <w:t>Ana Graciela de Méndez</w:t>
            </w:r>
          </w:p>
        </w:tc>
        <w:tc>
          <w:tcPr>
            <w:tcW w:w="504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500" w:type="dxa"/>
            <w:vAlign w:val="bottom"/>
            <w:gridSpan w:val="2"/>
            <w:vMerge w:val="restart"/>
          </w:tcPr>
          <w:p>
            <w:pPr>
              <w:jc w:val="center"/>
              <w:ind w:right="220"/>
              <w:spacing w:after="0"/>
              <w:rPr>
                <w:sz w:val="20"/>
                <w:szCs w:val="20"/>
                <w:color w:val="auto"/>
              </w:rPr>
            </w:pPr>
            <w:r>
              <w:rPr>
                <w:rFonts w:ascii="Arial" w:cs="Arial" w:eastAsia="Arial" w:hAnsi="Arial"/>
                <w:sz w:val="18"/>
                <w:szCs w:val="18"/>
                <w:color w:val="auto"/>
                <w:w w:val="83"/>
              </w:rPr>
              <w:t>Panama</w:t>
            </w:r>
          </w:p>
        </w:tc>
        <w:tc>
          <w:tcPr>
            <w:tcW w:w="680" w:type="dxa"/>
            <w:vAlign w:val="bottom"/>
            <w:vMerge w:val="restart"/>
          </w:tcPr>
          <w:p>
            <w:pPr>
              <w:jc w:val="center"/>
              <w:spacing w:after="0"/>
              <w:rPr>
                <w:sz w:val="20"/>
                <w:szCs w:val="20"/>
                <w:color w:val="auto"/>
              </w:rPr>
            </w:pPr>
            <w:r>
              <w:rPr>
                <w:rFonts w:ascii="Arial" w:cs="Arial" w:eastAsia="Arial" w:hAnsi="Arial"/>
                <w:sz w:val="18"/>
                <w:szCs w:val="18"/>
                <w:color w:val="auto"/>
                <w:w w:val="89"/>
              </w:rPr>
              <w:t>51</w:t>
            </w:r>
          </w:p>
        </w:tc>
        <w:tc>
          <w:tcPr>
            <w:tcW w:w="0" w:type="dxa"/>
            <w:vAlign w:val="bottom"/>
          </w:tcPr>
          <w:p>
            <w:pPr>
              <w:spacing w:after="0"/>
              <w:rPr>
                <w:sz w:val="1"/>
                <w:szCs w:val="1"/>
                <w:color w:val="auto"/>
              </w:rPr>
            </w:pPr>
          </w:p>
        </w:tc>
      </w:tr>
      <w:tr>
        <w:trPr>
          <w:trHeight w:val="122"/>
        </w:trPr>
        <w:tc>
          <w:tcPr>
            <w:tcW w:w="3200" w:type="dxa"/>
            <w:vAlign w:val="bottom"/>
            <w:gridSpan w:val="2"/>
            <w:vMerge w:val="continue"/>
          </w:tcPr>
          <w:p>
            <w:pPr>
              <w:spacing w:after="0"/>
              <w:rPr>
                <w:sz w:val="10"/>
                <w:szCs w:val="10"/>
                <w:color w:val="auto"/>
              </w:rPr>
            </w:pPr>
          </w:p>
        </w:tc>
        <w:tc>
          <w:tcPr>
            <w:tcW w:w="5040" w:type="dxa"/>
            <w:vAlign w:val="bottom"/>
            <w:gridSpan w:val="2"/>
            <w:vMerge w:val="restart"/>
          </w:tcPr>
          <w:p>
            <w:pPr>
              <w:spacing w:after="0"/>
              <w:rPr>
                <w:sz w:val="20"/>
                <w:szCs w:val="20"/>
                <w:color w:val="auto"/>
              </w:rPr>
            </w:pPr>
            <w:r>
              <w:rPr>
                <w:rFonts w:ascii="Arial" w:cs="Arial" w:eastAsia="Arial" w:hAnsi="Arial"/>
                <w:sz w:val="18"/>
                <w:szCs w:val="18"/>
                <w:color w:val="auto"/>
              </w:rPr>
              <w:t>Chief Financial Officer</w:t>
            </w:r>
          </w:p>
        </w:tc>
        <w:tc>
          <w:tcPr>
            <w:tcW w:w="2500" w:type="dxa"/>
            <w:vAlign w:val="bottom"/>
            <w:gridSpan w:val="2"/>
            <w:vMerge w:val="continue"/>
          </w:tcPr>
          <w:p>
            <w:pPr>
              <w:spacing w:after="0"/>
              <w:rPr>
                <w:sz w:val="10"/>
                <w:szCs w:val="10"/>
                <w:color w:val="auto"/>
              </w:rPr>
            </w:pPr>
          </w:p>
        </w:tc>
        <w:tc>
          <w:tcPr>
            <w:tcW w:w="68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980" w:type="dxa"/>
            <w:vAlign w:val="bottom"/>
          </w:tcPr>
          <w:p>
            <w:pPr>
              <w:spacing w:after="0"/>
              <w:rPr>
                <w:sz w:val="9"/>
                <w:szCs w:val="9"/>
                <w:color w:val="auto"/>
              </w:rPr>
            </w:pPr>
          </w:p>
        </w:tc>
        <w:tc>
          <w:tcPr>
            <w:tcW w:w="220" w:type="dxa"/>
            <w:vAlign w:val="bottom"/>
          </w:tcPr>
          <w:p>
            <w:pPr>
              <w:spacing w:after="0"/>
              <w:rPr>
                <w:sz w:val="9"/>
                <w:szCs w:val="9"/>
                <w:color w:val="auto"/>
              </w:rPr>
            </w:pPr>
          </w:p>
        </w:tc>
        <w:tc>
          <w:tcPr>
            <w:tcW w:w="5040" w:type="dxa"/>
            <w:vAlign w:val="bottom"/>
            <w:gridSpan w:val="2"/>
            <w:vMerge w:val="continue"/>
          </w:tcPr>
          <w:p>
            <w:pPr>
              <w:spacing w:after="0"/>
              <w:rPr>
                <w:sz w:val="9"/>
                <w:szCs w:val="9"/>
                <w:color w:val="auto"/>
              </w:rPr>
            </w:pPr>
          </w:p>
        </w:tc>
        <w:tc>
          <w:tcPr>
            <w:tcW w:w="2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320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Alejandro Tizzoni</w:t>
            </w:r>
          </w:p>
        </w:tc>
        <w:tc>
          <w:tcPr>
            <w:tcW w:w="50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Executive Vice President</w:t>
            </w:r>
          </w:p>
        </w:tc>
        <w:tc>
          <w:tcPr>
            <w:tcW w:w="2500" w:type="dxa"/>
            <w:vAlign w:val="bottom"/>
            <w:gridSpan w:val="2"/>
            <w:vMerge w:val="restart"/>
            <w:shd w:val="clear" w:color="auto" w:fill="CCEEFF"/>
          </w:tcPr>
          <w:p>
            <w:pPr>
              <w:jc w:val="center"/>
              <w:ind w:right="220"/>
              <w:spacing w:after="0"/>
              <w:rPr>
                <w:sz w:val="20"/>
                <w:szCs w:val="20"/>
                <w:color w:val="auto"/>
              </w:rPr>
            </w:pPr>
            <w:r>
              <w:rPr>
                <w:rFonts w:ascii="Arial" w:cs="Arial" w:eastAsia="Arial" w:hAnsi="Arial"/>
                <w:sz w:val="18"/>
                <w:szCs w:val="18"/>
                <w:color w:val="auto"/>
                <w:w w:val="93"/>
              </w:rPr>
              <w:t>Argentina</w:t>
            </w:r>
          </w:p>
        </w:tc>
        <w:tc>
          <w:tcPr>
            <w:tcW w:w="68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89"/>
              </w:rPr>
              <w:t>41</w:t>
            </w:r>
          </w:p>
        </w:tc>
        <w:tc>
          <w:tcPr>
            <w:tcW w:w="0" w:type="dxa"/>
            <w:vAlign w:val="bottom"/>
          </w:tcPr>
          <w:p>
            <w:pPr>
              <w:spacing w:after="0"/>
              <w:rPr>
                <w:sz w:val="1"/>
                <w:szCs w:val="1"/>
                <w:color w:val="auto"/>
              </w:rPr>
            </w:pPr>
          </w:p>
        </w:tc>
      </w:tr>
      <w:tr>
        <w:trPr>
          <w:trHeight w:val="122"/>
        </w:trPr>
        <w:tc>
          <w:tcPr>
            <w:tcW w:w="3200" w:type="dxa"/>
            <w:vAlign w:val="bottom"/>
            <w:gridSpan w:val="2"/>
            <w:vMerge w:val="continue"/>
            <w:shd w:val="clear" w:color="auto" w:fill="CCEEFF"/>
          </w:tcPr>
          <w:p>
            <w:pPr>
              <w:spacing w:after="0"/>
              <w:rPr>
                <w:sz w:val="10"/>
                <w:szCs w:val="10"/>
                <w:color w:val="auto"/>
              </w:rPr>
            </w:pPr>
          </w:p>
        </w:tc>
        <w:tc>
          <w:tcPr>
            <w:tcW w:w="504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Chief Risk Officer</w:t>
            </w:r>
          </w:p>
        </w:tc>
        <w:tc>
          <w:tcPr>
            <w:tcW w:w="2500" w:type="dxa"/>
            <w:vAlign w:val="bottom"/>
            <w:gridSpan w:val="2"/>
            <w:vMerge w:val="continue"/>
            <w:shd w:val="clear" w:color="auto" w:fill="CCEEFF"/>
          </w:tcPr>
          <w:p>
            <w:pPr>
              <w:spacing w:after="0"/>
              <w:rPr>
                <w:sz w:val="10"/>
                <w:szCs w:val="10"/>
                <w:color w:val="auto"/>
              </w:rPr>
            </w:pPr>
          </w:p>
        </w:tc>
        <w:tc>
          <w:tcPr>
            <w:tcW w:w="680" w:type="dxa"/>
            <w:vAlign w:val="bottom"/>
            <w:vMerge w:val="continue"/>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9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5040" w:type="dxa"/>
            <w:vAlign w:val="bottom"/>
            <w:gridSpan w:val="2"/>
            <w:vMerge w:val="continue"/>
            <w:shd w:val="clear" w:color="auto" w:fill="CCEEFF"/>
          </w:tcPr>
          <w:p>
            <w:pPr>
              <w:spacing w:after="0"/>
              <w:rPr>
                <w:sz w:val="9"/>
                <w:szCs w:val="9"/>
                <w:color w:val="auto"/>
              </w:rPr>
            </w:pPr>
          </w:p>
        </w:tc>
        <w:tc>
          <w:tcPr>
            <w:tcW w:w="22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3200" w:type="dxa"/>
            <w:vAlign w:val="bottom"/>
            <w:gridSpan w:val="2"/>
            <w:vMerge w:val="restart"/>
          </w:tcPr>
          <w:p>
            <w:pPr>
              <w:spacing w:after="0"/>
              <w:rPr>
                <w:sz w:val="20"/>
                <w:szCs w:val="20"/>
                <w:color w:val="auto"/>
              </w:rPr>
            </w:pPr>
            <w:r>
              <w:rPr>
                <w:rFonts w:ascii="Arial" w:cs="Arial" w:eastAsia="Arial" w:hAnsi="Arial"/>
                <w:sz w:val="18"/>
                <w:szCs w:val="18"/>
                <w:color w:val="auto"/>
              </w:rPr>
              <w:t>Jorge Córdoba</w:t>
            </w:r>
          </w:p>
        </w:tc>
        <w:tc>
          <w:tcPr>
            <w:tcW w:w="504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500" w:type="dxa"/>
            <w:vAlign w:val="bottom"/>
            <w:gridSpan w:val="2"/>
            <w:vMerge w:val="restart"/>
          </w:tcPr>
          <w:p>
            <w:pPr>
              <w:jc w:val="center"/>
              <w:ind w:right="220"/>
              <w:spacing w:after="0"/>
              <w:rPr>
                <w:sz w:val="20"/>
                <w:szCs w:val="20"/>
                <w:color w:val="auto"/>
              </w:rPr>
            </w:pPr>
            <w:r>
              <w:rPr>
                <w:rFonts w:ascii="Arial" w:cs="Arial" w:eastAsia="Arial" w:hAnsi="Arial"/>
                <w:sz w:val="18"/>
                <w:szCs w:val="18"/>
                <w:color w:val="auto"/>
                <w:w w:val="83"/>
              </w:rPr>
              <w:t>Panama</w:t>
            </w:r>
          </w:p>
        </w:tc>
        <w:tc>
          <w:tcPr>
            <w:tcW w:w="680" w:type="dxa"/>
            <w:vAlign w:val="bottom"/>
            <w:vMerge w:val="restart"/>
          </w:tcPr>
          <w:p>
            <w:pPr>
              <w:jc w:val="center"/>
              <w:spacing w:after="0"/>
              <w:rPr>
                <w:sz w:val="20"/>
                <w:szCs w:val="20"/>
                <w:color w:val="auto"/>
              </w:rPr>
            </w:pPr>
            <w:r>
              <w:rPr>
                <w:rFonts w:ascii="Arial" w:cs="Arial" w:eastAsia="Arial" w:hAnsi="Arial"/>
                <w:sz w:val="18"/>
                <w:szCs w:val="18"/>
                <w:color w:val="auto"/>
                <w:w w:val="89"/>
              </w:rPr>
              <w:t>44</w:t>
            </w:r>
          </w:p>
        </w:tc>
        <w:tc>
          <w:tcPr>
            <w:tcW w:w="0" w:type="dxa"/>
            <w:vAlign w:val="bottom"/>
          </w:tcPr>
          <w:p>
            <w:pPr>
              <w:spacing w:after="0"/>
              <w:rPr>
                <w:sz w:val="1"/>
                <w:szCs w:val="1"/>
                <w:color w:val="auto"/>
              </w:rPr>
            </w:pPr>
          </w:p>
        </w:tc>
      </w:tr>
      <w:tr>
        <w:trPr>
          <w:trHeight w:val="122"/>
        </w:trPr>
        <w:tc>
          <w:tcPr>
            <w:tcW w:w="3200" w:type="dxa"/>
            <w:vAlign w:val="bottom"/>
            <w:gridSpan w:val="2"/>
            <w:vMerge w:val="continue"/>
          </w:tcPr>
          <w:p>
            <w:pPr>
              <w:spacing w:after="0"/>
              <w:rPr>
                <w:sz w:val="10"/>
                <w:szCs w:val="10"/>
                <w:color w:val="auto"/>
              </w:rPr>
            </w:pPr>
          </w:p>
        </w:tc>
        <w:tc>
          <w:tcPr>
            <w:tcW w:w="5040" w:type="dxa"/>
            <w:vAlign w:val="bottom"/>
            <w:gridSpan w:val="2"/>
            <w:vMerge w:val="restart"/>
          </w:tcPr>
          <w:p>
            <w:pPr>
              <w:spacing w:after="0"/>
              <w:rPr>
                <w:sz w:val="20"/>
                <w:szCs w:val="20"/>
                <w:color w:val="auto"/>
              </w:rPr>
            </w:pPr>
            <w:r>
              <w:rPr>
                <w:rFonts w:ascii="Arial" w:cs="Arial" w:eastAsia="Arial" w:hAnsi="Arial"/>
                <w:sz w:val="18"/>
                <w:szCs w:val="18"/>
                <w:color w:val="auto"/>
              </w:rPr>
              <w:t>Chief Audit Officer</w:t>
            </w:r>
          </w:p>
        </w:tc>
        <w:tc>
          <w:tcPr>
            <w:tcW w:w="2500" w:type="dxa"/>
            <w:vAlign w:val="bottom"/>
            <w:gridSpan w:val="2"/>
            <w:vMerge w:val="continue"/>
          </w:tcPr>
          <w:p>
            <w:pPr>
              <w:spacing w:after="0"/>
              <w:rPr>
                <w:sz w:val="10"/>
                <w:szCs w:val="10"/>
                <w:color w:val="auto"/>
              </w:rPr>
            </w:pPr>
          </w:p>
        </w:tc>
        <w:tc>
          <w:tcPr>
            <w:tcW w:w="68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980" w:type="dxa"/>
            <w:vAlign w:val="bottom"/>
          </w:tcPr>
          <w:p>
            <w:pPr>
              <w:spacing w:after="0"/>
              <w:rPr>
                <w:sz w:val="9"/>
                <w:szCs w:val="9"/>
                <w:color w:val="auto"/>
              </w:rPr>
            </w:pPr>
          </w:p>
        </w:tc>
        <w:tc>
          <w:tcPr>
            <w:tcW w:w="220" w:type="dxa"/>
            <w:vAlign w:val="bottom"/>
          </w:tcPr>
          <w:p>
            <w:pPr>
              <w:spacing w:after="0"/>
              <w:rPr>
                <w:sz w:val="9"/>
                <w:szCs w:val="9"/>
                <w:color w:val="auto"/>
              </w:rPr>
            </w:pPr>
          </w:p>
        </w:tc>
        <w:tc>
          <w:tcPr>
            <w:tcW w:w="5040" w:type="dxa"/>
            <w:vAlign w:val="bottom"/>
            <w:gridSpan w:val="2"/>
            <w:vMerge w:val="continue"/>
          </w:tcPr>
          <w:p>
            <w:pPr>
              <w:spacing w:after="0"/>
              <w:rPr>
                <w:sz w:val="9"/>
                <w:szCs w:val="9"/>
                <w:color w:val="auto"/>
              </w:rPr>
            </w:pPr>
          </w:p>
        </w:tc>
        <w:tc>
          <w:tcPr>
            <w:tcW w:w="2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2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50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Executive Vice President</w:t>
            </w:r>
          </w:p>
        </w:tc>
        <w:tc>
          <w:tcPr>
            <w:tcW w:w="22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2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Jorge Luis Real</w:t>
            </w: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Chief Legal Officer and Compliance /</w:t>
            </w:r>
          </w:p>
        </w:tc>
        <w:tc>
          <w:tcPr>
            <w:tcW w:w="250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83"/>
              </w:rPr>
              <w:t>Panama</w:t>
            </w:r>
          </w:p>
        </w:tc>
        <w:tc>
          <w:tcPr>
            <w:tcW w:w="6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45</w:t>
            </w:r>
          </w:p>
        </w:tc>
        <w:tc>
          <w:tcPr>
            <w:tcW w:w="0" w:type="dxa"/>
            <w:vAlign w:val="bottom"/>
          </w:tcPr>
          <w:p>
            <w:pPr>
              <w:spacing w:after="0"/>
              <w:rPr>
                <w:sz w:val="1"/>
                <w:szCs w:val="1"/>
                <w:color w:val="auto"/>
              </w:rPr>
            </w:pPr>
          </w:p>
        </w:tc>
      </w:tr>
      <w:tr>
        <w:trPr>
          <w:trHeight w:val="230"/>
        </w:trPr>
        <w:tc>
          <w:tcPr>
            <w:tcW w:w="29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Secretary of the Board of Directors</w:t>
            </w:r>
          </w:p>
        </w:tc>
        <w:tc>
          <w:tcPr>
            <w:tcW w:w="22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6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200" w:type="dxa"/>
            <w:vAlign w:val="bottom"/>
            <w:gridSpan w:val="2"/>
            <w:vMerge w:val="restart"/>
          </w:tcPr>
          <w:p>
            <w:pPr>
              <w:spacing w:after="0"/>
              <w:rPr>
                <w:sz w:val="20"/>
                <w:szCs w:val="20"/>
                <w:color w:val="auto"/>
              </w:rPr>
            </w:pPr>
            <w:r>
              <w:rPr>
                <w:rFonts w:ascii="Arial" w:cs="Arial" w:eastAsia="Arial" w:hAnsi="Arial"/>
                <w:sz w:val="18"/>
                <w:szCs w:val="18"/>
                <w:color w:val="auto"/>
              </w:rPr>
              <w:t>Eduardo Vivone</w:t>
            </w:r>
          </w:p>
        </w:tc>
        <w:tc>
          <w:tcPr>
            <w:tcW w:w="504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500" w:type="dxa"/>
            <w:vAlign w:val="bottom"/>
            <w:gridSpan w:val="2"/>
            <w:vMerge w:val="restart"/>
          </w:tcPr>
          <w:p>
            <w:pPr>
              <w:jc w:val="center"/>
              <w:ind w:right="220"/>
              <w:spacing w:after="0"/>
              <w:rPr>
                <w:sz w:val="20"/>
                <w:szCs w:val="20"/>
                <w:color w:val="auto"/>
              </w:rPr>
            </w:pPr>
            <w:r>
              <w:rPr>
                <w:rFonts w:ascii="Arial" w:cs="Arial" w:eastAsia="Arial" w:hAnsi="Arial"/>
                <w:sz w:val="18"/>
                <w:szCs w:val="18"/>
                <w:color w:val="auto"/>
                <w:w w:val="93"/>
              </w:rPr>
              <w:t>Argentina</w:t>
            </w:r>
          </w:p>
        </w:tc>
        <w:tc>
          <w:tcPr>
            <w:tcW w:w="680" w:type="dxa"/>
            <w:vAlign w:val="bottom"/>
            <w:vMerge w:val="restart"/>
          </w:tcPr>
          <w:p>
            <w:pPr>
              <w:jc w:val="center"/>
              <w:spacing w:after="0"/>
              <w:rPr>
                <w:sz w:val="20"/>
                <w:szCs w:val="20"/>
                <w:color w:val="auto"/>
              </w:rPr>
            </w:pPr>
            <w:r>
              <w:rPr>
                <w:rFonts w:ascii="Arial" w:cs="Arial" w:eastAsia="Arial" w:hAnsi="Arial"/>
                <w:sz w:val="18"/>
                <w:szCs w:val="18"/>
                <w:color w:val="auto"/>
                <w:w w:val="89"/>
              </w:rPr>
              <w:t>53</w:t>
            </w:r>
          </w:p>
        </w:tc>
        <w:tc>
          <w:tcPr>
            <w:tcW w:w="0" w:type="dxa"/>
            <w:vAlign w:val="bottom"/>
          </w:tcPr>
          <w:p>
            <w:pPr>
              <w:spacing w:after="0"/>
              <w:rPr>
                <w:sz w:val="1"/>
                <w:szCs w:val="1"/>
                <w:color w:val="auto"/>
              </w:rPr>
            </w:pPr>
          </w:p>
        </w:tc>
      </w:tr>
      <w:tr>
        <w:trPr>
          <w:trHeight w:val="122"/>
        </w:trPr>
        <w:tc>
          <w:tcPr>
            <w:tcW w:w="3200" w:type="dxa"/>
            <w:vAlign w:val="bottom"/>
            <w:gridSpan w:val="2"/>
            <w:vMerge w:val="continue"/>
          </w:tcPr>
          <w:p>
            <w:pPr>
              <w:spacing w:after="0"/>
              <w:rPr>
                <w:sz w:val="10"/>
                <w:szCs w:val="10"/>
                <w:color w:val="auto"/>
              </w:rPr>
            </w:pPr>
          </w:p>
        </w:tc>
        <w:tc>
          <w:tcPr>
            <w:tcW w:w="5040" w:type="dxa"/>
            <w:vAlign w:val="bottom"/>
            <w:gridSpan w:val="2"/>
            <w:vMerge w:val="restart"/>
          </w:tcPr>
          <w:p>
            <w:pPr>
              <w:spacing w:after="0"/>
              <w:rPr>
                <w:sz w:val="20"/>
                <w:szCs w:val="20"/>
                <w:color w:val="auto"/>
              </w:rPr>
            </w:pPr>
            <w:r>
              <w:rPr>
                <w:rFonts w:ascii="Arial" w:cs="Arial" w:eastAsia="Arial" w:hAnsi="Arial"/>
                <w:sz w:val="18"/>
                <w:szCs w:val="18"/>
                <w:color w:val="auto"/>
              </w:rPr>
              <w:t>Treasury and Capital Markets</w:t>
            </w:r>
          </w:p>
        </w:tc>
        <w:tc>
          <w:tcPr>
            <w:tcW w:w="2500" w:type="dxa"/>
            <w:vAlign w:val="bottom"/>
            <w:gridSpan w:val="2"/>
            <w:vMerge w:val="continue"/>
          </w:tcPr>
          <w:p>
            <w:pPr>
              <w:spacing w:after="0"/>
              <w:rPr>
                <w:sz w:val="10"/>
                <w:szCs w:val="10"/>
                <w:color w:val="auto"/>
              </w:rPr>
            </w:pPr>
          </w:p>
        </w:tc>
        <w:tc>
          <w:tcPr>
            <w:tcW w:w="68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980" w:type="dxa"/>
            <w:vAlign w:val="bottom"/>
          </w:tcPr>
          <w:p>
            <w:pPr>
              <w:spacing w:after="0"/>
              <w:rPr>
                <w:sz w:val="9"/>
                <w:szCs w:val="9"/>
                <w:color w:val="auto"/>
              </w:rPr>
            </w:pPr>
          </w:p>
        </w:tc>
        <w:tc>
          <w:tcPr>
            <w:tcW w:w="220" w:type="dxa"/>
            <w:vAlign w:val="bottom"/>
          </w:tcPr>
          <w:p>
            <w:pPr>
              <w:spacing w:after="0"/>
              <w:rPr>
                <w:sz w:val="9"/>
                <w:szCs w:val="9"/>
                <w:color w:val="auto"/>
              </w:rPr>
            </w:pPr>
          </w:p>
        </w:tc>
        <w:tc>
          <w:tcPr>
            <w:tcW w:w="5040" w:type="dxa"/>
            <w:vAlign w:val="bottom"/>
            <w:gridSpan w:val="2"/>
            <w:vMerge w:val="continue"/>
          </w:tcPr>
          <w:p>
            <w:pPr>
              <w:spacing w:after="0"/>
              <w:rPr>
                <w:sz w:val="9"/>
                <w:szCs w:val="9"/>
                <w:color w:val="auto"/>
              </w:rPr>
            </w:pPr>
          </w:p>
        </w:tc>
        <w:tc>
          <w:tcPr>
            <w:tcW w:w="2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320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Erica Lijtztain</w:t>
            </w:r>
          </w:p>
        </w:tc>
        <w:tc>
          <w:tcPr>
            <w:tcW w:w="50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Executive Vice President</w:t>
            </w:r>
          </w:p>
        </w:tc>
        <w:tc>
          <w:tcPr>
            <w:tcW w:w="2500" w:type="dxa"/>
            <w:vAlign w:val="bottom"/>
            <w:gridSpan w:val="2"/>
            <w:vMerge w:val="restart"/>
            <w:shd w:val="clear" w:color="auto" w:fill="CCEEFF"/>
          </w:tcPr>
          <w:p>
            <w:pPr>
              <w:jc w:val="center"/>
              <w:ind w:right="220"/>
              <w:spacing w:after="0"/>
              <w:rPr>
                <w:sz w:val="20"/>
                <w:szCs w:val="20"/>
                <w:color w:val="auto"/>
              </w:rPr>
            </w:pPr>
            <w:r>
              <w:rPr>
                <w:rFonts w:ascii="Arial" w:cs="Arial" w:eastAsia="Arial" w:hAnsi="Arial"/>
                <w:sz w:val="18"/>
                <w:szCs w:val="18"/>
                <w:color w:val="auto"/>
                <w:w w:val="93"/>
              </w:rPr>
              <w:t>Argentina</w:t>
            </w:r>
          </w:p>
        </w:tc>
        <w:tc>
          <w:tcPr>
            <w:tcW w:w="680" w:type="dxa"/>
            <w:vAlign w:val="bottom"/>
            <w:vMerge w:val="restart"/>
            <w:shd w:val="clear" w:color="auto" w:fill="CCEEFF"/>
          </w:tcPr>
          <w:p>
            <w:pPr>
              <w:jc w:val="center"/>
              <w:spacing w:after="0"/>
              <w:rPr>
                <w:sz w:val="20"/>
                <w:szCs w:val="20"/>
                <w:color w:val="auto"/>
              </w:rPr>
            </w:pPr>
            <w:r>
              <w:rPr>
                <w:rFonts w:ascii="Arial" w:cs="Arial" w:eastAsia="Arial" w:hAnsi="Arial"/>
                <w:sz w:val="18"/>
                <w:szCs w:val="18"/>
                <w:color w:val="auto"/>
                <w:w w:val="89"/>
              </w:rPr>
              <w:t>46</w:t>
            </w:r>
          </w:p>
        </w:tc>
        <w:tc>
          <w:tcPr>
            <w:tcW w:w="0" w:type="dxa"/>
            <w:vAlign w:val="bottom"/>
          </w:tcPr>
          <w:p>
            <w:pPr>
              <w:spacing w:after="0"/>
              <w:rPr>
                <w:sz w:val="1"/>
                <w:szCs w:val="1"/>
                <w:color w:val="auto"/>
              </w:rPr>
            </w:pPr>
          </w:p>
        </w:tc>
      </w:tr>
      <w:tr>
        <w:trPr>
          <w:trHeight w:val="122"/>
        </w:trPr>
        <w:tc>
          <w:tcPr>
            <w:tcW w:w="3200" w:type="dxa"/>
            <w:vAlign w:val="bottom"/>
            <w:gridSpan w:val="2"/>
            <w:vMerge w:val="continue"/>
            <w:shd w:val="clear" w:color="auto" w:fill="CCEEFF"/>
          </w:tcPr>
          <w:p>
            <w:pPr>
              <w:spacing w:after="0"/>
              <w:rPr>
                <w:sz w:val="10"/>
                <w:szCs w:val="10"/>
                <w:color w:val="auto"/>
              </w:rPr>
            </w:pPr>
          </w:p>
        </w:tc>
        <w:tc>
          <w:tcPr>
            <w:tcW w:w="504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Chief Operating Officer</w:t>
            </w:r>
          </w:p>
        </w:tc>
        <w:tc>
          <w:tcPr>
            <w:tcW w:w="2500" w:type="dxa"/>
            <w:vAlign w:val="bottom"/>
            <w:gridSpan w:val="2"/>
            <w:vMerge w:val="continue"/>
            <w:shd w:val="clear" w:color="auto" w:fill="CCEEFF"/>
          </w:tcPr>
          <w:p>
            <w:pPr>
              <w:spacing w:after="0"/>
              <w:rPr>
                <w:sz w:val="10"/>
                <w:szCs w:val="10"/>
                <w:color w:val="auto"/>
              </w:rPr>
            </w:pPr>
          </w:p>
        </w:tc>
        <w:tc>
          <w:tcPr>
            <w:tcW w:w="680" w:type="dxa"/>
            <w:vAlign w:val="bottom"/>
            <w:vMerge w:val="continue"/>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9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5040" w:type="dxa"/>
            <w:vAlign w:val="bottom"/>
            <w:gridSpan w:val="2"/>
            <w:vMerge w:val="continue"/>
            <w:shd w:val="clear" w:color="auto" w:fill="CCEEFF"/>
          </w:tcPr>
          <w:p>
            <w:pPr>
              <w:spacing w:after="0"/>
              <w:rPr>
                <w:sz w:val="9"/>
                <w:szCs w:val="9"/>
                <w:color w:val="auto"/>
              </w:rPr>
            </w:pPr>
          </w:p>
        </w:tc>
        <w:tc>
          <w:tcPr>
            <w:tcW w:w="22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Presented below is a brief biographical description of each executive officer that is not a member of the Bank’s Board:</w:t>
      </w:r>
    </w:p>
    <w:p>
      <w:pPr>
        <w:spacing w:after="0" w:line="221" w:lineRule="exact"/>
        <w:rPr>
          <w:sz w:val="20"/>
          <w:szCs w:val="20"/>
          <w:color w:val="auto"/>
        </w:rPr>
      </w:pPr>
    </w:p>
    <w:p>
      <w:pPr>
        <w:jc w:val="both"/>
        <w:spacing w:after="0" w:line="289" w:lineRule="auto"/>
        <w:rPr>
          <w:sz w:val="20"/>
          <w:szCs w:val="20"/>
          <w:color w:val="auto"/>
        </w:rPr>
      </w:pPr>
      <w:r>
        <w:rPr>
          <w:rFonts w:ascii="Arial" w:cs="Arial" w:eastAsia="Arial" w:hAnsi="Arial"/>
          <w:sz w:val="16"/>
          <w:szCs w:val="16"/>
          <w:b w:val="1"/>
          <w:bCs w:val="1"/>
          <w:color w:val="auto"/>
        </w:rPr>
        <w:t xml:space="preserve">Rubens V. Amaral Jr. </w:t>
      </w:r>
      <w:r>
        <w:rPr>
          <w:rFonts w:ascii="Arial" w:cs="Arial" w:eastAsia="Arial" w:hAnsi="Arial"/>
          <w:sz w:val="16"/>
          <w:szCs w:val="16"/>
          <w:color w:val="auto"/>
        </w:rPr>
        <w:t>served as a Director of the Board and Chief Executive Officer of the Bank from August 2012 to April, 2018. Prior to his appointment</w:t>
      </w:r>
      <w:r>
        <w:rPr>
          <w:rFonts w:ascii="Arial" w:cs="Arial" w:eastAsia="Arial" w:hAnsi="Arial"/>
          <w:sz w:val="16"/>
          <w:szCs w:val="16"/>
          <w:b w:val="1"/>
          <w:bCs w:val="1"/>
          <w:color w:val="auto"/>
        </w:rPr>
        <w:t xml:space="preserve"> </w:t>
      </w:r>
      <w:r>
        <w:rPr>
          <w:rFonts w:ascii="Arial" w:cs="Arial" w:eastAsia="Arial" w:hAnsi="Arial"/>
          <w:sz w:val="16"/>
          <w:szCs w:val="16"/>
          <w:color w:val="auto"/>
        </w:rPr>
        <w:t>as the Chief Executive Officer, Mr. Amaral served as Executive Vice President, Chief Commercial Officer of the Bank, and the alternate to the Chief Executive Officer since April 2004. He previously served as General Manager and Managing Director for North America at Banco do Brasil, New York Branch, and as a Director of the Board of the Bank from 2000 to 2004. Mr. Amaral has also served in various capacities with Banco do Brasil since 1975, holding the positions of Managing Director of the International Division and alternate member of the board of directors in 1998, among others. Mr. Amaral also served as a representative in banking supervision for the Central Bank of Brazil from 1982 to 1988, and in various roles at institutions in the banking industry, including Honorary President of the Global Network of Export-Import Banks and Development Finance Institutions (G-Nexid), Trustee of the Board of Trustees of the Institute of International Bankers - IIB, a member of the Advisory Board of the Center for Latin America Studies at The George Washington University, and a Director of the Brazilian American Chamber of Commerce, in New York. Mr. Amaral has a degree in Economics, and he holds a special certification from the Association of Alumni of the Brazilian Superior School of War in Political and Economic Affairs.</w:t>
      </w:r>
    </w:p>
    <w:p>
      <w:pPr>
        <w:spacing w:after="0" w:line="161" w:lineRule="exact"/>
        <w:rPr>
          <w:sz w:val="20"/>
          <w:szCs w:val="20"/>
          <w:color w:val="auto"/>
        </w:rPr>
      </w:pPr>
    </w:p>
    <w:p>
      <w:pPr>
        <w:jc w:val="both"/>
        <w:spacing w:after="0" w:line="266" w:lineRule="auto"/>
        <w:rPr>
          <w:sz w:val="20"/>
          <w:szCs w:val="20"/>
          <w:color w:val="auto"/>
        </w:rPr>
      </w:pPr>
      <w:r>
        <w:rPr>
          <w:rFonts w:ascii="Arial" w:cs="Arial" w:eastAsia="Arial" w:hAnsi="Arial"/>
          <w:sz w:val="18"/>
          <w:szCs w:val="18"/>
          <w:color w:val="auto"/>
        </w:rPr>
        <w:t xml:space="preserve">As previously announced, Mr. Amaral has decided to retire as Chief Executive Officer and will be succeeded by </w:t>
      </w:r>
      <w:r>
        <w:rPr>
          <w:rFonts w:ascii="Arial" w:cs="Arial" w:eastAsia="Arial" w:hAnsi="Arial"/>
          <w:sz w:val="18"/>
          <w:szCs w:val="18"/>
          <w:b w:val="1"/>
          <w:bCs w:val="1"/>
          <w:color w:val="auto"/>
        </w:rPr>
        <w:t>Gabriel Tolchinsky</w:t>
      </w:r>
      <w:r>
        <w:rPr>
          <w:rFonts w:ascii="Arial" w:cs="Arial" w:eastAsia="Arial" w:hAnsi="Arial"/>
          <w:sz w:val="18"/>
          <w:szCs w:val="18"/>
          <w:color w:val="auto"/>
        </w:rPr>
        <w:t xml:space="preserve"> upon Mr. Amaral’s departure from the Bank effective at close of business on April 30, 2018. A summary of Mr. Tolchinsky’s experience is set forth above under “Directors”. As of the date of this Annual Report, Mr. Tolchinsky is the only executive officer who serves as a member of the Board.</w:t>
      </w:r>
    </w:p>
    <w:p>
      <w:pPr>
        <w:spacing w:after="0" w:line="39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84" w:name="page85"/>
    <w:bookmarkEnd w:id="84"/>
    <w:p>
      <w:pPr>
        <w:jc w:val="both"/>
        <w:spacing w:after="0" w:line="292" w:lineRule="auto"/>
        <w:rPr>
          <w:sz w:val="20"/>
          <w:szCs w:val="20"/>
          <w:color w:val="auto"/>
        </w:rPr>
      </w:pPr>
      <w:r>
        <w:rPr>
          <w:rFonts w:ascii="Arial" w:cs="Arial" w:eastAsia="Arial" w:hAnsi="Arial"/>
          <w:sz w:val="16"/>
          <w:szCs w:val="16"/>
          <w:b w:val="1"/>
          <w:bCs w:val="1"/>
          <w:color w:val="auto"/>
        </w:rPr>
        <w:t xml:space="preserve">Alejandro Jaramillo </w:t>
      </w:r>
      <w:r>
        <w:rPr>
          <w:rFonts w:ascii="Arial" w:cs="Arial" w:eastAsia="Arial" w:hAnsi="Arial"/>
          <w:sz w:val="16"/>
          <w:szCs w:val="16"/>
          <w:color w:val="auto"/>
        </w:rPr>
        <w:t>was appointed Executive Vice President, Chief Commercial Officer of the Bank on May 1, 2017. Mr. Jaramillo joined Bladex in 2012,</w:t>
      </w:r>
      <w:r>
        <w:rPr>
          <w:rFonts w:ascii="Arial" w:cs="Arial" w:eastAsia="Arial" w:hAnsi="Arial"/>
          <w:sz w:val="16"/>
          <w:szCs w:val="16"/>
          <w:b w:val="1"/>
          <w:bCs w:val="1"/>
          <w:color w:val="auto"/>
        </w:rPr>
        <w:t xml:space="preserve"> </w:t>
      </w:r>
      <w:r>
        <w:rPr>
          <w:rFonts w:ascii="Arial" w:cs="Arial" w:eastAsia="Arial" w:hAnsi="Arial"/>
          <w:sz w:val="16"/>
          <w:szCs w:val="16"/>
          <w:color w:val="auto"/>
        </w:rPr>
        <w:t>working in the Bank’s Treasury department as the Head of Funding. In 2013, he became the Head of Loan Structuring &amp; Distribution, spearheading the growth and development of the Bank’s Loan Syndication business and the purchase and sale of loans in the secondary market. Prior to joining Bladex, Mr. Jaramillo spent nine years at BNP Paribas, both in New York and in Bogota, Colombia. At BNP Paribas, he contributed to the development of the bank’s Commodity Structured Finance business in Latin America, and he was a Director in the bank’s Corporate &amp; Investment Banking unit. Before that, he worked at Standard Chartered Bank as a credit analyst in their Bogota, Colombia office as well as in the Global Commodity Finance unit in New York. Mr. Jaramillo has a bachelor’s degree in Industrial Engineering from Universidad de los Andes - Bogota, Colombia, and an MBA from Columbia University in New York.</w:t>
      </w:r>
    </w:p>
    <w:p>
      <w:pPr>
        <w:spacing w:after="0" w:line="162" w:lineRule="exact"/>
        <w:rPr>
          <w:sz w:val="20"/>
          <w:szCs w:val="20"/>
          <w:color w:val="auto"/>
        </w:rPr>
      </w:pPr>
    </w:p>
    <w:p>
      <w:pPr>
        <w:jc w:val="both"/>
        <w:spacing w:after="0" w:line="290" w:lineRule="auto"/>
        <w:rPr>
          <w:sz w:val="20"/>
          <w:szCs w:val="20"/>
          <w:color w:val="auto"/>
        </w:rPr>
      </w:pPr>
      <w:r>
        <w:rPr>
          <w:rFonts w:ascii="Arial" w:cs="Arial" w:eastAsia="Arial" w:hAnsi="Arial"/>
          <w:sz w:val="16"/>
          <w:szCs w:val="16"/>
          <w:b w:val="1"/>
          <w:bCs w:val="1"/>
          <w:color w:val="auto"/>
        </w:rPr>
        <w:t xml:space="preserve">Ana Graciela de Méndez </w:t>
      </w:r>
      <w:r>
        <w:rPr>
          <w:rFonts w:ascii="Arial" w:cs="Arial" w:eastAsia="Arial" w:hAnsi="Arial"/>
          <w:sz w:val="16"/>
          <w:szCs w:val="16"/>
          <w:color w:val="auto"/>
        </w:rPr>
        <w:t>has served as Executive Vice President, Chief Financial Officer of the Bank since December 2017. She has also served in various</w:t>
      </w:r>
      <w:r>
        <w:rPr>
          <w:rFonts w:ascii="Arial" w:cs="Arial" w:eastAsia="Arial" w:hAnsi="Arial"/>
          <w:sz w:val="16"/>
          <w:szCs w:val="16"/>
          <w:b w:val="1"/>
          <w:bCs w:val="1"/>
          <w:color w:val="auto"/>
        </w:rPr>
        <w:t xml:space="preserve"> </w:t>
      </w:r>
      <w:r>
        <w:rPr>
          <w:rFonts w:ascii="Arial" w:cs="Arial" w:eastAsia="Arial" w:hAnsi="Arial"/>
          <w:sz w:val="16"/>
          <w:szCs w:val="16"/>
          <w:color w:val="auto"/>
        </w:rPr>
        <w:t>capacities within the Bank since 1990, as Senior Vice President of Finance and the alternate to the CFO from 2014 to 2017, Vice President of Financial Planning and Analysis from 2002 to 2014, and several other assignments within the Finance area since 1994. Mrs. Méndez served as Commercial Relationship Manager at the Bank from 1991 to 1993 and as an Economist from 1990 to 1991. Throughout her tenure, Mrs. Méndez has been assigned to key projects, such as leading the conversion of financial statements from Generally Accepted Accounting Principles in the United States (“U.S. GAAP”) to IFRS to comply with a requirement of the Superintendency of Banks of Panama from 2014 to 2015. Mrs. Méndez also participated in the multidisciplinary team which successfully led to the Bank’s Initial Public Offering of its Class E common shares listed on the New York Stock Exchange and registered with the U.S. Securities and Exchange Commission in 1992. Mrs. Méndez holds a Bachelor degree in Business and Economics with specialization in Economics and Mathematics, graduating Magna Cum Laude from Albertus Magnus College, New Haven, Connecticut, U.S.A.</w:t>
      </w:r>
    </w:p>
    <w:p>
      <w:pPr>
        <w:spacing w:after="0" w:line="160" w:lineRule="exact"/>
        <w:rPr>
          <w:sz w:val="20"/>
          <w:szCs w:val="20"/>
          <w:color w:val="auto"/>
        </w:rPr>
      </w:pPr>
    </w:p>
    <w:p>
      <w:pPr>
        <w:jc w:val="both"/>
        <w:spacing w:after="0" w:line="277" w:lineRule="auto"/>
        <w:rPr>
          <w:sz w:val="20"/>
          <w:szCs w:val="20"/>
          <w:color w:val="auto"/>
        </w:rPr>
      </w:pPr>
      <w:r>
        <w:rPr>
          <w:rFonts w:ascii="Arial" w:cs="Arial" w:eastAsia="Arial" w:hAnsi="Arial"/>
          <w:sz w:val="17"/>
          <w:szCs w:val="17"/>
          <w:b w:val="1"/>
          <w:bCs w:val="1"/>
          <w:color w:val="auto"/>
        </w:rPr>
        <w:t xml:space="preserve">Alejandro Tizzoni </w:t>
      </w:r>
      <w:r>
        <w:rPr>
          <w:rFonts w:ascii="Arial" w:cs="Arial" w:eastAsia="Arial" w:hAnsi="Arial"/>
          <w:sz w:val="17"/>
          <w:szCs w:val="17"/>
          <w:color w:val="auto"/>
        </w:rPr>
        <w:t>has served as Executive Vice President, Chief Risk Officer of the Bank since May 2016. He also served in various capacities within the</w:t>
      </w:r>
      <w:r>
        <w:rPr>
          <w:rFonts w:ascii="Arial" w:cs="Arial" w:eastAsia="Arial" w:hAnsi="Arial"/>
          <w:sz w:val="17"/>
          <w:szCs w:val="17"/>
          <w:b w:val="1"/>
          <w:bCs w:val="1"/>
          <w:color w:val="auto"/>
        </w:rPr>
        <w:t xml:space="preserve"> </w:t>
      </w:r>
      <w:r>
        <w:rPr>
          <w:rFonts w:ascii="Arial" w:cs="Arial" w:eastAsia="Arial" w:hAnsi="Arial"/>
          <w:sz w:val="17"/>
          <w:szCs w:val="17"/>
          <w:color w:val="auto"/>
        </w:rPr>
        <w:t>Risk Management of the Bank since 2006, as Senior Vice President from 2012 to 2016, Vice President from 2008 to 2012 and Senior Analyst from 2006 to 2008. Mr. Tizzoni served in different capacities in the credit risk area in banking and the international private sector in Argentina from 1997 to 2006. Mr. Tizzoni holds a Master Degree in Risk Management from New York University’s Stern School of Business, an MBA from the University of Louisville, and a Bachelor's Degree in Business Administration and Certified Public Accountant from the University of Buenos Aires in Argentina.</w:t>
      </w:r>
    </w:p>
    <w:p>
      <w:pPr>
        <w:spacing w:after="0" w:line="168" w:lineRule="exact"/>
        <w:rPr>
          <w:sz w:val="20"/>
          <w:szCs w:val="20"/>
          <w:color w:val="auto"/>
        </w:rPr>
      </w:pPr>
    </w:p>
    <w:p>
      <w:pPr>
        <w:jc w:val="both"/>
        <w:spacing w:after="0" w:line="273" w:lineRule="auto"/>
        <w:rPr>
          <w:sz w:val="20"/>
          <w:szCs w:val="20"/>
          <w:color w:val="auto"/>
        </w:rPr>
      </w:pPr>
      <w:r>
        <w:rPr>
          <w:rFonts w:ascii="Arial" w:cs="Arial" w:eastAsia="Arial" w:hAnsi="Arial"/>
          <w:sz w:val="17"/>
          <w:szCs w:val="17"/>
          <w:b w:val="1"/>
          <w:bCs w:val="1"/>
          <w:color w:val="auto"/>
        </w:rPr>
        <w:t xml:space="preserve">Jorge Córdoba </w:t>
      </w:r>
      <w:r>
        <w:rPr>
          <w:rFonts w:ascii="Arial" w:cs="Arial" w:eastAsia="Arial" w:hAnsi="Arial"/>
          <w:sz w:val="17"/>
          <w:szCs w:val="17"/>
          <w:color w:val="auto"/>
        </w:rPr>
        <w:t>joined Bladex as Executive Vice President, Chief Audit Officer in October 2017. Previously, Mr. Córdoba served as Director – Internal Audit</w:t>
      </w:r>
      <w:r>
        <w:rPr>
          <w:rFonts w:ascii="Arial" w:cs="Arial" w:eastAsia="Arial" w:hAnsi="Arial"/>
          <w:sz w:val="17"/>
          <w:szCs w:val="17"/>
          <w:b w:val="1"/>
          <w:bCs w:val="1"/>
          <w:color w:val="auto"/>
        </w:rPr>
        <w:t xml:space="preserve"> </w:t>
      </w:r>
      <w:r>
        <w:rPr>
          <w:rFonts w:ascii="Arial" w:cs="Arial" w:eastAsia="Arial" w:hAnsi="Arial"/>
          <w:sz w:val="17"/>
          <w:szCs w:val="17"/>
          <w:color w:val="auto"/>
        </w:rPr>
        <w:t>LATAM for Credit Andorra Financial Group, where he supervised from Panama the internal audit of the bank’s business in Panama, Mexico, Peru, Paraguay, Uruguay, Colombia and Miami, Florida. From 2002 to 2013, he served as International Internal Auditor for Pan-American Life Insurance Group (PALIG) and was in charge of the branch offices and affiliates in some Latin American countries and U.S. cities. During 2001 and 2002, he served as Internal Auditor for Dresdner Bank Lateinamerica AG – Panama, and from 1992 to 2001, he served as Senior Auditor for PricewaterhouseCoopers. Mr. Córdoba is a Certified Public Accountant and holds a Degree in Accounting from Universidad de Panama. He also holds a Post Graduate Certificate in International Trade Management from St. Clair College of Applied Arts and Technology, Ontario, Canada.</w:t>
      </w:r>
    </w:p>
    <w:p>
      <w:pPr>
        <w:spacing w:after="0" w:line="172" w:lineRule="exact"/>
        <w:rPr>
          <w:sz w:val="20"/>
          <w:szCs w:val="20"/>
          <w:color w:val="auto"/>
        </w:rPr>
      </w:pPr>
    </w:p>
    <w:p>
      <w:pPr>
        <w:jc w:val="both"/>
        <w:spacing w:after="0" w:line="273" w:lineRule="auto"/>
        <w:rPr>
          <w:sz w:val="20"/>
          <w:szCs w:val="20"/>
          <w:color w:val="auto"/>
        </w:rPr>
      </w:pPr>
      <w:r>
        <w:rPr>
          <w:rFonts w:ascii="Arial" w:cs="Arial" w:eastAsia="Arial" w:hAnsi="Arial"/>
          <w:sz w:val="17"/>
          <w:szCs w:val="17"/>
          <w:b w:val="1"/>
          <w:bCs w:val="1"/>
          <w:color w:val="auto"/>
        </w:rPr>
        <w:t xml:space="preserve">Jorge Luis Real </w:t>
      </w:r>
      <w:r>
        <w:rPr>
          <w:rFonts w:ascii="Arial" w:cs="Arial" w:eastAsia="Arial" w:hAnsi="Arial"/>
          <w:sz w:val="17"/>
          <w:szCs w:val="17"/>
          <w:color w:val="auto"/>
        </w:rPr>
        <w:t>was appointed Executive Vice President, Legal and Compliance in February 2018. He has served as Senior Vice President, Chief Legal</w:t>
      </w:r>
      <w:r>
        <w:rPr>
          <w:rFonts w:ascii="Arial" w:cs="Arial" w:eastAsia="Arial" w:hAnsi="Arial"/>
          <w:sz w:val="17"/>
          <w:szCs w:val="17"/>
          <w:b w:val="1"/>
          <w:bCs w:val="1"/>
          <w:color w:val="auto"/>
        </w:rPr>
        <w:t xml:space="preserve"> </w:t>
      </w:r>
      <w:r>
        <w:rPr>
          <w:rFonts w:ascii="Arial" w:cs="Arial" w:eastAsia="Arial" w:hAnsi="Arial"/>
          <w:sz w:val="17"/>
          <w:szCs w:val="17"/>
          <w:color w:val="auto"/>
        </w:rPr>
        <w:t>Officer of the Bank since December 2016, and was appointed Secretary of the Board of Directors in April 2016. He previously served as Vice President, Head of Legal Risk of the Bank from 2014 to 2016. Before joining the Bank, he was Coordinator of Latin American Legal Affairs at BNP Paribas, New York from 2010 to 2014, Head of Legal Department at BNP Paribas Panama from 2005 to 2010, Head of Legal Department Panama Group of BBVA from 2000 to 2005 and Lawyer at Mauad &amp; Mauad in Panama in 2000. Mr. Real was admitted to practice law in Panama by the Panamanian Supreme Court of Justice in 1998. Mr. Real holds a Master’s degree in Commercial and Corporative Law from Université Panthéon-Assas (Paris II) and a Bachelor’s degree in Law and Political Science from Universidad Católica Santa María La Antigua in Panama.</w:t>
      </w:r>
    </w:p>
    <w:p>
      <w:pPr>
        <w:spacing w:after="0" w:line="39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5" w:name="page86"/>
    <w:bookmarkEnd w:id="85"/>
    <w:p>
      <w:pPr>
        <w:jc w:val="both"/>
        <w:spacing w:after="0" w:line="292" w:lineRule="auto"/>
        <w:rPr>
          <w:sz w:val="20"/>
          <w:szCs w:val="20"/>
          <w:color w:val="auto"/>
        </w:rPr>
      </w:pPr>
      <w:r>
        <w:rPr>
          <w:rFonts w:ascii="Arial" w:cs="Arial" w:eastAsia="Arial" w:hAnsi="Arial"/>
          <w:sz w:val="16"/>
          <w:szCs w:val="16"/>
          <w:b w:val="1"/>
          <w:bCs w:val="1"/>
          <w:color w:val="auto"/>
        </w:rPr>
        <w:t xml:space="preserve">Eduardo Vivone </w:t>
      </w:r>
      <w:r>
        <w:rPr>
          <w:rFonts w:ascii="Arial" w:cs="Arial" w:eastAsia="Arial" w:hAnsi="Arial"/>
          <w:sz w:val="16"/>
          <w:szCs w:val="16"/>
          <w:color w:val="auto"/>
        </w:rPr>
        <w:t>was appointed Executive Vice President, Treasury and Capital Markets in February 2018, and has served as Senior Vice President, Head of</w:t>
      </w:r>
      <w:r>
        <w:rPr>
          <w:rFonts w:ascii="Arial" w:cs="Arial" w:eastAsia="Arial" w:hAnsi="Arial"/>
          <w:sz w:val="16"/>
          <w:szCs w:val="16"/>
          <w:b w:val="1"/>
          <w:bCs w:val="1"/>
          <w:color w:val="auto"/>
        </w:rPr>
        <w:t xml:space="preserve"> </w:t>
      </w:r>
      <w:r>
        <w:rPr>
          <w:rFonts w:ascii="Arial" w:cs="Arial" w:eastAsia="Arial" w:hAnsi="Arial"/>
          <w:sz w:val="16"/>
          <w:szCs w:val="16"/>
          <w:color w:val="auto"/>
        </w:rPr>
        <w:t>Treasury since September 2013. He also served as Senior Vice President, Funding from April to August 2013. Before joining the Bank, he served as Head of Global Markets for HSBC Bank Panama from 2010 to 2012, Regional Sector Head, Government Sector – Global Banking, Americas for HSBC Securities, New York from 2007 to 2010, Head of Treasury for HSBC Bank, Spain from 2003 to 2007, Head of Balance Sheet Management and Forward Foreign Exchange for HSBC Bank, Argentina from 1998 to 2003, and he served diverse Relationship Management capacities for Banco Roberts, Buenos Aires from 1990 to 1998, serving as the Head of Treasury Planning for the last two years. Mr. Vivone is a Certified Public Accountant and holds a Master’s degree in Finance from the University of CEMA, Buenos Aires, Argentina, and a Bachelor´s degree in Accounting from University of Buenos Aires, Argentina.</w:t>
      </w:r>
    </w:p>
    <w:p>
      <w:pPr>
        <w:spacing w:after="0" w:line="162" w:lineRule="exact"/>
        <w:rPr>
          <w:sz w:val="20"/>
          <w:szCs w:val="20"/>
          <w:color w:val="auto"/>
        </w:rPr>
      </w:pPr>
    </w:p>
    <w:p>
      <w:pPr>
        <w:jc w:val="both"/>
        <w:spacing w:after="0" w:line="256" w:lineRule="auto"/>
        <w:rPr>
          <w:sz w:val="20"/>
          <w:szCs w:val="20"/>
          <w:color w:val="auto"/>
        </w:rPr>
      </w:pPr>
      <w:r>
        <w:rPr>
          <w:rFonts w:ascii="Arial" w:cs="Arial" w:eastAsia="Arial" w:hAnsi="Arial"/>
          <w:sz w:val="18"/>
          <w:szCs w:val="18"/>
          <w:b w:val="1"/>
          <w:bCs w:val="1"/>
          <w:color w:val="auto"/>
        </w:rPr>
        <w:t xml:space="preserve">Erica Lijtztain </w:t>
      </w:r>
      <w:r>
        <w:rPr>
          <w:rFonts w:ascii="Arial" w:cs="Arial" w:eastAsia="Arial" w:hAnsi="Arial"/>
          <w:sz w:val="18"/>
          <w:szCs w:val="18"/>
          <w:color w:val="auto"/>
        </w:rPr>
        <w:t>was appointed Executive Vice President, Chief Operating Officer in February 2018, and has served as Senior Vice President, Corporate</w:t>
      </w:r>
      <w:r>
        <w:rPr>
          <w:rFonts w:ascii="Arial" w:cs="Arial" w:eastAsia="Arial" w:hAnsi="Arial"/>
          <w:sz w:val="18"/>
          <w:szCs w:val="18"/>
          <w:b w:val="1"/>
          <w:bCs w:val="1"/>
          <w:color w:val="auto"/>
        </w:rPr>
        <w:t xml:space="preserve"> </w:t>
      </w:r>
      <w:r>
        <w:rPr>
          <w:rFonts w:ascii="Arial" w:cs="Arial" w:eastAsia="Arial" w:hAnsi="Arial"/>
          <w:sz w:val="18"/>
          <w:szCs w:val="18"/>
          <w:color w:val="auto"/>
        </w:rPr>
        <w:t>Services, since June 2017. She previously served in the following capacities for Banco Patagonia, S.A. in Argentina: Executive Manager – Risk Management from 2015 to 2017, Budget and Information Manager from 2008 to 2015, Manager – Special Projects from 2003 to 2008, and Manager – Commercial Planning and Control from 2001 to 2003. Ms. Lijtztain is a Certified International Investment Analyst, and holds a Master’s degree in Business Administration from University Torcuato di Tella, Argentina, and a Bachelor’s degree in Economic Science – Actuary from University of Buenos Aires, Argentina.</w:t>
      </w:r>
    </w:p>
    <w:p>
      <w:pPr>
        <w:spacing w:after="0" w:line="188" w:lineRule="exact"/>
        <w:rPr>
          <w:sz w:val="20"/>
          <w:szCs w:val="20"/>
          <w:color w:val="auto"/>
        </w:rPr>
      </w:pPr>
    </w:p>
    <w:p>
      <w:pPr>
        <w:ind w:left="660" w:hanging="652"/>
        <w:spacing w:after="0"/>
        <w:tabs>
          <w:tab w:leader="none" w:pos="66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Compensation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of Executive Officers and Directors</w:t>
      </w:r>
    </w:p>
    <w:p>
      <w:pPr>
        <w:spacing w:after="0" w:line="229"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Compensation Committee has reviewed and discussed the below “Compensation of Executive Officers and Board of Directors” section with the Bank’s management, and based on this review and discussion, the Compensation Committee recommended to the Board that the discussion be included in the proxy statement for the Annual Shareholders’ Meeting held April 11, 2018 (commonly referred to as the “say on pay” proposal).</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Consultant</w:t>
      </w:r>
    </w:p>
    <w:p>
      <w:pPr>
        <w:spacing w:after="0" w:line="229"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The Compensation Committee has authority to retain compensation consulting firms to assist it in the evaluation of executive officer and employee compensation and benefit programs. During 2017, the Compensation Committee did not retain or obtain the advice of any compensation consultant.</w:t>
      </w:r>
    </w:p>
    <w:p>
      <w:pPr>
        <w:spacing w:after="0" w:line="14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Executive Officers Compensation</w:t>
      </w:r>
    </w:p>
    <w:p>
      <w:pPr>
        <w:spacing w:after="0" w:line="229"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Annually, in order to incentivize the alignment and collaboration of all areas of the Bank, the Bank pays to its executive officers variable compensation, based on the extent to which each officer meets certain individual and corporate objectives which are defined by the Board of Directors. This variable compensation is paid in both cash and stock options and/or restricted stock units.</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fiscal year ended December 31, 2017, the aggregate amount of cash compensation paid by the Bank to the executive officers employed in the Bank’s Corporate Headquarters for their services was $2,324,642.</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In February 2008, the Board approved the 2008 Stock Incentive Plan (as amended, the “2008 Plan”), which allows the Bank, from time to time, to grant restricted shares, restricted stock units, stock options and/or other stock-based awards to the directors, executive officers and non-executive employees of the Bank. This plan was revised in October 2015, and amended and restated as the 2015 Stock Incentive Plan (“2015 Plan”).</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6" w:name="page87"/>
    <w:bookmarkEnd w:id="86"/>
    <w:p>
      <w:pPr>
        <w:jc w:val="both"/>
        <w:spacing w:after="0" w:line="259" w:lineRule="auto"/>
        <w:rPr>
          <w:sz w:val="20"/>
          <w:szCs w:val="20"/>
          <w:color w:val="auto"/>
        </w:rPr>
      </w:pPr>
      <w:r>
        <w:rPr>
          <w:rFonts w:ascii="Arial" w:cs="Arial" w:eastAsia="Arial" w:hAnsi="Arial"/>
          <w:sz w:val="18"/>
          <w:szCs w:val="18"/>
          <w:color w:val="auto"/>
        </w:rPr>
        <w:t>On February 14, 2017, the Bank granted to current executive officers 25,289 restricted stock units corresponding to 2016 performance. These restricted stock units vest 25% of the amount granted per year, with the first vesting on June 15, 2017, and the subsequent vestings on each anniversary of the first vesting date. As of December 31, 2017, the compensation cost charged against the Bank’s 2017 income in connection with these restricted stock units was $335,008. The total remaining compensation cost of $211,195 will be charged over a period of 2.5 years.</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sponsors a defined contribution plan for its expatriate officers. The Bank’s contributions are determined as a percentage of the eligible officer’s annual salary, with each officer contributing an additional amount withheld from his salary. All contributions are administered by a trust through an independent third party. During 2017, the Bank charged to salaries expense $162,505 with respect to the contribution plan.</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2017 Chief Executive Officer Compensation</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compensation of the Bank’s Chief Executive Officer for 2017 included an annual base salary of $350,000, a performance-based cash bonus of $500,000, an aggregate of $14,000 from the Bank to the Chief Executive Officer’s contribution plan, and limited perquisites and other benefits amounting to $19,002. The Chief Executive Officer is eligible to receive a severance payment of $350,000 upon his departure.</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of the 2017 Advisory Vote on Compensation of Executive Officers</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At the Bank’s annual meeting of shareholders held on April 19, 2017, our shareholders were asked to approve, on an advisory basis, the Bank's fiscal year 2016 executive officers’ compensation programs (commonly referred to as the “say on pay” proposal). A substantial majority (90.92%) of the votes cast on the say-on-pay proposal at that meeting were voted in favor of the proposal. The Compensation Committee believes that these results affirm our shareholders’ support for the Bank’s approach to executive compensation, and therefore did not change its approach in 2017. The Compensation Committee will continue working to ensure that the design of the Bank’s executive officers’ compensation program is focused on long-term shareholder value creation and emphasizes pay for performance.</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and Risk</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reviews and monitors the extent to which compensation practices and programs for senior executives and employees whose activities, individually or as a group, may create incentives for excessive risk taking.</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In light of the actions referred to above, the Bank and the Board have not identified any risks arising from the Bank’s compensation policies and practices that are reasonably likely to have a material adverse effect on the Bank. Furthermore, certain aspects of the Bank’s executive compensation programs, such as the combination of performance-based short-term cash bonuses and performance-based long-term equity awards, reduce the likelihood of excessive risk-taking, and instead create incentives for senior executives to work for long-term growth of the Bank.</w:t>
      </w:r>
    </w:p>
    <w:p>
      <w:pPr>
        <w:spacing w:after="0" w:line="16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Board of Directors Compensation</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Each non-employee director of the Bank receives an annual cash retainer of $85,000 for his or her services as a director and the Chairman of the Board receives an annual cash retainer in the amount of $135,000.</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87" w:name="page88"/>
    <w:bookmarkEnd w:id="87"/>
    <w:p>
      <w:pPr>
        <w:jc w:val="both"/>
        <w:spacing w:after="0" w:line="312" w:lineRule="auto"/>
        <w:rPr>
          <w:sz w:val="20"/>
          <w:szCs w:val="20"/>
          <w:color w:val="auto"/>
        </w:rPr>
      </w:pPr>
      <w:r>
        <w:rPr>
          <w:rFonts w:ascii="Arial" w:cs="Arial" w:eastAsia="Arial" w:hAnsi="Arial"/>
          <w:sz w:val="16"/>
          <w:szCs w:val="16"/>
          <w:color w:val="auto"/>
        </w:rPr>
        <w:t>The Chairman of the Audit and Compliance Committee (the “Audit Committee”) receives an additional annual retainer of $8,500 and the Chairmen of each of the Compensation Committee, Risk Policy and Assessment Committee, Finance and Business Committee and Supervision and Compliance Committee receives an additional annual retainer of $5,000. The non-Chairman members of the Audit Committee receive an additional annual retainer of $3,000.</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aggregate amount of cash compensation paid by the Bank during the year ended December 31, 2017 to the directors of the Bank as a group for their services as directors was $883,875.</w:t>
      </w:r>
    </w:p>
    <w:p>
      <w:pPr>
        <w:spacing w:after="0" w:line="170"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As approved by the Board of Directors on December 9, 2014, each non-employee director of the Bank receives an annual equity compensation of 6,000 restricted shares and the Chairman of the Board receives an annual equity compensation of 9,000 restricted shares, granted once a year under the 2015 Plan.</w:t>
      </w:r>
    </w:p>
    <w:p>
      <w:pPr>
        <w:spacing w:after="0" w:line="124"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During the fiscal year ended December 31, 2017, the aggregate number of restricted shares awarded to non-employee directors of the Bank as a group under the 2015 Plan was 57,000 Class E shares. These restricted shares vest 35% on each of the first and second anniversaries of the award date, and 30% on the third anniversary of the award date. As of December 31, 2017, the total cost for these restricted shares amounted to $1,584,600, of which $788,214 was registered during 2017, and the remaining compensation cost of $796,386 for these restricted shares will be charged against income over a period of 2.3 years.</w:t>
      </w:r>
    </w:p>
    <w:p>
      <w:pPr>
        <w:spacing w:after="0" w:line="15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Beneficial Ownership</w:t>
      </w:r>
    </w:p>
    <w:p>
      <w:pPr>
        <w:spacing w:after="0" w:line="229"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As of December 31, 2017, the Bank’s executive officers and directors, as a group, beneficially owned an aggregate of 484,056 Class E shares, representing approximately 1.58% (based on 30,677,840 Class E shares outstanding as of December 31, 2017) of all issued and outstanding Class E shares as of such date. “Beneficial ownership”, as the term is used in this section, means the sole or shared power to vote or direct the voting or to dispose or direct the disposition of any security. A person is deemed to be the beneficial owner of securities that can be acquired within 60 days from December 31, 2017 through the exercise of any option or through the vesting of any restricted stock or restricted stock units. Ordinary shares subject to options that are currently exercisable or exercisable within 60 days, or that constitute restricted stock or restricted stock units that will vest within 60 days, are deemed outstanding for computing the beneficial ownership percentage of the person holding such options, restricted stock or restricted stock units, but are not deemed outstanding for computing the ownership percentage of any other person.</w:t>
      </w:r>
    </w:p>
    <w:p>
      <w:pPr>
        <w:spacing w:after="0" w:line="17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following table sets forth information regarding beneficial ownership of the Bank’s Class E shares, including stock options and restricted stock units and holdings of unvested stock options and unvested restricted stock units by the Bank’s executive officers eligible to receive restricted stock units as of December 31, 2017. Except where noted, all holders listed below have sole voting power and investment power over the shares beneficially owned by them. Unless otherwise noted, the address of each person listed below is c/o Torre V, Business Park, Avenida La Rotonda, Urb. Costa del Este, Panama, Republic of Panama.</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Number of</w:t>
            </w: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1"/>
        </w:trPr>
        <w:tc>
          <w:tcPr>
            <w:tcW w:w="34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3"/>
              </w:rPr>
              <w:t>Number of</w:t>
            </w:r>
          </w:p>
        </w:tc>
        <w:tc>
          <w:tcPr>
            <w:tcW w:w="15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Shares that may</w:t>
            </w:r>
          </w:p>
        </w:tc>
        <w:tc>
          <w:tcPr>
            <w:tcW w:w="11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Total</w:t>
            </w:r>
          </w:p>
        </w:tc>
        <w:tc>
          <w:tcPr>
            <w:tcW w:w="9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6"/>
        </w:trPr>
        <w:tc>
          <w:tcPr>
            <w:tcW w:w="3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Shares</w:t>
            </w:r>
          </w:p>
        </w:tc>
        <w:tc>
          <w:tcPr>
            <w:tcW w:w="120" w:type="dxa"/>
            <w:vAlign w:val="bottom"/>
          </w:tcPr>
          <w:p>
            <w:pPr>
              <w:spacing w:after="0"/>
              <w:rPr>
                <w:sz w:val="18"/>
                <w:szCs w:val="18"/>
                <w:color w:val="auto"/>
              </w:rPr>
            </w:pPr>
          </w:p>
        </w:tc>
        <w:tc>
          <w:tcPr>
            <w:tcW w:w="14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be acquired</w:t>
            </w:r>
          </w:p>
        </w:tc>
        <w:tc>
          <w:tcPr>
            <w:tcW w:w="11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Number of</w:t>
            </w:r>
          </w:p>
        </w:tc>
        <w:tc>
          <w:tcPr>
            <w:tcW w:w="1200" w:type="dxa"/>
            <w:vAlign w:val="bottom"/>
            <w:gridSpan w:val="2"/>
          </w:tcPr>
          <w:p>
            <w:pPr>
              <w:jc w:val="center"/>
              <w:ind w:right="130"/>
              <w:spacing w:after="0"/>
              <w:rPr>
                <w:sz w:val="20"/>
                <w:szCs w:val="20"/>
                <w:color w:val="auto"/>
              </w:rPr>
            </w:pPr>
            <w:r>
              <w:rPr>
                <w:rFonts w:ascii="Arial" w:cs="Arial" w:eastAsia="Arial" w:hAnsi="Arial"/>
                <w:sz w:val="18"/>
                <w:szCs w:val="18"/>
                <w:b w:val="1"/>
                <w:bCs w:val="1"/>
                <w:color w:val="auto"/>
                <w:w w:val="88"/>
              </w:rPr>
              <w:t>Percent of</w:t>
            </w: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Owned as of</w:t>
            </w:r>
          </w:p>
        </w:tc>
        <w:tc>
          <w:tcPr>
            <w:tcW w:w="120" w:type="dxa"/>
            <w:vAlign w:val="bottom"/>
          </w:tcPr>
          <w:p>
            <w:pPr>
              <w:spacing w:after="0"/>
              <w:rPr>
                <w:sz w:val="18"/>
                <w:szCs w:val="18"/>
                <w:color w:val="auto"/>
              </w:rPr>
            </w:pPr>
          </w:p>
        </w:tc>
        <w:tc>
          <w:tcPr>
            <w:tcW w:w="14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within 60 days</w:t>
            </w:r>
          </w:p>
        </w:tc>
        <w:tc>
          <w:tcPr>
            <w:tcW w:w="11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Shares</w:t>
            </w:r>
          </w:p>
        </w:tc>
        <w:tc>
          <w:tcPr>
            <w:tcW w:w="1200" w:type="dxa"/>
            <w:vAlign w:val="bottom"/>
            <w:gridSpan w:val="2"/>
          </w:tcPr>
          <w:p>
            <w:pPr>
              <w:jc w:val="center"/>
              <w:ind w:right="130"/>
              <w:spacing w:after="0"/>
              <w:rPr>
                <w:sz w:val="20"/>
                <w:szCs w:val="20"/>
                <w:color w:val="auto"/>
              </w:rPr>
            </w:pPr>
            <w:r>
              <w:rPr>
                <w:rFonts w:ascii="Arial" w:cs="Arial" w:eastAsia="Arial" w:hAnsi="Arial"/>
                <w:sz w:val="18"/>
                <w:szCs w:val="18"/>
                <w:b w:val="1"/>
                <w:bCs w:val="1"/>
                <w:color w:val="auto"/>
                <w:w w:val="87"/>
              </w:rPr>
              <w:t>Class</w:t>
            </w: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Dec. 31,</w:t>
            </w:r>
          </w:p>
        </w:tc>
        <w:tc>
          <w:tcPr>
            <w:tcW w:w="120" w:type="dxa"/>
            <w:vAlign w:val="bottom"/>
          </w:tcPr>
          <w:p>
            <w:pPr>
              <w:spacing w:after="0"/>
              <w:rPr>
                <w:sz w:val="18"/>
                <w:szCs w:val="18"/>
                <w:color w:val="auto"/>
              </w:rPr>
            </w:pPr>
          </w:p>
        </w:tc>
        <w:tc>
          <w:tcPr>
            <w:tcW w:w="14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as of Dec. 31,</w:t>
            </w:r>
          </w:p>
        </w:tc>
        <w:tc>
          <w:tcPr>
            <w:tcW w:w="11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Beneficially</w:t>
            </w:r>
          </w:p>
        </w:tc>
        <w:tc>
          <w:tcPr>
            <w:tcW w:w="1200" w:type="dxa"/>
            <w:vAlign w:val="bottom"/>
            <w:gridSpan w:val="2"/>
          </w:tcPr>
          <w:p>
            <w:pPr>
              <w:jc w:val="center"/>
              <w:ind w:right="130"/>
              <w:spacing w:after="0"/>
              <w:rPr>
                <w:sz w:val="20"/>
                <w:szCs w:val="20"/>
                <w:color w:val="auto"/>
              </w:rPr>
            </w:pPr>
            <w:r>
              <w:rPr>
                <w:rFonts w:ascii="Arial" w:cs="Arial" w:eastAsia="Arial" w:hAnsi="Arial"/>
                <w:sz w:val="18"/>
                <w:szCs w:val="18"/>
                <w:b w:val="1"/>
                <w:bCs w:val="1"/>
                <w:color w:val="auto"/>
                <w:w w:val="89"/>
              </w:rPr>
              <w:t>Beneficially</w:t>
            </w:r>
          </w:p>
        </w:tc>
        <w:tc>
          <w:tcPr>
            <w:tcW w:w="11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Stock</w:t>
            </w:r>
          </w:p>
        </w:tc>
        <w:tc>
          <w:tcPr>
            <w:tcW w:w="1080" w:type="dxa"/>
            <w:vAlign w:val="bottom"/>
            <w:gridSpan w:val="2"/>
          </w:tcPr>
          <w:p>
            <w:pPr>
              <w:ind w:left="100"/>
              <w:spacing w:after="0"/>
              <w:rPr>
                <w:sz w:val="20"/>
                <w:szCs w:val="20"/>
                <w:color w:val="auto"/>
              </w:rPr>
            </w:pPr>
            <w:r>
              <w:rPr>
                <w:rFonts w:ascii="Arial" w:cs="Arial" w:eastAsia="Arial" w:hAnsi="Arial"/>
                <w:sz w:val="18"/>
                <w:szCs w:val="18"/>
                <w:b w:val="1"/>
                <w:bCs w:val="1"/>
                <w:color w:val="auto"/>
              </w:rPr>
              <w:t>Restricted</w:t>
            </w:r>
          </w:p>
        </w:tc>
      </w:tr>
      <w:tr>
        <w:trPr>
          <w:trHeight w:val="270"/>
        </w:trPr>
        <w:tc>
          <w:tcPr>
            <w:tcW w:w="3540" w:type="dxa"/>
            <w:vAlign w:val="bottom"/>
            <w:gridSpan w:val="2"/>
          </w:tcPr>
          <w:p>
            <w:pPr>
              <w:ind w:left="1500"/>
              <w:spacing w:after="0"/>
              <w:rPr>
                <w:sz w:val="20"/>
                <w:szCs w:val="20"/>
                <w:color w:val="auto"/>
              </w:rPr>
            </w:pPr>
            <w:r>
              <w:rPr>
                <w:rFonts w:ascii="Arial" w:cs="Arial" w:eastAsia="Arial" w:hAnsi="Arial"/>
                <w:sz w:val="18"/>
                <w:szCs w:val="18"/>
                <w:b w:val="1"/>
                <w:bCs w:val="1"/>
                <w:color w:val="auto"/>
              </w:rPr>
              <w:t>Name</w:t>
            </w:r>
          </w:p>
        </w:tc>
        <w:tc>
          <w:tcPr>
            <w:tcW w:w="980" w:type="dxa"/>
            <w:vAlign w:val="bottom"/>
          </w:tcPr>
          <w:p>
            <w:pPr>
              <w:jc w:val="center"/>
              <w:spacing w:after="0" w:line="269" w:lineRule="exact"/>
              <w:rPr>
                <w:sz w:val="20"/>
                <w:szCs w:val="20"/>
                <w:color w:val="auto"/>
              </w:rPr>
            </w:pPr>
            <w:r>
              <w:rPr>
                <w:rFonts w:ascii="Arial" w:cs="Arial" w:eastAsia="Arial" w:hAnsi="Arial"/>
                <w:sz w:val="18"/>
                <w:szCs w:val="18"/>
                <w:b w:val="1"/>
                <w:bCs w:val="1"/>
                <w:color w:val="auto"/>
                <w:w w:val="83"/>
              </w:rPr>
              <w:t xml:space="preserve">2017 </w:t>
            </w:r>
            <w:r>
              <w:rPr>
                <w:rFonts w:ascii="Arial" w:cs="Arial" w:eastAsia="Arial" w:hAnsi="Arial"/>
                <w:sz w:val="30"/>
                <w:szCs w:val="30"/>
                <w:b w:val="1"/>
                <w:bCs w:val="1"/>
                <w:color w:val="auto"/>
                <w:w w:val="83"/>
                <w:vertAlign w:val="superscript"/>
              </w:rPr>
              <w:t>(1)</w:t>
            </w:r>
          </w:p>
        </w:tc>
        <w:tc>
          <w:tcPr>
            <w:tcW w:w="100" w:type="dxa"/>
            <w:vAlign w:val="bottom"/>
          </w:tcPr>
          <w:p>
            <w:pPr>
              <w:spacing w:after="0"/>
              <w:rPr>
                <w:sz w:val="23"/>
                <w:szCs w:val="23"/>
                <w:color w:val="auto"/>
              </w:rPr>
            </w:pPr>
          </w:p>
        </w:tc>
        <w:tc>
          <w:tcPr>
            <w:tcW w:w="1360" w:type="dxa"/>
            <w:vAlign w:val="bottom"/>
            <w:gridSpan w:val="2"/>
          </w:tcPr>
          <w:p>
            <w:pPr>
              <w:jc w:val="center"/>
              <w:ind w:left="10"/>
              <w:spacing w:after="0" w:line="269" w:lineRule="exact"/>
              <w:rPr>
                <w:sz w:val="20"/>
                <w:szCs w:val="20"/>
                <w:color w:val="auto"/>
              </w:rPr>
            </w:pPr>
            <w:r>
              <w:rPr>
                <w:rFonts w:ascii="Arial" w:cs="Arial" w:eastAsia="Arial" w:hAnsi="Arial"/>
                <w:sz w:val="18"/>
                <w:szCs w:val="18"/>
                <w:b w:val="1"/>
                <w:bCs w:val="1"/>
                <w:color w:val="auto"/>
                <w:w w:val="83"/>
              </w:rPr>
              <w:t xml:space="preserve">2017 </w:t>
            </w:r>
            <w:r>
              <w:rPr>
                <w:rFonts w:ascii="Arial" w:cs="Arial" w:eastAsia="Arial" w:hAnsi="Arial"/>
                <w:sz w:val="30"/>
                <w:szCs w:val="30"/>
                <w:b w:val="1"/>
                <w:bCs w:val="1"/>
                <w:color w:val="auto"/>
                <w:w w:val="83"/>
                <w:vertAlign w:val="superscript"/>
              </w:rPr>
              <w:t>(2)</w:t>
            </w:r>
          </w:p>
        </w:tc>
        <w:tc>
          <w:tcPr>
            <w:tcW w:w="220" w:type="dxa"/>
            <w:vAlign w:val="bottom"/>
          </w:tcPr>
          <w:p>
            <w:pPr>
              <w:spacing w:after="0"/>
              <w:rPr>
                <w:sz w:val="23"/>
                <w:szCs w:val="23"/>
                <w:color w:val="auto"/>
              </w:rPr>
            </w:pPr>
          </w:p>
        </w:tc>
        <w:tc>
          <w:tcPr>
            <w:tcW w:w="11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Owned</w:t>
            </w:r>
          </w:p>
        </w:tc>
        <w:tc>
          <w:tcPr>
            <w:tcW w:w="1200" w:type="dxa"/>
            <w:vAlign w:val="bottom"/>
            <w:gridSpan w:val="2"/>
          </w:tcPr>
          <w:p>
            <w:pPr>
              <w:jc w:val="center"/>
              <w:ind w:right="130"/>
              <w:spacing w:after="0"/>
              <w:rPr>
                <w:sz w:val="20"/>
                <w:szCs w:val="20"/>
                <w:color w:val="auto"/>
              </w:rPr>
            </w:pPr>
            <w:r>
              <w:rPr>
                <w:rFonts w:ascii="Arial" w:cs="Arial" w:eastAsia="Arial" w:hAnsi="Arial"/>
                <w:sz w:val="18"/>
                <w:szCs w:val="18"/>
                <w:b w:val="1"/>
                <w:bCs w:val="1"/>
                <w:color w:val="auto"/>
                <w:w w:val="89"/>
              </w:rPr>
              <w:t>Owned</w:t>
            </w:r>
          </w:p>
        </w:tc>
        <w:tc>
          <w:tcPr>
            <w:tcW w:w="1180" w:type="dxa"/>
            <w:vAlign w:val="bottom"/>
            <w:gridSpan w:val="2"/>
          </w:tcPr>
          <w:p>
            <w:pPr>
              <w:jc w:val="right"/>
              <w:ind w:right="280"/>
              <w:spacing w:after="0" w:line="269" w:lineRule="exact"/>
              <w:rPr>
                <w:sz w:val="20"/>
                <w:szCs w:val="20"/>
                <w:color w:val="auto"/>
              </w:rPr>
            </w:pPr>
            <w:r>
              <w:rPr>
                <w:rFonts w:ascii="Arial" w:cs="Arial" w:eastAsia="Arial" w:hAnsi="Arial"/>
                <w:sz w:val="18"/>
                <w:szCs w:val="18"/>
                <w:b w:val="1"/>
                <w:bCs w:val="1"/>
                <w:color w:val="auto"/>
                <w:w w:val="90"/>
              </w:rPr>
              <w:t xml:space="preserve">Options </w:t>
            </w:r>
            <w:r>
              <w:rPr>
                <w:rFonts w:ascii="Arial" w:cs="Arial" w:eastAsia="Arial" w:hAnsi="Arial"/>
                <w:sz w:val="30"/>
                <w:szCs w:val="30"/>
                <w:b w:val="1"/>
                <w:bCs w:val="1"/>
                <w:color w:val="auto"/>
                <w:w w:val="90"/>
                <w:vertAlign w:val="superscript"/>
              </w:rPr>
              <w:t>(3)</w:t>
            </w:r>
          </w:p>
        </w:tc>
        <w:tc>
          <w:tcPr>
            <w:tcW w:w="1080" w:type="dxa"/>
            <w:vAlign w:val="bottom"/>
            <w:gridSpan w:val="2"/>
          </w:tcPr>
          <w:p>
            <w:pPr>
              <w:ind w:left="120"/>
              <w:spacing w:after="0" w:line="269" w:lineRule="exact"/>
              <w:rPr>
                <w:sz w:val="20"/>
                <w:szCs w:val="20"/>
                <w:color w:val="auto"/>
              </w:rPr>
            </w:pPr>
            <w:r>
              <w:rPr>
                <w:rFonts w:ascii="Arial" w:cs="Arial" w:eastAsia="Arial" w:hAnsi="Arial"/>
                <w:sz w:val="18"/>
                <w:szCs w:val="18"/>
                <w:b w:val="1"/>
                <w:bCs w:val="1"/>
                <w:color w:val="auto"/>
              </w:rPr>
              <w:t xml:space="preserve">Shares </w:t>
            </w:r>
            <w:r>
              <w:rPr>
                <w:rFonts w:ascii="Arial" w:cs="Arial" w:eastAsia="Arial" w:hAnsi="Arial"/>
                <w:sz w:val="30"/>
                <w:szCs w:val="30"/>
                <w:b w:val="1"/>
                <w:bCs w:val="1"/>
                <w:color w:val="auto"/>
                <w:vertAlign w:val="superscript"/>
              </w:rPr>
              <w:t>(4)</w:t>
            </w:r>
          </w:p>
        </w:tc>
      </w:tr>
      <w:tr>
        <w:trPr>
          <w:trHeight w:val="210"/>
        </w:trPr>
        <w:tc>
          <w:tcPr>
            <w:tcW w:w="34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Rubens V. Amaral Jr.</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100,000</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210,230</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310,230</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jc w:val="right"/>
              <w:ind w:right="50"/>
              <w:spacing w:after="0"/>
              <w:rPr>
                <w:sz w:val="20"/>
                <w:szCs w:val="20"/>
                <w:color w:val="auto"/>
              </w:rPr>
            </w:pPr>
            <w:r>
              <w:rPr>
                <w:rFonts w:ascii="Arial" w:cs="Arial" w:eastAsia="Arial" w:hAnsi="Arial"/>
                <w:sz w:val="18"/>
                <w:szCs w:val="18"/>
                <w:color w:val="auto"/>
                <w:w w:val="84"/>
              </w:rPr>
              <w:t>*</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38,854</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34,424</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3540" w:type="dxa"/>
            <w:vAlign w:val="bottom"/>
            <w:gridSpan w:val="2"/>
          </w:tcPr>
          <w:p>
            <w:pPr>
              <w:spacing w:after="0"/>
              <w:rPr>
                <w:sz w:val="20"/>
                <w:szCs w:val="20"/>
                <w:color w:val="auto"/>
              </w:rPr>
            </w:pPr>
            <w:r>
              <w:rPr>
                <w:rFonts w:ascii="Arial" w:cs="Arial" w:eastAsia="Arial" w:hAnsi="Arial"/>
                <w:sz w:val="18"/>
                <w:szCs w:val="18"/>
                <w:color w:val="auto"/>
              </w:rPr>
              <w:t>Alejandro Tizzoni</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1,993</w:t>
            </w:r>
          </w:p>
        </w:tc>
        <w:tc>
          <w:tcPr>
            <w:tcW w:w="1580" w:type="dxa"/>
            <w:vAlign w:val="bottom"/>
            <w:gridSpan w:val="3"/>
          </w:tcPr>
          <w:p>
            <w:pPr>
              <w:jc w:val="right"/>
              <w:ind w:right="220"/>
              <w:spacing w:after="0"/>
              <w:rPr>
                <w:sz w:val="20"/>
                <w:szCs w:val="20"/>
                <w:color w:val="auto"/>
              </w:rPr>
            </w:pPr>
            <w:r>
              <w:rPr>
                <w:rFonts w:ascii="Arial" w:cs="Arial" w:eastAsia="Arial" w:hAnsi="Arial"/>
                <w:sz w:val="18"/>
                <w:szCs w:val="18"/>
                <w:color w:val="auto"/>
              </w:rPr>
              <w:t>0</w:t>
            </w:r>
          </w:p>
        </w:tc>
        <w:tc>
          <w:tcPr>
            <w:tcW w:w="960" w:type="dxa"/>
            <w:vAlign w:val="bottom"/>
          </w:tcPr>
          <w:p>
            <w:pPr>
              <w:jc w:val="right"/>
              <w:spacing w:after="0"/>
              <w:rPr>
                <w:sz w:val="20"/>
                <w:szCs w:val="20"/>
                <w:color w:val="auto"/>
              </w:rPr>
            </w:pPr>
            <w:r>
              <w:rPr>
                <w:rFonts w:ascii="Arial" w:cs="Arial" w:eastAsia="Arial" w:hAnsi="Arial"/>
                <w:sz w:val="18"/>
                <w:szCs w:val="18"/>
                <w:color w:val="auto"/>
              </w:rPr>
              <w:t>1,993</w:t>
            </w:r>
          </w:p>
        </w:tc>
        <w:tc>
          <w:tcPr>
            <w:tcW w:w="220" w:type="dxa"/>
            <w:vAlign w:val="bottom"/>
          </w:tcPr>
          <w:p>
            <w:pPr>
              <w:spacing w:after="0"/>
              <w:rPr>
                <w:sz w:val="19"/>
                <w:szCs w:val="19"/>
                <w:color w:val="auto"/>
              </w:rPr>
            </w:pPr>
          </w:p>
        </w:tc>
        <w:tc>
          <w:tcPr>
            <w:tcW w:w="12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2,625</w:t>
            </w:r>
          </w:p>
        </w:tc>
      </w:tr>
      <w:tr>
        <w:trPr>
          <w:trHeight w:val="223"/>
        </w:trPr>
        <w:tc>
          <w:tcPr>
            <w:tcW w:w="3540" w:type="dxa"/>
            <w:vAlign w:val="bottom"/>
            <w:tcBorders>
              <w:top w:val="single" w:sz="8" w:color="CCEEFF"/>
              <w:bottom w:val="single" w:sz="8" w:color="CCEEFF"/>
            </w:tcBorders>
            <w:gridSpan w:val="2"/>
            <w:shd w:val="clear" w:color="auto" w:fill="CCEEFF"/>
          </w:tcPr>
          <w:p>
            <w:pPr>
              <w:ind w:left="3040"/>
              <w:spacing w:after="0"/>
              <w:rPr>
                <w:sz w:val="20"/>
                <w:szCs w:val="20"/>
                <w:color w:val="auto"/>
              </w:rPr>
            </w:pPr>
            <w:r>
              <w:rPr>
                <w:rFonts w:ascii="Arial" w:cs="Arial" w:eastAsia="Arial" w:hAnsi="Arial"/>
                <w:sz w:val="18"/>
                <w:szCs w:val="18"/>
                <w:b w:val="1"/>
                <w:bCs w:val="1"/>
                <w:color w:val="auto"/>
              </w:rPr>
              <w:t>Total</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101,993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210,230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312,223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38,854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37,049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tabs>
          <w:tab w:leader="none" w:pos="240" w:val="left"/>
        </w:tabs>
        <w:rPr>
          <w:sz w:val="20"/>
          <w:szCs w:val="20"/>
          <w:color w:val="auto"/>
        </w:rPr>
      </w:pPr>
      <w:r>
        <w:rPr>
          <w:rFonts w:ascii="Arial" w:cs="Arial" w:eastAsia="Arial" w:hAnsi="Arial"/>
          <w:sz w:val="18"/>
          <w:szCs w:val="18"/>
          <w:color w:val="auto"/>
        </w:rPr>
        <w:t>*</w:t>
      </w:r>
      <w:r>
        <w:rPr>
          <w:sz w:val="20"/>
          <w:szCs w:val="20"/>
          <w:color w:val="auto"/>
        </w:rPr>
        <w:tab/>
      </w:r>
      <w:r>
        <w:rPr>
          <w:rFonts w:ascii="Arial" w:cs="Arial" w:eastAsia="Arial" w:hAnsi="Arial"/>
          <w:sz w:val="15"/>
          <w:szCs w:val="15"/>
          <w:color w:val="auto"/>
        </w:rPr>
        <w:t>Less than one percent of the outstanding class E shares.</w:t>
      </w:r>
    </w:p>
    <w:p>
      <w:pPr>
        <w:ind w:left="260" w:hanging="252"/>
        <w:spacing w:after="0" w:line="185" w:lineRule="auto"/>
        <w:tabs>
          <w:tab w:leader="none" w:pos="260" w:val="left"/>
        </w:tabs>
        <w:numPr>
          <w:ilvl w:val="0"/>
          <w:numId w:val="56"/>
        </w:numPr>
        <w:rPr>
          <w:rFonts w:ascii="Arial" w:cs="Arial" w:eastAsia="Arial" w:hAnsi="Arial"/>
          <w:sz w:val="27"/>
          <w:szCs w:val="27"/>
          <w:color w:val="auto"/>
          <w:vertAlign w:val="superscript"/>
        </w:rPr>
      </w:pPr>
      <w:r>
        <w:rPr>
          <w:rFonts w:ascii="Arial" w:cs="Arial" w:eastAsia="Arial" w:hAnsi="Arial"/>
          <w:sz w:val="17"/>
          <w:szCs w:val="17"/>
          <w:color w:val="auto"/>
        </w:rPr>
        <w:t>Includes shares purchased by the executive and restricted stock units vested and transferred to the executive as of such date.</w:t>
      </w:r>
    </w:p>
    <w:p>
      <w:pPr>
        <w:spacing w:after="0" w:line="1" w:lineRule="exact"/>
        <w:rPr>
          <w:rFonts w:ascii="Arial" w:cs="Arial" w:eastAsia="Arial" w:hAnsi="Arial"/>
          <w:sz w:val="27"/>
          <w:szCs w:val="27"/>
          <w:color w:val="auto"/>
          <w:vertAlign w:val="superscript"/>
        </w:rPr>
      </w:pPr>
    </w:p>
    <w:p>
      <w:pPr>
        <w:ind w:left="260" w:hanging="252"/>
        <w:spacing w:after="0" w:line="186" w:lineRule="auto"/>
        <w:tabs>
          <w:tab w:leader="none" w:pos="260" w:val="left"/>
        </w:tabs>
        <w:numPr>
          <w:ilvl w:val="0"/>
          <w:numId w:val="56"/>
        </w:numPr>
        <w:rPr>
          <w:rFonts w:ascii="Arial" w:cs="Arial" w:eastAsia="Arial" w:hAnsi="Arial"/>
          <w:sz w:val="24"/>
          <w:szCs w:val="24"/>
          <w:color w:val="auto"/>
          <w:vertAlign w:val="superscript"/>
        </w:rPr>
      </w:pPr>
      <w:r>
        <w:rPr>
          <w:rFonts w:ascii="Arial" w:cs="Arial" w:eastAsia="Arial" w:hAnsi="Arial"/>
          <w:sz w:val="15"/>
          <w:szCs w:val="15"/>
          <w:color w:val="auto"/>
        </w:rPr>
        <w:t>Includes vested traditional stock options, as well as options and restricted stock units that will vest within 60 days of December 31, 2017.</w:t>
      </w:r>
    </w:p>
    <w:p>
      <w:pPr>
        <w:spacing w:after="0" w:line="200" w:lineRule="exact"/>
        <w:rPr>
          <w:sz w:val="20"/>
          <w:szCs w:val="20"/>
          <w:color w:val="auto"/>
        </w:rPr>
      </w:pPr>
    </w:p>
    <w:p>
      <w:pPr>
        <w:spacing w:after="0" w:line="20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88" w:name="page89"/>
    <w:bookmarkEnd w:id="88"/>
    <w:p>
      <w:pPr>
        <w:ind w:left="260" w:right="160" w:hanging="252"/>
        <w:spacing w:after="0" w:line="238" w:lineRule="auto"/>
        <w:tabs>
          <w:tab w:leader="none" w:pos="260" w:val="left"/>
        </w:tabs>
        <w:numPr>
          <w:ilvl w:val="0"/>
          <w:numId w:val="57"/>
        </w:numPr>
        <w:rPr>
          <w:rFonts w:ascii="Arial" w:cs="Arial" w:eastAsia="Arial" w:hAnsi="Arial"/>
          <w:sz w:val="26"/>
          <w:szCs w:val="26"/>
          <w:color w:val="auto"/>
          <w:vertAlign w:val="superscript"/>
        </w:rPr>
      </w:pPr>
      <w:r>
        <w:rPr>
          <w:rFonts w:ascii="Arial" w:cs="Arial" w:eastAsia="Arial" w:hAnsi="Arial"/>
          <w:sz w:val="16"/>
          <w:szCs w:val="16"/>
          <w:color w:val="auto"/>
        </w:rPr>
        <w:t>Includes 38,854 stock options granted to executive officers on February 10, 2015 under the 2008 Plan. The exercise price and expiration date of these stock options are as follows: exercise price of $29.25 and expiration date of February 10, 2022. Any unvested portion of the grants referenced above that will not vest within 60 days of December 31, 2017 is not deemed to be beneficially owned by the individuals listed in the table.</w:t>
      </w:r>
    </w:p>
    <w:p>
      <w:pPr>
        <w:spacing w:after="0" w:line="1" w:lineRule="exact"/>
        <w:rPr>
          <w:rFonts w:ascii="Arial" w:cs="Arial" w:eastAsia="Arial" w:hAnsi="Arial"/>
          <w:sz w:val="26"/>
          <w:szCs w:val="26"/>
          <w:color w:val="auto"/>
          <w:vertAlign w:val="superscript"/>
        </w:rPr>
      </w:pPr>
    </w:p>
    <w:p>
      <w:pPr>
        <w:ind w:left="260" w:right="100" w:hanging="252"/>
        <w:spacing w:after="0" w:line="221" w:lineRule="auto"/>
        <w:tabs>
          <w:tab w:leader="none" w:pos="260" w:val="left"/>
        </w:tabs>
        <w:numPr>
          <w:ilvl w:val="0"/>
          <w:numId w:val="57"/>
        </w:numPr>
        <w:rPr>
          <w:rFonts w:ascii="Arial" w:cs="Arial" w:eastAsia="Arial" w:hAnsi="Arial"/>
          <w:sz w:val="30"/>
          <w:szCs w:val="30"/>
          <w:color w:val="auto"/>
          <w:vertAlign w:val="superscript"/>
        </w:rPr>
      </w:pPr>
      <w:r>
        <w:rPr>
          <w:rFonts w:ascii="Arial" w:cs="Arial" w:eastAsia="Arial" w:hAnsi="Arial"/>
          <w:sz w:val="18"/>
          <w:szCs w:val="18"/>
          <w:color w:val="auto"/>
        </w:rPr>
        <w:t>Includes 14,298, 17,251 and 5,500 unvested restricted stock units granted to executive officers on February 14, 2017 and February 16, 2016 under the 2015 Plan, and February 10, 2015 under the 2008 Plan, respectively. These restricted stock units vest 25% each year on the relevant grant date’s anniversary, except for the 2017 grant. The 2017 grant vested 25% on June 14, 2017, and will vest 25% on each anniversary of the first vesting date. Any unvested portion of the grants referenced above that will not vest within 60 days of December 31, 2017 is not deemed to be beneficially owned by the individuals listed in the table.</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sets forth information regarding beneficial ownership of the Bank’s Class E shares, including restricted shares and stock options and holdings of unvested restricted shares and unvested stock options by members of the Bank’s Board, as of December 31, 2017:</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21"/>
        </w:trPr>
        <w:tc>
          <w:tcPr>
            <w:tcW w:w="4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Number of</w:t>
            </w:r>
          </w:p>
        </w:tc>
        <w:tc>
          <w:tcPr>
            <w:tcW w:w="11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Total</w:t>
            </w:r>
          </w:p>
        </w:tc>
        <w:tc>
          <w:tcPr>
            <w:tcW w:w="9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6"/>
        </w:trPr>
        <w:tc>
          <w:tcPr>
            <w:tcW w:w="4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Number of</w:t>
            </w:r>
          </w:p>
        </w:tc>
        <w:tc>
          <w:tcPr>
            <w:tcW w:w="16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Shares that may</w:t>
            </w:r>
          </w:p>
        </w:tc>
        <w:tc>
          <w:tcPr>
            <w:tcW w:w="11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Number of</w:t>
            </w:r>
          </w:p>
        </w:tc>
        <w:tc>
          <w:tcPr>
            <w:tcW w:w="1200" w:type="dxa"/>
            <w:vAlign w:val="bottom"/>
            <w:gridSpan w:val="2"/>
          </w:tcPr>
          <w:p>
            <w:pPr>
              <w:jc w:val="center"/>
              <w:ind w:right="130"/>
              <w:spacing w:after="0"/>
              <w:rPr>
                <w:sz w:val="20"/>
                <w:szCs w:val="20"/>
                <w:color w:val="auto"/>
              </w:rPr>
            </w:pPr>
            <w:r>
              <w:rPr>
                <w:rFonts w:ascii="Arial" w:cs="Arial" w:eastAsia="Arial" w:hAnsi="Arial"/>
                <w:sz w:val="18"/>
                <w:szCs w:val="18"/>
                <w:b w:val="1"/>
                <w:bCs w:val="1"/>
                <w:color w:val="auto"/>
                <w:w w:val="88"/>
              </w:rPr>
              <w:t>Percent of</w:t>
            </w:r>
          </w:p>
        </w:tc>
        <w:tc>
          <w:tcPr>
            <w:tcW w:w="9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380" w:type="dxa"/>
            <w:vAlign w:val="bottom"/>
          </w:tcPr>
          <w:p>
            <w:pPr>
              <w:spacing w:after="0"/>
              <w:rPr>
                <w:sz w:val="18"/>
                <w:szCs w:val="18"/>
                <w:color w:val="auto"/>
              </w:rPr>
            </w:pPr>
          </w:p>
        </w:tc>
        <w:tc>
          <w:tcPr>
            <w:tcW w:w="14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Shares Owned</w:t>
            </w:r>
          </w:p>
        </w:tc>
        <w:tc>
          <w:tcPr>
            <w:tcW w:w="16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be acquired</w:t>
            </w:r>
          </w:p>
        </w:tc>
        <w:tc>
          <w:tcPr>
            <w:tcW w:w="11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Shares</w:t>
            </w:r>
          </w:p>
        </w:tc>
        <w:tc>
          <w:tcPr>
            <w:tcW w:w="1200" w:type="dxa"/>
            <w:vAlign w:val="bottom"/>
            <w:gridSpan w:val="2"/>
          </w:tcPr>
          <w:p>
            <w:pPr>
              <w:jc w:val="center"/>
              <w:ind w:right="130"/>
              <w:spacing w:after="0"/>
              <w:rPr>
                <w:sz w:val="20"/>
                <w:szCs w:val="20"/>
                <w:color w:val="auto"/>
              </w:rPr>
            </w:pPr>
            <w:r>
              <w:rPr>
                <w:rFonts w:ascii="Arial" w:cs="Arial" w:eastAsia="Arial" w:hAnsi="Arial"/>
                <w:sz w:val="18"/>
                <w:szCs w:val="18"/>
                <w:b w:val="1"/>
                <w:bCs w:val="1"/>
                <w:color w:val="auto"/>
                <w:w w:val="87"/>
              </w:rPr>
              <w:t>Class</w:t>
            </w:r>
          </w:p>
        </w:tc>
        <w:tc>
          <w:tcPr>
            <w:tcW w:w="9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as of Dec. 31,</w:t>
            </w:r>
          </w:p>
        </w:tc>
        <w:tc>
          <w:tcPr>
            <w:tcW w:w="16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within 60 days as</w:t>
            </w:r>
          </w:p>
        </w:tc>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Beneficially</w:t>
            </w:r>
          </w:p>
        </w:tc>
        <w:tc>
          <w:tcPr>
            <w:tcW w:w="1200" w:type="dxa"/>
            <w:vAlign w:val="bottom"/>
            <w:gridSpan w:val="2"/>
          </w:tcPr>
          <w:p>
            <w:pPr>
              <w:jc w:val="center"/>
              <w:ind w:right="130"/>
              <w:spacing w:after="0"/>
              <w:rPr>
                <w:sz w:val="20"/>
                <w:szCs w:val="20"/>
                <w:color w:val="auto"/>
              </w:rPr>
            </w:pPr>
            <w:r>
              <w:rPr>
                <w:rFonts w:ascii="Arial" w:cs="Arial" w:eastAsia="Arial" w:hAnsi="Arial"/>
                <w:sz w:val="18"/>
                <w:szCs w:val="18"/>
                <w:b w:val="1"/>
                <w:bCs w:val="1"/>
                <w:color w:val="auto"/>
                <w:w w:val="89"/>
              </w:rPr>
              <w:t>Beneficially</w:t>
            </w:r>
          </w:p>
        </w:tc>
        <w:tc>
          <w:tcPr>
            <w:tcW w:w="106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8"/>
              </w:rPr>
              <w:t>Restricted</w:t>
            </w:r>
          </w:p>
        </w:tc>
      </w:tr>
      <w:tr>
        <w:trPr>
          <w:trHeight w:val="270"/>
        </w:trPr>
        <w:tc>
          <w:tcPr>
            <w:tcW w:w="4380" w:type="dxa"/>
            <w:vAlign w:val="bottom"/>
          </w:tcPr>
          <w:p>
            <w:pPr>
              <w:ind w:left="1960"/>
              <w:spacing w:after="0"/>
              <w:rPr>
                <w:sz w:val="20"/>
                <w:szCs w:val="20"/>
                <w:color w:val="auto"/>
              </w:rPr>
            </w:pPr>
            <w:r>
              <w:rPr>
                <w:rFonts w:ascii="Arial" w:cs="Arial" w:eastAsia="Arial" w:hAnsi="Arial"/>
                <w:sz w:val="18"/>
                <w:szCs w:val="18"/>
                <w:b w:val="1"/>
                <w:bCs w:val="1"/>
                <w:color w:val="auto"/>
              </w:rPr>
              <w:t>Name</w:t>
            </w:r>
          </w:p>
        </w:tc>
        <w:tc>
          <w:tcPr>
            <w:tcW w:w="1200" w:type="dxa"/>
            <w:vAlign w:val="bottom"/>
            <w:gridSpan w:val="2"/>
          </w:tcPr>
          <w:p>
            <w:pPr>
              <w:jc w:val="center"/>
              <w:ind w:left="10"/>
              <w:spacing w:after="0" w:line="269" w:lineRule="exact"/>
              <w:rPr>
                <w:sz w:val="20"/>
                <w:szCs w:val="20"/>
                <w:color w:val="auto"/>
              </w:rPr>
            </w:pPr>
            <w:r>
              <w:rPr>
                <w:rFonts w:ascii="Arial" w:cs="Arial" w:eastAsia="Arial" w:hAnsi="Arial"/>
                <w:sz w:val="18"/>
                <w:szCs w:val="18"/>
                <w:b w:val="1"/>
                <w:bCs w:val="1"/>
                <w:color w:val="auto"/>
                <w:w w:val="83"/>
              </w:rPr>
              <w:t>2017</w:t>
            </w:r>
            <w:r>
              <w:rPr>
                <w:rFonts w:ascii="Arial" w:cs="Arial" w:eastAsia="Arial" w:hAnsi="Arial"/>
                <w:sz w:val="30"/>
                <w:szCs w:val="30"/>
                <w:b w:val="1"/>
                <w:bCs w:val="1"/>
                <w:color w:val="auto"/>
                <w:w w:val="83"/>
                <w:vertAlign w:val="superscript"/>
              </w:rPr>
              <w:t>(1)</w:t>
            </w:r>
          </w:p>
        </w:tc>
        <w:tc>
          <w:tcPr>
            <w:tcW w:w="220" w:type="dxa"/>
            <w:vAlign w:val="bottom"/>
          </w:tcPr>
          <w:p>
            <w:pPr>
              <w:spacing w:after="0"/>
              <w:rPr>
                <w:sz w:val="23"/>
                <w:szCs w:val="23"/>
                <w:color w:val="auto"/>
              </w:rPr>
            </w:pPr>
          </w:p>
        </w:tc>
        <w:tc>
          <w:tcPr>
            <w:tcW w:w="1600" w:type="dxa"/>
            <w:vAlign w:val="bottom"/>
            <w:gridSpan w:val="2"/>
          </w:tcPr>
          <w:p>
            <w:pPr>
              <w:jc w:val="right"/>
              <w:ind w:right="220"/>
              <w:spacing w:after="0" w:line="269" w:lineRule="exact"/>
              <w:rPr>
                <w:sz w:val="20"/>
                <w:szCs w:val="20"/>
                <w:color w:val="auto"/>
              </w:rPr>
            </w:pPr>
            <w:r>
              <w:rPr>
                <w:rFonts w:ascii="Arial" w:cs="Arial" w:eastAsia="Arial" w:hAnsi="Arial"/>
                <w:sz w:val="18"/>
                <w:szCs w:val="18"/>
                <w:b w:val="1"/>
                <w:bCs w:val="1"/>
                <w:color w:val="auto"/>
                <w:w w:val="85"/>
              </w:rPr>
              <w:t>of Dec. 31, 2017</w:t>
            </w:r>
            <w:r>
              <w:rPr>
                <w:rFonts w:ascii="Arial" w:cs="Arial" w:eastAsia="Arial" w:hAnsi="Arial"/>
                <w:sz w:val="30"/>
                <w:szCs w:val="30"/>
                <w:b w:val="1"/>
                <w:bCs w:val="1"/>
                <w:color w:val="auto"/>
                <w:w w:val="85"/>
                <w:vertAlign w:val="superscript"/>
              </w:rPr>
              <w:t>(2)</w:t>
            </w:r>
          </w:p>
        </w:tc>
        <w:tc>
          <w:tcPr>
            <w:tcW w:w="11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Owned</w:t>
            </w:r>
          </w:p>
        </w:tc>
        <w:tc>
          <w:tcPr>
            <w:tcW w:w="1200" w:type="dxa"/>
            <w:vAlign w:val="bottom"/>
            <w:gridSpan w:val="2"/>
          </w:tcPr>
          <w:p>
            <w:pPr>
              <w:jc w:val="center"/>
              <w:ind w:right="130"/>
              <w:spacing w:after="0"/>
              <w:rPr>
                <w:sz w:val="20"/>
                <w:szCs w:val="20"/>
                <w:color w:val="auto"/>
              </w:rPr>
            </w:pPr>
            <w:r>
              <w:rPr>
                <w:rFonts w:ascii="Arial" w:cs="Arial" w:eastAsia="Arial" w:hAnsi="Arial"/>
                <w:sz w:val="18"/>
                <w:szCs w:val="18"/>
                <w:b w:val="1"/>
                <w:bCs w:val="1"/>
                <w:color w:val="auto"/>
                <w:w w:val="89"/>
              </w:rPr>
              <w:t>Owned</w:t>
            </w:r>
          </w:p>
        </w:tc>
        <w:tc>
          <w:tcPr>
            <w:tcW w:w="1060" w:type="dxa"/>
            <w:vAlign w:val="bottom"/>
            <w:gridSpan w:val="3"/>
          </w:tcPr>
          <w:p>
            <w:pPr>
              <w:jc w:val="center"/>
              <w:ind w:right="120"/>
              <w:spacing w:after="0" w:line="269" w:lineRule="exact"/>
              <w:rPr>
                <w:sz w:val="20"/>
                <w:szCs w:val="20"/>
                <w:color w:val="auto"/>
              </w:rPr>
            </w:pPr>
            <w:r>
              <w:rPr>
                <w:rFonts w:ascii="Arial" w:cs="Arial" w:eastAsia="Arial" w:hAnsi="Arial"/>
                <w:sz w:val="18"/>
                <w:szCs w:val="18"/>
                <w:b w:val="1"/>
                <w:bCs w:val="1"/>
                <w:color w:val="auto"/>
                <w:w w:val="82"/>
              </w:rPr>
              <w:t>Shares</w:t>
            </w:r>
            <w:r>
              <w:rPr>
                <w:rFonts w:ascii="Arial" w:cs="Arial" w:eastAsia="Arial" w:hAnsi="Arial"/>
                <w:sz w:val="30"/>
                <w:szCs w:val="30"/>
                <w:b w:val="1"/>
                <w:bCs w:val="1"/>
                <w:color w:val="auto"/>
                <w:w w:val="82"/>
                <w:vertAlign w:val="superscript"/>
              </w:rPr>
              <w:t>(3)</w:t>
            </w:r>
          </w:p>
        </w:tc>
      </w:tr>
      <w:tr>
        <w:trPr>
          <w:trHeight w:val="210"/>
        </w:trPr>
        <w:tc>
          <w:tcPr>
            <w:tcW w:w="4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Javier González Fraga</w:t>
            </w:r>
          </w:p>
        </w:tc>
        <w:tc>
          <w:tcPr>
            <w:tcW w:w="10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jc w:val="right"/>
              <w:ind w:right="50"/>
              <w:spacing w:after="0"/>
              <w:rPr>
                <w:sz w:val="20"/>
                <w:szCs w:val="20"/>
                <w:color w:val="auto"/>
              </w:rPr>
            </w:pPr>
            <w:r>
              <w:rPr>
                <w:rFonts w:ascii="Arial" w:cs="Arial" w:eastAsia="Arial" w:hAnsi="Arial"/>
                <w:sz w:val="18"/>
                <w:szCs w:val="18"/>
                <w:color w:val="auto"/>
                <w:w w:val="84"/>
              </w:rPr>
              <w:t>*</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6,000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4380" w:type="dxa"/>
            <w:vAlign w:val="bottom"/>
          </w:tcPr>
          <w:p>
            <w:pPr>
              <w:spacing w:after="0"/>
              <w:rPr>
                <w:sz w:val="20"/>
                <w:szCs w:val="20"/>
                <w:color w:val="auto"/>
              </w:rPr>
            </w:pPr>
            <w:r>
              <w:rPr>
                <w:rFonts w:ascii="Arial" w:cs="Arial" w:eastAsia="Arial" w:hAnsi="Arial"/>
                <w:sz w:val="18"/>
                <w:szCs w:val="18"/>
                <w:color w:val="auto"/>
              </w:rPr>
              <w:t>José Alberto Garzón</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0</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2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6,000</w:t>
            </w:r>
          </w:p>
        </w:tc>
        <w:tc>
          <w:tcPr>
            <w:tcW w:w="80" w:type="dxa"/>
            <w:vAlign w:val="bottom"/>
          </w:tcPr>
          <w:p>
            <w:pPr>
              <w:spacing w:after="0"/>
              <w:rPr>
                <w:sz w:val="18"/>
                <w:szCs w:val="18"/>
                <w:color w:val="auto"/>
              </w:rPr>
            </w:pPr>
          </w:p>
        </w:tc>
      </w:tr>
      <w:tr>
        <w:trPr>
          <w:trHeight w:val="216"/>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Roland Holst</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15,000</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15,000</w:t>
            </w:r>
          </w:p>
        </w:tc>
        <w:tc>
          <w:tcPr>
            <w:tcW w:w="12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r>
      <w:tr>
        <w:trPr>
          <w:trHeight w:val="216"/>
        </w:trPr>
        <w:tc>
          <w:tcPr>
            <w:tcW w:w="4380" w:type="dxa"/>
            <w:vAlign w:val="bottom"/>
          </w:tcPr>
          <w:p>
            <w:pPr>
              <w:spacing w:after="0"/>
              <w:rPr>
                <w:sz w:val="20"/>
                <w:szCs w:val="20"/>
                <w:color w:val="auto"/>
              </w:rPr>
            </w:pPr>
            <w:r>
              <w:rPr>
                <w:rFonts w:ascii="Arial" w:cs="Arial" w:eastAsia="Arial" w:hAnsi="Arial"/>
                <w:sz w:val="18"/>
                <w:szCs w:val="18"/>
                <w:color w:val="auto"/>
              </w:rPr>
              <w:t>Ricardo Manuel Arango</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0</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2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9,900</w:t>
            </w:r>
          </w:p>
        </w:tc>
        <w:tc>
          <w:tcPr>
            <w:tcW w:w="80" w:type="dxa"/>
            <w:vAlign w:val="bottom"/>
          </w:tcPr>
          <w:p>
            <w:pPr>
              <w:spacing w:after="0"/>
              <w:rPr>
                <w:sz w:val="18"/>
                <w:szCs w:val="18"/>
                <w:color w:val="auto"/>
              </w:rPr>
            </w:pPr>
          </w:p>
        </w:tc>
      </w:tr>
      <w:tr>
        <w:trPr>
          <w:trHeight w:val="216"/>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Herminio A. Blanco</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62,275</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62,275</w:t>
            </w:r>
          </w:p>
        </w:tc>
        <w:tc>
          <w:tcPr>
            <w:tcW w:w="12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11,700</w:t>
            </w:r>
          </w:p>
        </w:tc>
        <w:tc>
          <w:tcPr>
            <w:tcW w:w="80" w:type="dxa"/>
            <w:vAlign w:val="bottom"/>
            <w:shd w:val="clear" w:color="auto" w:fill="CCEEFF"/>
          </w:tcPr>
          <w:p>
            <w:pPr>
              <w:spacing w:after="0"/>
              <w:rPr>
                <w:sz w:val="18"/>
                <w:szCs w:val="18"/>
                <w:color w:val="auto"/>
              </w:rPr>
            </w:pPr>
          </w:p>
        </w:tc>
      </w:tr>
      <w:tr>
        <w:trPr>
          <w:trHeight w:val="216"/>
        </w:trPr>
        <w:tc>
          <w:tcPr>
            <w:tcW w:w="4380" w:type="dxa"/>
            <w:vAlign w:val="bottom"/>
          </w:tcPr>
          <w:p>
            <w:pPr>
              <w:spacing w:after="0"/>
              <w:rPr>
                <w:sz w:val="20"/>
                <w:szCs w:val="20"/>
                <w:color w:val="auto"/>
              </w:rPr>
            </w:pPr>
            <w:r>
              <w:rPr>
                <w:rFonts w:ascii="Arial" w:cs="Arial" w:eastAsia="Arial" w:hAnsi="Arial"/>
                <w:sz w:val="18"/>
                <w:szCs w:val="18"/>
                <w:color w:val="auto"/>
              </w:rPr>
              <w:t>Mario Covo</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36,427</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36,427</w:t>
            </w:r>
          </w:p>
        </w:tc>
        <w:tc>
          <w:tcPr>
            <w:tcW w:w="12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11,700</w:t>
            </w:r>
          </w:p>
        </w:tc>
        <w:tc>
          <w:tcPr>
            <w:tcW w:w="80" w:type="dxa"/>
            <w:vAlign w:val="bottom"/>
          </w:tcPr>
          <w:p>
            <w:pPr>
              <w:spacing w:after="0"/>
              <w:rPr>
                <w:sz w:val="18"/>
                <w:szCs w:val="18"/>
                <w:color w:val="auto"/>
              </w:rPr>
            </w:pPr>
          </w:p>
        </w:tc>
      </w:tr>
      <w:tr>
        <w:trPr>
          <w:trHeight w:val="257"/>
        </w:trPr>
        <w:tc>
          <w:tcPr>
            <w:tcW w:w="43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João Carlos de Nóbrega Pecego</w:t>
            </w:r>
            <w:r>
              <w:rPr>
                <w:rFonts w:ascii="Arial" w:cs="Arial" w:eastAsia="Arial" w:hAnsi="Arial"/>
                <w:sz w:val="29"/>
                <w:szCs w:val="29"/>
                <w:color w:val="auto"/>
                <w:vertAlign w:val="superscript"/>
              </w:rPr>
              <w:t>(4)</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2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6,000</w:t>
            </w:r>
          </w:p>
        </w:tc>
        <w:tc>
          <w:tcPr>
            <w:tcW w:w="80" w:type="dxa"/>
            <w:vAlign w:val="bottom"/>
            <w:shd w:val="clear" w:color="auto" w:fill="CCEEFF"/>
          </w:tcPr>
          <w:p>
            <w:pPr>
              <w:spacing w:after="0"/>
              <w:rPr>
                <w:sz w:val="22"/>
                <w:szCs w:val="22"/>
                <w:color w:val="auto"/>
              </w:rPr>
            </w:pPr>
          </w:p>
        </w:tc>
      </w:tr>
      <w:tr>
        <w:trPr>
          <w:trHeight w:val="216"/>
        </w:trPr>
        <w:tc>
          <w:tcPr>
            <w:tcW w:w="4380" w:type="dxa"/>
            <w:vAlign w:val="bottom"/>
          </w:tcPr>
          <w:p>
            <w:pPr>
              <w:spacing w:after="0"/>
              <w:rPr>
                <w:sz w:val="20"/>
                <w:szCs w:val="20"/>
                <w:color w:val="auto"/>
              </w:rPr>
            </w:pPr>
            <w:r>
              <w:rPr>
                <w:rFonts w:ascii="Arial" w:cs="Arial" w:eastAsia="Arial" w:hAnsi="Arial"/>
                <w:sz w:val="18"/>
                <w:szCs w:val="18"/>
                <w:color w:val="auto"/>
              </w:rPr>
              <w:t>Miguel Heras Castro</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6,300</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6,300</w:t>
            </w:r>
          </w:p>
        </w:tc>
        <w:tc>
          <w:tcPr>
            <w:tcW w:w="12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11,700</w:t>
            </w:r>
          </w:p>
        </w:tc>
        <w:tc>
          <w:tcPr>
            <w:tcW w:w="80" w:type="dxa"/>
            <w:vAlign w:val="bottom"/>
          </w:tcPr>
          <w:p>
            <w:pPr>
              <w:spacing w:after="0"/>
              <w:rPr>
                <w:sz w:val="18"/>
                <w:szCs w:val="18"/>
                <w:color w:val="auto"/>
              </w:rPr>
            </w:pPr>
          </w:p>
        </w:tc>
      </w:tr>
      <w:tr>
        <w:trPr>
          <w:trHeight w:val="230"/>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Gonzalo Menéndez Duque</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51,831</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51,831</w:t>
            </w:r>
          </w:p>
        </w:tc>
        <w:tc>
          <w:tcPr>
            <w:tcW w:w="12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17,550</w:t>
            </w:r>
          </w:p>
        </w:tc>
        <w:tc>
          <w:tcPr>
            <w:tcW w:w="80" w:type="dxa"/>
            <w:vAlign w:val="bottom"/>
            <w:shd w:val="clear" w:color="auto" w:fill="CCEEFF"/>
          </w:tcPr>
          <w:p>
            <w:pPr>
              <w:spacing w:after="0"/>
              <w:rPr>
                <w:sz w:val="19"/>
                <w:szCs w:val="19"/>
                <w:color w:val="auto"/>
              </w:rPr>
            </w:pPr>
          </w:p>
        </w:tc>
      </w:tr>
      <w:tr>
        <w:trPr>
          <w:trHeight w:val="210"/>
        </w:trPr>
        <w:tc>
          <w:tcPr>
            <w:tcW w:w="438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171,833</w:t>
            </w:r>
          </w:p>
        </w:tc>
        <w:tc>
          <w:tcPr>
            <w:tcW w:w="220" w:type="dxa"/>
            <w:vAlign w:val="bottom"/>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0</w:t>
            </w:r>
          </w:p>
        </w:tc>
        <w:tc>
          <w:tcPr>
            <w:tcW w:w="22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171,833</w:t>
            </w:r>
          </w:p>
        </w:tc>
        <w:tc>
          <w:tcPr>
            <w:tcW w:w="220" w:type="dxa"/>
            <w:vAlign w:val="bottom"/>
          </w:tcPr>
          <w:p>
            <w:pPr>
              <w:spacing w:after="0"/>
              <w:rPr>
                <w:sz w:val="18"/>
                <w:szCs w:val="18"/>
                <w:color w:val="auto"/>
              </w:rPr>
            </w:pPr>
          </w:p>
        </w:tc>
        <w:tc>
          <w:tcPr>
            <w:tcW w:w="980" w:type="dxa"/>
            <w:vAlign w:val="bottom"/>
            <w:tcBorders>
              <w:top w:val="single" w:sz="8" w:color="auto"/>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80,550</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bl>
    <w:p>
      <w:pPr>
        <w:spacing w:after="0" w:line="202" w:lineRule="exact"/>
        <w:rPr>
          <w:sz w:val="20"/>
          <w:szCs w:val="20"/>
          <w:color w:val="auto"/>
        </w:rPr>
      </w:pPr>
    </w:p>
    <w:p>
      <w:pPr>
        <w:ind w:left="660" w:hanging="328"/>
        <w:spacing w:after="0"/>
        <w:tabs>
          <w:tab w:leader="none" w:pos="660" w:val="left"/>
        </w:tabs>
        <w:numPr>
          <w:ilvl w:val="0"/>
          <w:numId w:val="58"/>
        </w:numPr>
        <w:rPr>
          <w:rFonts w:ascii="Arial" w:cs="Arial" w:eastAsia="Arial" w:hAnsi="Arial"/>
          <w:sz w:val="18"/>
          <w:szCs w:val="18"/>
          <w:color w:val="auto"/>
        </w:rPr>
      </w:pPr>
      <w:r>
        <w:rPr>
          <w:rFonts w:ascii="Arial" w:cs="Arial" w:eastAsia="Arial" w:hAnsi="Arial"/>
          <w:sz w:val="18"/>
          <w:szCs w:val="18"/>
          <w:color w:val="auto"/>
        </w:rPr>
        <w:t>Less than one percent of the outstanding Class E shares.</w:t>
      </w:r>
    </w:p>
    <w:p>
      <w:pPr>
        <w:spacing w:after="0" w:line="23" w:lineRule="exact"/>
        <w:rPr>
          <w:sz w:val="20"/>
          <w:szCs w:val="20"/>
          <w:color w:val="auto"/>
        </w:rPr>
      </w:pPr>
    </w:p>
    <w:p>
      <w:pPr>
        <w:ind w:left="660" w:hanging="328"/>
        <w:spacing w:after="0" w:line="187" w:lineRule="auto"/>
        <w:tabs>
          <w:tab w:leader="none" w:pos="660" w:val="left"/>
        </w:tabs>
        <w:numPr>
          <w:ilvl w:val="0"/>
          <w:numId w:val="59"/>
        </w:numPr>
        <w:rPr>
          <w:rFonts w:ascii="Arial" w:cs="Arial" w:eastAsia="Arial" w:hAnsi="Arial"/>
          <w:sz w:val="30"/>
          <w:szCs w:val="30"/>
          <w:color w:val="auto"/>
          <w:vertAlign w:val="superscript"/>
        </w:rPr>
      </w:pPr>
      <w:r>
        <w:rPr>
          <w:rFonts w:ascii="Arial" w:cs="Arial" w:eastAsia="Arial" w:hAnsi="Arial"/>
          <w:sz w:val="18"/>
          <w:szCs w:val="18"/>
          <w:color w:val="auto"/>
        </w:rPr>
        <w:t>Includes Class E shares purchased by the director or restricted shares vested and transferred to the director pursuant to the 2003 Restricted Stock Plan, the 2008 Plan and the 2015 Plan as of such date.</w:t>
      </w:r>
    </w:p>
    <w:p>
      <w:pPr>
        <w:spacing w:after="0" w:line="2" w:lineRule="exact"/>
        <w:rPr>
          <w:rFonts w:ascii="Arial" w:cs="Arial" w:eastAsia="Arial" w:hAnsi="Arial"/>
          <w:sz w:val="30"/>
          <w:szCs w:val="30"/>
          <w:color w:val="auto"/>
          <w:vertAlign w:val="superscript"/>
        </w:rPr>
      </w:pPr>
    </w:p>
    <w:p>
      <w:pPr>
        <w:ind w:left="660" w:hanging="328"/>
        <w:spacing w:after="0" w:line="180" w:lineRule="auto"/>
        <w:tabs>
          <w:tab w:leader="none" w:pos="660" w:val="left"/>
        </w:tabs>
        <w:numPr>
          <w:ilvl w:val="0"/>
          <w:numId w:val="59"/>
        </w:numPr>
        <w:rPr>
          <w:rFonts w:ascii="Arial" w:cs="Arial" w:eastAsia="Arial" w:hAnsi="Arial"/>
          <w:sz w:val="25"/>
          <w:szCs w:val="25"/>
          <w:color w:val="auto"/>
          <w:vertAlign w:val="superscript"/>
        </w:rPr>
      </w:pPr>
      <w:r>
        <w:rPr>
          <w:rFonts w:ascii="Arial" w:cs="Arial" w:eastAsia="Arial" w:hAnsi="Arial"/>
          <w:sz w:val="16"/>
          <w:szCs w:val="16"/>
          <w:color w:val="auto"/>
        </w:rPr>
        <w:t>Includes vested / unexercised traditional stock options.</w:t>
      </w:r>
    </w:p>
    <w:p>
      <w:pPr>
        <w:spacing w:after="0" w:line="2" w:lineRule="exact"/>
        <w:rPr>
          <w:rFonts w:ascii="Arial" w:cs="Arial" w:eastAsia="Arial" w:hAnsi="Arial"/>
          <w:sz w:val="25"/>
          <w:szCs w:val="25"/>
          <w:color w:val="auto"/>
          <w:vertAlign w:val="superscript"/>
        </w:rPr>
      </w:pPr>
    </w:p>
    <w:p>
      <w:pPr>
        <w:jc w:val="both"/>
        <w:ind w:left="660" w:hanging="328"/>
        <w:spacing w:after="0" w:line="204" w:lineRule="auto"/>
        <w:tabs>
          <w:tab w:leader="none" w:pos="660" w:val="left"/>
        </w:tabs>
        <w:numPr>
          <w:ilvl w:val="0"/>
          <w:numId w:val="59"/>
        </w:numPr>
        <w:rPr>
          <w:rFonts w:ascii="Arial" w:cs="Arial" w:eastAsia="Arial" w:hAnsi="Arial"/>
          <w:sz w:val="30"/>
          <w:szCs w:val="30"/>
          <w:color w:val="auto"/>
          <w:vertAlign w:val="superscript"/>
        </w:rPr>
      </w:pPr>
      <w:r>
        <w:rPr>
          <w:rFonts w:ascii="Arial" w:cs="Arial" w:eastAsia="Arial" w:hAnsi="Arial"/>
          <w:sz w:val="18"/>
          <w:szCs w:val="18"/>
          <w:color w:val="auto"/>
        </w:rPr>
        <w:t>Includes unvested restricted Class E shares granted under the Bank’s 2008 Plan and 2015 Plan. An aggregate amount of 57,000 restricted shares were granted to directors on April 19, 2017; these restricted shares vest 35% in each of the first and second year and 30% in the third year on the relevant grant date’s anniversary.</w:t>
      </w:r>
    </w:p>
    <w:p>
      <w:pPr>
        <w:spacing w:after="0" w:line="1" w:lineRule="exact"/>
        <w:rPr>
          <w:rFonts w:ascii="Arial" w:cs="Arial" w:eastAsia="Arial" w:hAnsi="Arial"/>
          <w:sz w:val="30"/>
          <w:szCs w:val="30"/>
          <w:color w:val="auto"/>
          <w:vertAlign w:val="superscript"/>
        </w:rPr>
      </w:pPr>
    </w:p>
    <w:p>
      <w:pPr>
        <w:ind w:left="660" w:hanging="328"/>
        <w:spacing w:after="0" w:line="187" w:lineRule="auto"/>
        <w:tabs>
          <w:tab w:leader="none" w:pos="660" w:val="left"/>
        </w:tabs>
        <w:numPr>
          <w:ilvl w:val="0"/>
          <w:numId w:val="59"/>
        </w:numPr>
        <w:rPr>
          <w:rFonts w:ascii="Arial" w:cs="Arial" w:eastAsia="Arial" w:hAnsi="Arial"/>
          <w:sz w:val="30"/>
          <w:szCs w:val="30"/>
          <w:color w:val="auto"/>
          <w:vertAlign w:val="superscript"/>
        </w:rPr>
      </w:pPr>
      <w:r>
        <w:rPr>
          <w:rFonts w:ascii="Arial" w:cs="Arial" w:eastAsia="Arial" w:hAnsi="Arial"/>
          <w:sz w:val="18"/>
          <w:szCs w:val="18"/>
          <w:color w:val="auto"/>
        </w:rPr>
        <w:t>27,779 Class E shares corresponding to Mr. Pecego’s entitlement under the Bank’s 2008 and 2015 Plans were assigned by Mr. Pecego to Banco do Brasil.</w:t>
      </w:r>
    </w:p>
    <w:p>
      <w:pPr>
        <w:spacing w:after="0" w:line="204" w:lineRule="exact"/>
        <w:rPr>
          <w:sz w:val="20"/>
          <w:szCs w:val="20"/>
          <w:color w:val="auto"/>
        </w:rPr>
      </w:pPr>
    </w:p>
    <w:p>
      <w:pPr>
        <w:spacing w:after="0"/>
        <w:rPr>
          <w:sz w:val="20"/>
          <w:szCs w:val="20"/>
          <w:color w:val="auto"/>
        </w:rPr>
      </w:pPr>
      <w:r>
        <w:rPr>
          <w:rFonts w:ascii="Arial" w:cs="Arial" w:eastAsia="Arial" w:hAnsi="Arial"/>
          <w:sz w:val="18"/>
          <w:szCs w:val="18"/>
          <w:color w:val="auto"/>
        </w:rPr>
        <w:t>For additional information regarding stock options granted to executive officers and directors, see Item 18, “Financial Statements,” note 16.</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Stock Ownership Policy for Directors and Executive Officers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October 2013, the Board of Directors adopted share ownership guidelines for directors and executive officers. These guidelines enable the Bank to meet its objective of aligning directors’ and executives’ interests with those of the shareholders.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Under these guidelines, each director within three years of joining the Board, is required to accumulate 9,000 shares (13,500 for the Chairman of the Board), and to maintain at least this ownership level while serving as a member of the Board. Presently, all Board members are in compliance with the guidelines that apply to them.</w:t>
      </w:r>
    </w:p>
    <w:p>
      <w:pPr>
        <w:spacing w:after="0" w:line="181"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The Chief Executive Officer is required to own shares of the Bank’s common stock worth at least two and a half times his annual base salary. Other executive officers are required to own stock equal to one time their annual base salary. These executive officers have up to seven years to comply with this share ownership requirement, measured from the later of the date of adoption of these guidelines or the date that they became subject to the guidelines. All executive officers named in the Beneficial Ownership table in this Annual Report are in compliance with the guidelines as they apply to them.</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95" w:right="239" w:bottom="1440" w:gutter="0" w:footer="0" w:header="0"/>
        </w:sectPr>
      </w:pPr>
    </w:p>
    <w:bookmarkStart w:id="89" w:name="page90"/>
    <w:bookmarkEnd w:id="89"/>
    <w:p>
      <w:pPr>
        <w:spacing w:after="0" w:line="308" w:lineRule="auto"/>
        <w:rPr>
          <w:sz w:val="20"/>
          <w:szCs w:val="20"/>
          <w:color w:val="auto"/>
        </w:rPr>
      </w:pPr>
      <w:r>
        <w:rPr>
          <w:rFonts w:ascii="Arial" w:cs="Arial" w:eastAsia="Arial" w:hAnsi="Arial"/>
          <w:sz w:val="17"/>
          <w:szCs w:val="17"/>
          <w:color w:val="auto"/>
        </w:rPr>
        <w:t>The following elements are included in determining the directors’ and executive officers’ share ownership for purposes of these guidelines: shares owned individually and by minor dependents or spouses; unvested restricted shares and restricted stock units; and vested or unvested stock options.</w:t>
      </w:r>
    </w:p>
    <w:p>
      <w:pPr>
        <w:spacing w:after="0" w:line="143" w:lineRule="exact"/>
        <w:rPr>
          <w:sz w:val="20"/>
          <w:szCs w:val="20"/>
          <w:color w:val="auto"/>
        </w:rPr>
      </w:pPr>
    </w:p>
    <w:p>
      <w:pPr>
        <w:ind w:left="660" w:hanging="652"/>
        <w:spacing w:after="0"/>
        <w:tabs>
          <w:tab w:leader="none" w:pos="660" w:val="left"/>
        </w:tabs>
        <w:numPr>
          <w:ilvl w:val="0"/>
          <w:numId w:val="60"/>
        </w:numPr>
        <w:rPr>
          <w:rFonts w:ascii="Arial" w:cs="Arial" w:eastAsia="Arial" w:hAnsi="Arial"/>
          <w:sz w:val="18"/>
          <w:szCs w:val="18"/>
          <w:b w:val="1"/>
          <w:bCs w:val="1"/>
          <w:color w:val="auto"/>
        </w:rPr>
      </w:pPr>
      <w:r>
        <w:rPr>
          <w:rFonts w:ascii="Arial" w:cs="Arial" w:eastAsia="Arial" w:hAnsi="Arial"/>
          <w:sz w:val="18"/>
          <w:szCs w:val="18"/>
          <w:b w:val="1"/>
          <w:bCs w:val="1"/>
          <w:color w:val="auto"/>
        </w:rPr>
        <w:t>Board Practices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Board Leadership Structure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 recognizes that one of its key responsibilities is to evaluate and determine its optimal leadership structure so as to provide an independent oversight of management.</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 currently separates the positions of Chief Executive Officer and Chairman of the Board. Rubens V. Amaral Jr. has served as Chief Executive Officer since August 1, 2012, and, as previously announced, has decided to retire as Chief Executive Officer effective at close of business on April 30, 2018. He will be succeeded by Gabriel Tolchinsky at that time. Mr. Gonzalo Menéndez Duque has served as Chairman of the Board since 2002 and from 1995 to 1998 and qualifies as an “audit committee financial expert,” as defined by the SEC in Item 407 of Regulation S-K.</w:t>
      </w:r>
    </w:p>
    <w:p>
      <w:pPr>
        <w:spacing w:after="0" w:line="17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In compliance with the Sarbanes-Oxley Act, Section 303A of the New York Stock Exchange Listed Company Manual, the Rules of the Superintendency of Banks of Panama, the Bank’s organizational documents and charters of each of the following Board committees, a majority of the members of the Board of Directors, all members of the Audit Committee, and all members of the Compensation Committee of the Bank are independent directors.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Our Board believes that its leadership structure promotes an effective board that supports and challenges management appropriately.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Meetings of the Board and Committees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fiscal year ended December 31, 2017, the Board held nine meetings. Directors attended an average of 99% of the total number of Board meetings held during the fiscal year ended December 31, 2017.</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membership and number of meetings for each of the committees of the Board during the fiscal year ended December 31, 2017:</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3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20" w:type="dxa"/>
            <w:vAlign w:val="bottom"/>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93"/>
              </w:rPr>
              <w:t>Audit and</w:t>
            </w:r>
          </w:p>
        </w:tc>
        <w:tc>
          <w:tcPr>
            <w:tcW w:w="20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Risk Policy</w:t>
            </w:r>
          </w:p>
        </w:tc>
        <w:tc>
          <w:tcPr>
            <w:tcW w:w="1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0"/>
        </w:trPr>
        <w:tc>
          <w:tcPr>
            <w:tcW w:w="3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020" w:type="dxa"/>
            <w:vAlign w:val="bottom"/>
            <w:gridSpan w:val="2"/>
            <w:vMerge w:val="continue"/>
          </w:tcPr>
          <w:p>
            <w:pPr>
              <w:spacing w:after="0"/>
              <w:rPr>
                <w:sz w:val="15"/>
                <w:szCs w:val="15"/>
                <w:color w:val="auto"/>
              </w:rPr>
            </w:pPr>
          </w:p>
        </w:tc>
        <w:tc>
          <w:tcPr>
            <w:tcW w:w="2020" w:type="dxa"/>
            <w:vAlign w:val="bottom"/>
            <w:gridSpan w:val="2"/>
          </w:tcPr>
          <w:p>
            <w:pPr>
              <w:jc w:val="center"/>
              <w:ind w:right="220"/>
              <w:spacing w:after="0" w:line="181" w:lineRule="exact"/>
              <w:rPr>
                <w:sz w:val="20"/>
                <w:szCs w:val="20"/>
                <w:color w:val="auto"/>
              </w:rPr>
            </w:pPr>
            <w:r>
              <w:rPr>
                <w:rFonts w:ascii="Arial" w:cs="Arial" w:eastAsia="Arial" w:hAnsi="Arial"/>
                <w:sz w:val="18"/>
                <w:szCs w:val="18"/>
                <w:b w:val="1"/>
                <w:bCs w:val="1"/>
                <w:color w:val="auto"/>
                <w:w w:val="87"/>
              </w:rPr>
              <w:t>and</w:t>
            </w:r>
          </w:p>
        </w:tc>
        <w:tc>
          <w:tcPr>
            <w:tcW w:w="2040" w:type="dxa"/>
            <w:vAlign w:val="bottom"/>
            <w:gridSpan w:val="2"/>
          </w:tcPr>
          <w:p>
            <w:pPr>
              <w:jc w:val="center"/>
              <w:ind w:right="220"/>
              <w:spacing w:after="0" w:line="181" w:lineRule="exact"/>
              <w:rPr>
                <w:sz w:val="20"/>
                <w:szCs w:val="20"/>
                <w:color w:val="auto"/>
              </w:rPr>
            </w:pPr>
            <w:r>
              <w:rPr>
                <w:rFonts w:ascii="Arial" w:cs="Arial" w:eastAsia="Arial" w:hAnsi="Arial"/>
                <w:sz w:val="18"/>
                <w:szCs w:val="18"/>
                <w:b w:val="1"/>
                <w:bCs w:val="1"/>
                <w:color w:val="auto"/>
                <w:w w:val="89"/>
              </w:rPr>
              <w:t>Finance and</w:t>
            </w:r>
          </w:p>
        </w:tc>
        <w:tc>
          <w:tcPr>
            <w:tcW w:w="18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0"/>
        </w:trPr>
        <w:tc>
          <w:tcPr>
            <w:tcW w:w="3540" w:type="dxa"/>
            <w:vAlign w:val="bottom"/>
            <w:gridSpan w:val="2"/>
          </w:tcPr>
          <w:p>
            <w:pPr>
              <w:ind w:left="1460"/>
              <w:spacing w:after="0"/>
              <w:rPr>
                <w:sz w:val="20"/>
                <w:szCs w:val="20"/>
                <w:color w:val="auto"/>
              </w:rPr>
            </w:pPr>
            <w:r>
              <w:rPr>
                <w:rFonts w:ascii="Arial" w:cs="Arial" w:eastAsia="Arial" w:hAnsi="Arial"/>
                <w:sz w:val="18"/>
                <w:szCs w:val="18"/>
                <w:b w:val="1"/>
                <w:bCs w:val="1"/>
                <w:color w:val="auto"/>
              </w:rPr>
              <w:t>Name</w:t>
            </w:r>
          </w:p>
        </w:tc>
        <w:tc>
          <w:tcPr>
            <w:tcW w:w="2020" w:type="dxa"/>
            <w:vAlign w:val="bottom"/>
            <w:gridSpan w:val="2"/>
          </w:tcPr>
          <w:p>
            <w:pPr>
              <w:jc w:val="center"/>
              <w:ind w:right="200"/>
              <w:spacing w:after="0" w:line="269" w:lineRule="exact"/>
              <w:rPr>
                <w:sz w:val="20"/>
                <w:szCs w:val="20"/>
                <w:color w:val="auto"/>
              </w:rPr>
            </w:pPr>
            <w:r>
              <w:rPr>
                <w:rFonts w:ascii="Arial" w:cs="Arial" w:eastAsia="Arial" w:hAnsi="Arial"/>
                <w:sz w:val="18"/>
                <w:szCs w:val="18"/>
                <w:b w:val="1"/>
                <w:bCs w:val="1"/>
                <w:color w:val="auto"/>
                <w:w w:val="88"/>
              </w:rPr>
              <w:t xml:space="preserve">Compliance </w:t>
            </w:r>
            <w:r>
              <w:rPr>
                <w:rFonts w:ascii="Arial" w:cs="Arial" w:eastAsia="Arial" w:hAnsi="Arial"/>
                <w:sz w:val="30"/>
                <w:szCs w:val="30"/>
                <w:b w:val="1"/>
                <w:bCs w:val="1"/>
                <w:color w:val="auto"/>
                <w:w w:val="88"/>
                <w:vertAlign w:val="superscript"/>
              </w:rPr>
              <w:t>(*)</w:t>
            </w:r>
          </w:p>
        </w:tc>
        <w:tc>
          <w:tcPr>
            <w:tcW w:w="20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2"/>
              </w:rPr>
              <w:t>Assessment</w:t>
            </w:r>
          </w:p>
        </w:tc>
        <w:tc>
          <w:tcPr>
            <w:tcW w:w="20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2"/>
              </w:rPr>
              <w:t>Business</w:t>
            </w:r>
          </w:p>
        </w:tc>
        <w:tc>
          <w:tcPr>
            <w:tcW w:w="1800" w:type="dxa"/>
            <w:vAlign w:val="bottom"/>
          </w:tcPr>
          <w:p>
            <w:pPr>
              <w:jc w:val="center"/>
              <w:spacing w:after="0"/>
              <w:rPr>
                <w:sz w:val="20"/>
                <w:szCs w:val="20"/>
                <w:color w:val="auto"/>
              </w:rPr>
            </w:pPr>
            <w:r>
              <w:rPr>
                <w:rFonts w:ascii="Arial" w:cs="Arial" w:eastAsia="Arial" w:hAnsi="Arial"/>
                <w:sz w:val="18"/>
                <w:szCs w:val="18"/>
                <w:b w:val="1"/>
                <w:bCs w:val="1"/>
                <w:color w:val="auto"/>
                <w:w w:val="89"/>
              </w:rPr>
              <w:t>Compensation</w:t>
            </w:r>
          </w:p>
        </w:tc>
        <w:tc>
          <w:tcPr>
            <w:tcW w:w="0" w:type="dxa"/>
            <w:vAlign w:val="bottom"/>
          </w:tcPr>
          <w:p>
            <w:pPr>
              <w:spacing w:after="0"/>
              <w:rPr>
                <w:sz w:val="1"/>
                <w:szCs w:val="1"/>
                <w:color w:val="auto"/>
              </w:rPr>
            </w:pPr>
          </w:p>
        </w:tc>
      </w:tr>
      <w:tr>
        <w:trPr>
          <w:trHeight w:val="210"/>
        </w:trPr>
        <w:tc>
          <w:tcPr>
            <w:tcW w:w="33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Ricardo Manuel Arango</w:t>
            </w:r>
          </w:p>
        </w:tc>
        <w:tc>
          <w:tcPr>
            <w:tcW w:w="200" w:type="dxa"/>
            <w:vAlign w:val="bottom"/>
            <w:tcBorders>
              <w:top w:val="single" w:sz="8" w:color="CCEEFF"/>
            </w:tcBorders>
            <w:shd w:val="clear" w:color="auto" w:fill="CCEEFF"/>
          </w:tcPr>
          <w:p>
            <w:pPr>
              <w:spacing w:after="0"/>
              <w:rPr>
                <w:sz w:val="18"/>
                <w:szCs w:val="18"/>
                <w:color w:val="auto"/>
              </w:rPr>
            </w:pPr>
          </w:p>
        </w:tc>
        <w:tc>
          <w:tcPr>
            <w:tcW w:w="18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8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Member</w:t>
            </w:r>
          </w:p>
        </w:tc>
        <w:tc>
          <w:tcPr>
            <w:tcW w:w="22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3"/>
              </w:rPr>
              <w:t>Member</w:t>
            </w:r>
          </w:p>
        </w:tc>
        <w:tc>
          <w:tcPr>
            <w:tcW w:w="220" w:type="dxa"/>
            <w:vAlign w:val="bottom"/>
            <w:tcBorders>
              <w:top w:val="single" w:sz="8" w:color="CCEEFF"/>
            </w:tcBorders>
            <w:shd w:val="clear" w:color="auto" w:fill="CCEEFF"/>
          </w:tcPr>
          <w:p>
            <w:pPr>
              <w:spacing w:after="0"/>
              <w:rPr>
                <w:sz w:val="18"/>
                <w:szCs w:val="18"/>
                <w:color w:val="auto"/>
              </w:rPr>
            </w:pPr>
          </w:p>
        </w:tc>
        <w:tc>
          <w:tcPr>
            <w:tcW w:w="180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gridSpan w:val="2"/>
          </w:tcPr>
          <w:p>
            <w:pPr>
              <w:spacing w:after="0"/>
              <w:rPr>
                <w:sz w:val="20"/>
                <w:szCs w:val="20"/>
                <w:color w:val="auto"/>
              </w:rPr>
            </w:pPr>
            <w:r>
              <w:rPr>
                <w:rFonts w:ascii="Arial" w:cs="Arial" w:eastAsia="Arial" w:hAnsi="Arial"/>
                <w:sz w:val="18"/>
                <w:szCs w:val="18"/>
                <w:color w:val="auto"/>
              </w:rPr>
              <w:t>Herminio A. Blanco</w:t>
            </w:r>
          </w:p>
        </w:tc>
        <w:tc>
          <w:tcPr>
            <w:tcW w:w="2020" w:type="dxa"/>
            <w:vAlign w:val="bottom"/>
            <w:gridSpan w:val="2"/>
          </w:tcPr>
          <w:p>
            <w:pPr>
              <w:jc w:val="center"/>
              <w:ind w:right="220"/>
              <w:spacing w:after="0"/>
              <w:rPr>
                <w:sz w:val="20"/>
                <w:szCs w:val="20"/>
                <w:color w:val="auto"/>
              </w:rPr>
            </w:pPr>
            <w:r>
              <w:rPr>
                <w:rFonts w:ascii="Arial" w:cs="Arial" w:eastAsia="Arial" w:hAnsi="Arial"/>
                <w:sz w:val="18"/>
                <w:szCs w:val="18"/>
                <w:color w:val="auto"/>
                <w:w w:val="92"/>
              </w:rPr>
              <w:t>Chairman</w:t>
            </w:r>
          </w:p>
        </w:tc>
        <w:tc>
          <w:tcPr>
            <w:tcW w:w="2020" w:type="dxa"/>
            <w:vAlign w:val="bottom"/>
            <w:gridSpan w:val="2"/>
          </w:tcPr>
          <w:p>
            <w:pPr>
              <w:jc w:val="center"/>
              <w:ind w:right="220"/>
              <w:spacing w:after="0"/>
              <w:rPr>
                <w:sz w:val="20"/>
                <w:szCs w:val="20"/>
                <w:color w:val="auto"/>
              </w:rPr>
            </w:pPr>
            <w:r>
              <w:rPr>
                <w:rFonts w:ascii="Arial" w:cs="Arial" w:eastAsia="Arial" w:hAnsi="Arial"/>
                <w:sz w:val="18"/>
                <w:szCs w:val="18"/>
                <w:color w:val="auto"/>
                <w:w w:val="90"/>
              </w:rPr>
              <w:t>Member</w:t>
            </w:r>
          </w:p>
        </w:tc>
        <w:tc>
          <w:tcPr>
            <w:tcW w:w="1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Mario Covo</w:t>
            </w:r>
          </w:p>
        </w:tc>
        <w:tc>
          <w:tcPr>
            <w:tcW w:w="1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2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0"/>
              </w:rPr>
              <w:t>Member</w:t>
            </w:r>
          </w:p>
        </w:tc>
        <w:tc>
          <w:tcPr>
            <w:tcW w:w="204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89"/>
              </w:rPr>
              <w:t>Chairman</w:t>
            </w:r>
          </w:p>
        </w:tc>
        <w:tc>
          <w:tcPr>
            <w:tcW w:w="18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gridSpan w:val="2"/>
          </w:tcPr>
          <w:p>
            <w:pPr>
              <w:spacing w:after="0"/>
              <w:rPr>
                <w:sz w:val="20"/>
                <w:szCs w:val="20"/>
                <w:color w:val="auto"/>
              </w:rPr>
            </w:pPr>
            <w:r>
              <w:rPr>
                <w:rFonts w:ascii="Arial" w:cs="Arial" w:eastAsia="Arial" w:hAnsi="Arial"/>
                <w:sz w:val="18"/>
                <w:szCs w:val="18"/>
                <w:color w:val="auto"/>
              </w:rPr>
              <w:t>José Alberto Garzón</w:t>
            </w:r>
          </w:p>
        </w:tc>
        <w:tc>
          <w:tcPr>
            <w:tcW w:w="2020" w:type="dxa"/>
            <w:vAlign w:val="bottom"/>
            <w:gridSpan w:val="2"/>
          </w:tcPr>
          <w:p>
            <w:pPr>
              <w:jc w:val="center"/>
              <w:ind w:right="220"/>
              <w:spacing w:after="0"/>
              <w:rPr>
                <w:sz w:val="20"/>
                <w:szCs w:val="20"/>
                <w:color w:val="auto"/>
              </w:rPr>
            </w:pPr>
            <w:r>
              <w:rPr>
                <w:rFonts w:ascii="Arial" w:cs="Arial" w:eastAsia="Arial" w:hAnsi="Arial"/>
                <w:sz w:val="18"/>
                <w:szCs w:val="18"/>
                <w:color w:val="auto"/>
                <w:w w:val="90"/>
              </w:rPr>
              <w:t>Member</w:t>
            </w:r>
          </w:p>
        </w:tc>
        <w:tc>
          <w:tcPr>
            <w:tcW w:w="1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00" w:type="dxa"/>
            <w:vAlign w:val="bottom"/>
          </w:tcPr>
          <w:p>
            <w:pPr>
              <w:jc w:val="center"/>
              <w:spacing w:after="0"/>
              <w:rPr>
                <w:sz w:val="20"/>
                <w:szCs w:val="20"/>
                <w:color w:val="auto"/>
              </w:rPr>
            </w:pPr>
            <w:r>
              <w:rPr>
                <w:rFonts w:ascii="Arial" w:cs="Arial" w:eastAsia="Arial" w:hAnsi="Arial"/>
                <w:sz w:val="18"/>
                <w:szCs w:val="18"/>
                <w:color w:val="auto"/>
                <w:w w:val="90"/>
              </w:rPr>
              <w:t>Member</w:t>
            </w:r>
          </w:p>
        </w:tc>
        <w:tc>
          <w:tcPr>
            <w:tcW w:w="0" w:type="dxa"/>
            <w:vAlign w:val="bottom"/>
          </w:tcPr>
          <w:p>
            <w:pPr>
              <w:spacing w:after="0"/>
              <w:rPr>
                <w:sz w:val="1"/>
                <w:szCs w:val="1"/>
                <w:color w:val="auto"/>
              </w:rPr>
            </w:pPr>
          </w:p>
        </w:tc>
      </w:tr>
      <w:tr>
        <w:trPr>
          <w:trHeight w:val="216"/>
        </w:trPr>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Javier González Fraga</w:t>
            </w:r>
          </w:p>
        </w:tc>
        <w:tc>
          <w:tcPr>
            <w:tcW w:w="202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0"/>
              </w:rPr>
              <w:t>Member</w:t>
            </w:r>
          </w:p>
        </w:tc>
        <w:tc>
          <w:tcPr>
            <w:tcW w:w="1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Member</w:t>
            </w:r>
          </w:p>
        </w:tc>
        <w:tc>
          <w:tcPr>
            <w:tcW w:w="0" w:type="dxa"/>
            <w:vAlign w:val="bottom"/>
          </w:tcPr>
          <w:p>
            <w:pPr>
              <w:spacing w:after="0"/>
              <w:rPr>
                <w:sz w:val="1"/>
                <w:szCs w:val="1"/>
                <w:color w:val="auto"/>
              </w:rPr>
            </w:pPr>
          </w:p>
        </w:tc>
      </w:tr>
      <w:tr>
        <w:trPr>
          <w:trHeight w:val="216"/>
        </w:trPr>
        <w:tc>
          <w:tcPr>
            <w:tcW w:w="3540" w:type="dxa"/>
            <w:vAlign w:val="bottom"/>
            <w:gridSpan w:val="2"/>
          </w:tcPr>
          <w:p>
            <w:pPr>
              <w:spacing w:after="0"/>
              <w:rPr>
                <w:sz w:val="20"/>
                <w:szCs w:val="20"/>
                <w:color w:val="auto"/>
              </w:rPr>
            </w:pPr>
            <w:r>
              <w:rPr>
                <w:rFonts w:ascii="Arial" w:cs="Arial" w:eastAsia="Arial" w:hAnsi="Arial"/>
                <w:sz w:val="18"/>
                <w:szCs w:val="18"/>
                <w:color w:val="auto"/>
              </w:rPr>
              <w:t>Miguel Heras Castro</w:t>
            </w:r>
          </w:p>
        </w:tc>
        <w:tc>
          <w:tcPr>
            <w:tcW w:w="1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20" w:type="dxa"/>
            <w:vAlign w:val="bottom"/>
            <w:gridSpan w:val="2"/>
          </w:tcPr>
          <w:p>
            <w:pPr>
              <w:jc w:val="center"/>
              <w:ind w:right="220"/>
              <w:spacing w:after="0"/>
              <w:rPr>
                <w:sz w:val="20"/>
                <w:szCs w:val="20"/>
                <w:color w:val="auto"/>
              </w:rPr>
            </w:pPr>
            <w:r>
              <w:rPr>
                <w:rFonts w:ascii="Arial" w:cs="Arial" w:eastAsia="Arial" w:hAnsi="Arial"/>
                <w:sz w:val="18"/>
                <w:szCs w:val="18"/>
                <w:color w:val="auto"/>
                <w:w w:val="92"/>
              </w:rPr>
              <w:t>Chairman</w:t>
            </w:r>
          </w:p>
        </w:tc>
        <w:tc>
          <w:tcPr>
            <w:tcW w:w="2040" w:type="dxa"/>
            <w:vAlign w:val="bottom"/>
            <w:gridSpan w:val="2"/>
          </w:tcPr>
          <w:p>
            <w:pPr>
              <w:jc w:val="center"/>
              <w:ind w:right="220"/>
              <w:spacing w:after="0"/>
              <w:rPr>
                <w:sz w:val="20"/>
                <w:szCs w:val="20"/>
                <w:color w:val="auto"/>
              </w:rPr>
            </w:pPr>
            <w:r>
              <w:rPr>
                <w:rFonts w:ascii="Arial" w:cs="Arial" w:eastAsia="Arial" w:hAnsi="Arial"/>
                <w:sz w:val="18"/>
                <w:szCs w:val="18"/>
                <w:color w:val="auto"/>
                <w:w w:val="93"/>
              </w:rPr>
              <w:t>Member</w:t>
            </w:r>
          </w:p>
        </w:tc>
        <w:tc>
          <w:tcPr>
            <w:tcW w:w="18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Roland Holst</w:t>
            </w:r>
          </w:p>
        </w:tc>
        <w:tc>
          <w:tcPr>
            <w:tcW w:w="1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2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0"/>
              </w:rPr>
              <w:t>Member</w:t>
            </w:r>
          </w:p>
        </w:tc>
        <w:tc>
          <w:tcPr>
            <w:tcW w:w="204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3"/>
              </w:rPr>
              <w:t>Member</w:t>
            </w:r>
          </w:p>
        </w:tc>
        <w:tc>
          <w:tcPr>
            <w:tcW w:w="18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gridSpan w:val="2"/>
          </w:tcPr>
          <w:p>
            <w:pPr>
              <w:spacing w:after="0"/>
              <w:rPr>
                <w:sz w:val="20"/>
                <w:szCs w:val="20"/>
                <w:color w:val="auto"/>
              </w:rPr>
            </w:pPr>
            <w:r>
              <w:rPr>
                <w:rFonts w:ascii="Arial" w:cs="Arial" w:eastAsia="Arial" w:hAnsi="Arial"/>
                <w:sz w:val="18"/>
                <w:szCs w:val="18"/>
                <w:color w:val="auto"/>
              </w:rPr>
              <w:t>Gonzalo Menéndez Duque</w:t>
            </w:r>
          </w:p>
        </w:tc>
        <w:tc>
          <w:tcPr>
            <w:tcW w:w="2020" w:type="dxa"/>
            <w:vAlign w:val="bottom"/>
            <w:gridSpan w:val="2"/>
          </w:tcPr>
          <w:p>
            <w:pPr>
              <w:jc w:val="center"/>
              <w:ind w:right="220"/>
              <w:spacing w:after="0"/>
              <w:rPr>
                <w:sz w:val="20"/>
                <w:szCs w:val="20"/>
                <w:color w:val="auto"/>
              </w:rPr>
            </w:pPr>
            <w:r>
              <w:rPr>
                <w:rFonts w:ascii="Arial" w:cs="Arial" w:eastAsia="Arial" w:hAnsi="Arial"/>
                <w:sz w:val="18"/>
                <w:szCs w:val="18"/>
                <w:color w:val="auto"/>
                <w:w w:val="90"/>
              </w:rPr>
              <w:t>Member</w:t>
            </w:r>
          </w:p>
        </w:tc>
        <w:tc>
          <w:tcPr>
            <w:tcW w:w="2020" w:type="dxa"/>
            <w:vAlign w:val="bottom"/>
            <w:gridSpan w:val="2"/>
          </w:tcPr>
          <w:p>
            <w:pPr>
              <w:jc w:val="center"/>
              <w:ind w:right="220"/>
              <w:spacing w:after="0"/>
              <w:rPr>
                <w:sz w:val="20"/>
                <w:szCs w:val="20"/>
                <w:color w:val="auto"/>
              </w:rPr>
            </w:pPr>
            <w:r>
              <w:rPr>
                <w:rFonts w:ascii="Arial" w:cs="Arial" w:eastAsia="Arial" w:hAnsi="Arial"/>
                <w:sz w:val="18"/>
                <w:szCs w:val="18"/>
                <w:color w:val="auto"/>
                <w:w w:val="90"/>
              </w:rPr>
              <w:t>Member</w:t>
            </w:r>
          </w:p>
        </w:tc>
        <w:tc>
          <w:tcPr>
            <w:tcW w:w="1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João Carlos de Nóbrega Pecego</w:t>
            </w:r>
          </w:p>
        </w:tc>
        <w:tc>
          <w:tcPr>
            <w:tcW w:w="1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40" w:type="dxa"/>
            <w:vAlign w:val="bottom"/>
            <w:gridSpan w:val="2"/>
            <w:shd w:val="clear" w:color="auto" w:fill="CCEEFF"/>
          </w:tcPr>
          <w:p>
            <w:pPr>
              <w:jc w:val="center"/>
              <w:ind w:right="220"/>
              <w:spacing w:after="0"/>
              <w:rPr>
                <w:sz w:val="20"/>
                <w:szCs w:val="20"/>
                <w:color w:val="auto"/>
              </w:rPr>
            </w:pPr>
            <w:r>
              <w:rPr>
                <w:rFonts w:ascii="Arial" w:cs="Arial" w:eastAsia="Arial" w:hAnsi="Arial"/>
                <w:sz w:val="18"/>
                <w:szCs w:val="18"/>
                <w:color w:val="auto"/>
                <w:w w:val="93"/>
              </w:rPr>
              <w:t>Member</w:t>
            </w:r>
          </w:p>
        </w:tc>
        <w:tc>
          <w:tcPr>
            <w:tcW w:w="18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Chairman</w:t>
            </w:r>
          </w:p>
        </w:tc>
        <w:tc>
          <w:tcPr>
            <w:tcW w:w="0" w:type="dxa"/>
            <w:vAlign w:val="bottom"/>
          </w:tcPr>
          <w:p>
            <w:pPr>
              <w:spacing w:after="0"/>
              <w:rPr>
                <w:sz w:val="1"/>
                <w:szCs w:val="1"/>
                <w:color w:val="auto"/>
              </w:rPr>
            </w:pPr>
          </w:p>
        </w:tc>
      </w:tr>
      <w:tr>
        <w:trPr>
          <w:trHeight w:val="217"/>
        </w:trPr>
        <w:tc>
          <w:tcPr>
            <w:tcW w:w="3540" w:type="dxa"/>
            <w:vAlign w:val="bottom"/>
            <w:gridSpan w:val="2"/>
          </w:tcPr>
          <w:p>
            <w:pPr>
              <w:spacing w:after="0"/>
              <w:rPr>
                <w:sz w:val="20"/>
                <w:szCs w:val="20"/>
                <w:color w:val="auto"/>
              </w:rPr>
            </w:pPr>
            <w:r>
              <w:rPr>
                <w:rFonts w:ascii="Arial" w:cs="Arial" w:eastAsia="Arial" w:hAnsi="Arial"/>
                <w:sz w:val="18"/>
                <w:szCs w:val="18"/>
                <w:color w:val="auto"/>
                <w:w w:val="97"/>
              </w:rPr>
              <w:t>Number of Committee Meetings Held in 2017</w:t>
            </w:r>
          </w:p>
        </w:tc>
        <w:tc>
          <w:tcPr>
            <w:tcW w:w="1800" w:type="dxa"/>
            <w:vAlign w:val="bottom"/>
          </w:tcPr>
          <w:p>
            <w:pPr>
              <w:jc w:val="center"/>
              <w:spacing w:after="0"/>
              <w:rPr>
                <w:sz w:val="20"/>
                <w:szCs w:val="20"/>
                <w:color w:val="auto"/>
              </w:rPr>
            </w:pPr>
            <w:r>
              <w:rPr>
                <w:rFonts w:ascii="Arial" w:cs="Arial" w:eastAsia="Arial" w:hAnsi="Arial"/>
                <w:sz w:val="18"/>
                <w:szCs w:val="18"/>
                <w:color w:val="auto"/>
                <w:w w:val="79"/>
              </w:rPr>
              <w:t>6</w:t>
            </w:r>
          </w:p>
        </w:tc>
        <w:tc>
          <w:tcPr>
            <w:tcW w:w="220" w:type="dxa"/>
            <w:vAlign w:val="bottom"/>
          </w:tcPr>
          <w:p>
            <w:pPr>
              <w:spacing w:after="0"/>
              <w:rPr>
                <w:sz w:val="18"/>
                <w:szCs w:val="18"/>
                <w:color w:val="auto"/>
              </w:rPr>
            </w:pPr>
          </w:p>
        </w:tc>
        <w:tc>
          <w:tcPr>
            <w:tcW w:w="1800" w:type="dxa"/>
            <w:vAlign w:val="bottom"/>
          </w:tcPr>
          <w:p>
            <w:pPr>
              <w:jc w:val="center"/>
              <w:spacing w:after="0"/>
              <w:rPr>
                <w:sz w:val="20"/>
                <w:szCs w:val="20"/>
                <w:color w:val="auto"/>
              </w:rPr>
            </w:pPr>
            <w:r>
              <w:rPr>
                <w:rFonts w:ascii="Arial" w:cs="Arial" w:eastAsia="Arial" w:hAnsi="Arial"/>
                <w:sz w:val="18"/>
                <w:szCs w:val="18"/>
                <w:color w:val="auto"/>
                <w:w w:val="89"/>
              </w:rPr>
              <w:t>11</w:t>
            </w:r>
          </w:p>
        </w:tc>
        <w:tc>
          <w:tcPr>
            <w:tcW w:w="220" w:type="dxa"/>
            <w:vAlign w:val="bottom"/>
          </w:tcPr>
          <w:p>
            <w:pPr>
              <w:spacing w:after="0"/>
              <w:rPr>
                <w:sz w:val="18"/>
                <w:szCs w:val="18"/>
                <w:color w:val="auto"/>
              </w:rPr>
            </w:pPr>
          </w:p>
        </w:tc>
        <w:tc>
          <w:tcPr>
            <w:tcW w:w="1820" w:type="dxa"/>
            <w:vAlign w:val="bottom"/>
          </w:tcPr>
          <w:p>
            <w:pPr>
              <w:jc w:val="center"/>
              <w:spacing w:after="0"/>
              <w:rPr>
                <w:sz w:val="20"/>
                <w:szCs w:val="20"/>
                <w:color w:val="auto"/>
              </w:rPr>
            </w:pPr>
            <w:r>
              <w:rPr>
                <w:rFonts w:ascii="Arial" w:cs="Arial" w:eastAsia="Arial" w:hAnsi="Arial"/>
                <w:sz w:val="18"/>
                <w:szCs w:val="18"/>
                <w:color w:val="auto"/>
                <w:w w:val="99"/>
              </w:rPr>
              <w:t>5</w:t>
            </w:r>
          </w:p>
        </w:tc>
        <w:tc>
          <w:tcPr>
            <w:tcW w:w="220" w:type="dxa"/>
            <w:vAlign w:val="bottom"/>
          </w:tcPr>
          <w:p>
            <w:pPr>
              <w:spacing w:after="0"/>
              <w:rPr>
                <w:sz w:val="18"/>
                <w:szCs w:val="18"/>
                <w:color w:val="auto"/>
              </w:rPr>
            </w:pPr>
          </w:p>
        </w:tc>
        <w:tc>
          <w:tcPr>
            <w:tcW w:w="1800" w:type="dxa"/>
            <w:vAlign w:val="bottom"/>
          </w:tcPr>
          <w:p>
            <w:pPr>
              <w:jc w:val="center"/>
              <w:spacing w:after="0"/>
              <w:rPr>
                <w:sz w:val="20"/>
                <w:szCs w:val="20"/>
                <w:color w:val="auto"/>
              </w:rPr>
            </w:pPr>
            <w:r>
              <w:rPr>
                <w:rFonts w:ascii="Arial" w:cs="Arial" w:eastAsia="Arial" w:hAnsi="Arial"/>
                <w:sz w:val="18"/>
                <w:szCs w:val="18"/>
                <w:color w:val="auto"/>
                <w:w w:val="79"/>
              </w:rPr>
              <w:t>5</w:t>
            </w:r>
          </w:p>
        </w:tc>
        <w:tc>
          <w:tcPr>
            <w:tcW w:w="0" w:type="dxa"/>
            <w:vAlign w:val="bottom"/>
          </w:tcPr>
          <w:p>
            <w:pPr>
              <w:spacing w:after="0"/>
              <w:rPr>
                <w:sz w:val="1"/>
                <w:szCs w:val="1"/>
                <w:color w:val="auto"/>
              </w:rPr>
            </w:pPr>
          </w:p>
        </w:tc>
      </w:tr>
    </w:tbl>
    <w:p>
      <w:pPr>
        <w:spacing w:after="0" w:line="25" w:lineRule="exact"/>
        <w:rPr>
          <w:sz w:val="20"/>
          <w:szCs w:val="20"/>
          <w:color w:val="auto"/>
        </w:rPr>
      </w:pPr>
    </w:p>
    <w:p>
      <w:pPr>
        <w:jc w:val="both"/>
        <w:ind w:firstLine="8"/>
        <w:spacing w:after="0" w:line="212" w:lineRule="auto"/>
        <w:tabs>
          <w:tab w:leader="none" w:pos="212" w:val="left"/>
        </w:tabs>
        <w:numPr>
          <w:ilvl w:val="0"/>
          <w:numId w:val="61"/>
        </w:numPr>
        <w:rPr>
          <w:rFonts w:ascii="Arial" w:cs="Arial" w:eastAsia="Arial" w:hAnsi="Arial"/>
          <w:sz w:val="29"/>
          <w:szCs w:val="29"/>
          <w:color w:val="auto"/>
          <w:vertAlign w:val="superscript"/>
        </w:rPr>
      </w:pPr>
      <w:r>
        <w:rPr>
          <w:rFonts w:ascii="Arial" w:cs="Arial" w:eastAsia="Arial" w:hAnsi="Arial"/>
          <w:sz w:val="18"/>
          <w:szCs w:val="18"/>
          <w:color w:val="auto"/>
        </w:rPr>
        <w:t>On February 6, 2018, the Board of Directors agreed to assign the Audit and Compliance Committee matters related to compliance to the Prevention and Compliance Committee (formerly known as the Prevention Committee), which became a standing committee of the Board, with its charter approved on April 10, 2018.</w:t>
      </w:r>
    </w:p>
    <w:p>
      <w:pPr>
        <w:spacing w:after="0" w:line="200" w:lineRule="exact"/>
        <w:rPr>
          <w:sz w:val="20"/>
          <w:szCs w:val="20"/>
          <w:color w:val="auto"/>
        </w:rPr>
      </w:pPr>
    </w:p>
    <w:p>
      <w:pPr>
        <w:spacing w:after="0" w:line="22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0" w:name="page91"/>
    <w:bookmarkEnd w:id="90"/>
    <w:p>
      <w:pPr>
        <w:spacing w:after="0"/>
        <w:rPr>
          <w:sz w:val="20"/>
          <w:szCs w:val="20"/>
          <w:color w:val="auto"/>
        </w:rPr>
      </w:pPr>
      <w:r>
        <w:rPr>
          <w:rFonts w:ascii="Arial" w:cs="Arial" w:eastAsia="Arial" w:hAnsi="Arial"/>
          <w:sz w:val="18"/>
          <w:szCs w:val="18"/>
          <w:i w:val="1"/>
          <w:iCs w:val="1"/>
          <w:color w:val="auto"/>
        </w:rPr>
        <w:t>Audit Committee</w:t>
      </w:r>
    </w:p>
    <w:p>
      <w:pPr>
        <w:spacing w:after="0" w:line="225"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The Audit Committee is a standing committee of the Board. According to its Charter, the Audit Committee must be comprised of at least three directors. The current members of the Audit Committee are Mr. Herminio A. Blanco (Chair), Mr. Gonzalo Menéndez Duque, Mr. José Alberto Garzón and Mr. Javier González Fraga.</w:t>
      </w:r>
    </w:p>
    <w:p>
      <w:pPr>
        <w:spacing w:after="0" w:line="181"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The Board has determined that all members of the Audit Committee are independent directors under the terms defined by applicable laws and regulations, including rules promulgated by the SEC under the Sarbanes-Oxley Act, Section 303A of NYSE Listed Company Manual, and Rule No. 05-2011, as amended by Rule No. 05-2014 of the Superintendency of Banks of Panama. In addition, at least one of the members of the Audit Committee is an “audit committee financial expert,” as defined by the SEC in Item 407 of Regulation S-K. The Audit Committee’s financial expert is Gonzalo Menéndez Duque.</w:t>
      </w:r>
    </w:p>
    <w:p>
      <w:pPr>
        <w:spacing w:after="0" w:line="154"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purpose of the Audit Committee is to provide assistance to the Board in fulfilling its oversight responsibilities regarding the processing of the Bank’s financial information, the integrity of the Bank’s financial statements, the Bank’s system of internal controls over financial reporting, the performance of both the internal audit and the independent registered public accounting firm, the Bank’s corporate governance, compliance with legal and regulatory requirements and the Bank’s Code of Ethics. The Audit Committee meets with each of the internal and independent auditors and the Bank’s management to discuss the Bank’s audited consolidated financial statements and management’s discussion and analysis of financial condition and results of operations.</w:t>
      </w:r>
    </w:p>
    <w:p>
      <w:pPr>
        <w:spacing w:after="0" w:line="15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Audit Committee meets at least six times per year, as required by the Superintendency of Banks of Panama and the Committee charter, or more often if the circumstances so require. During the fiscal year ended December 31, 2017, the Committee met six times.</w:t>
      </w:r>
    </w:p>
    <w:p>
      <w:pPr>
        <w:spacing w:after="0" w:line="170"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The Audit Committee, in its capacity as a committee of the Board, is directly responsible for recommending to the shareholders the renewal or replacement of the Bank’s independent auditors at the Annual Shareholders’ Meeting, the compensation of the independent auditors (including the pre-approval of all audit and non-audit services) and oversight of the independent auditors, including the resolution of disagreements regarding financial reporting between the Bank’s management and the independent auditors. The Bank’s independent auditors are required to report directly to the Committee.</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color w:val="auto"/>
        </w:rPr>
        <w:t>The Charter of the Audit Committee requires an annual self-evaluation of the Committee’s performance.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Audit Committee pre approved all audit and non audit services of the Bank’s independent auditors in 2017.</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Audit Committee’s Charter may be found on the Bank’s website at http://bladex.com/en/investors/committees-board.</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Prevention and Compliance Committee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Prevention and Compliance Committee became a standing committee of the Board on February 6, 2018.</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1" w:name="page92"/>
    <w:bookmarkEnd w:id="91"/>
    <w:p>
      <w:pPr>
        <w:jc w:val="both"/>
        <w:spacing w:after="0" w:line="259" w:lineRule="auto"/>
        <w:rPr>
          <w:sz w:val="20"/>
          <w:szCs w:val="20"/>
          <w:color w:val="auto"/>
        </w:rPr>
      </w:pPr>
      <w:r>
        <w:rPr>
          <w:rFonts w:ascii="Arial" w:cs="Arial" w:eastAsia="Arial" w:hAnsi="Arial"/>
          <w:sz w:val="18"/>
          <w:szCs w:val="18"/>
          <w:color w:val="auto"/>
        </w:rPr>
        <w:t>In accordance with applicable regulations of the Superintendency of Banks of Panama, the Prevention and Compliance Committee shall be comprised of at least two members of the Board of Directors as well as members of the senior management of the Bank. The current members of the Prevention and Compliance Committee are directors Ricardo Manuel Arango and Miguel Heras, and the Bank’s Chief Executive Officer, Chief Operating Officer, Chief Commercial Officer, Chief Risk Officer, Chief Audit Officer, Chief Legal Counsel and Chief Compliance Officer.</w:t>
      </w:r>
    </w:p>
    <w:p>
      <w:pPr>
        <w:spacing w:after="0" w:line="187"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The fundamental role of the Prevention and Compliance Committee is to provide support to the Board of Directors in complying with the laws and regulations related to the prevention of money laundering, financing of terrorism and the proliferation of weapons of mass destruction, including OFAC and FATCA regulations, as well as the Common Reporting Standards (“CRS”) of the Organization for Economic Cooperation and Development (“OECD”).</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Prevention and Compliance Committee charter requires the Committee to meet at least six times per year. The Committee’s first meeting was held on March 26, 2018.</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The Prevention and Compliance Committee Charter may be found on the Bank’s website at http://bladex.com/en/investors/committees-board.</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Risk Policy and Assessment Committee</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Risk Policy and Assessment Committee is a standing committee of the Board. The current members of the Risk Policy and Assessment Committee are Mr. Miguel Heras Castro (Chair), Mr. Gonzalo Menéndez Duque, Mr. Ricardo Manuel Arango, Mr. Herminio A. Blanco, Mr. Mario Covo and Mr. Roland Holst.</w:t>
      </w:r>
    </w:p>
    <w:p>
      <w:pPr>
        <w:spacing w:after="0" w:line="181"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Risk Policy and Assessment Committee is responsible for reviewing and recommending to the Board, for its approval, all policies related to the prudent enterprise risk management. The Committee also reviews and assesses exposures to the risks facing the Bank’s business within the risk levels the Bank is willing to take in accordance with its applicable policies, including the review and assessment of the quality and profile of the Bank’s credit facilities, the exposure to market risks and the analysis of operational risks, which take into account the legal risks associated with the Bank’s products.</w:t>
      </w:r>
    </w:p>
    <w:p>
      <w:pPr>
        <w:spacing w:after="0" w:line="17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addition, the Risk Policy and Assessment Committee assesses and approves credit limits and approves management proposals for granting different types of financing up to the legal limit applicable to the Bank in accordance with current regulations on the date of approval of each transaction and/or economic group. The Committee reports to the Board, and refers transactions to the Board for consideration and approval when the transaction limit exceeds the authorization limit delegated to the Committee.</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Risk Policy and Assessment Committee performs its duties through the review of reports received regularly from management and through its interactions with the Risk Management area and other members of the Bank’s management. The Risk Policy and Assessment Committee charter requires the Committee to meet at least four times per year. During the fiscal period ended December 31, 2017, the Risk Policy and Assessment Committee held eleven meetings.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The Risk Policy and Assessment Committee Charter may be found on the Bank’s website at http://bladex.com/en/investors/committees-board.</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2" w:name="page93"/>
    <w:bookmarkEnd w:id="92"/>
    <w:p>
      <w:pPr>
        <w:spacing w:after="0"/>
        <w:rPr>
          <w:sz w:val="20"/>
          <w:szCs w:val="20"/>
          <w:color w:val="auto"/>
        </w:rPr>
      </w:pPr>
      <w:r>
        <w:rPr>
          <w:rFonts w:ascii="Arial" w:cs="Arial" w:eastAsia="Arial" w:hAnsi="Arial"/>
          <w:sz w:val="18"/>
          <w:szCs w:val="18"/>
          <w:i w:val="1"/>
          <w:iCs w:val="1"/>
          <w:color w:val="auto"/>
        </w:rPr>
        <w:t>Finance and Business Committee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Finance and Business Committee is a standing committee of the Board. The current members of the Finance and Business Committee are Mr. Mario Covo (Chair), Mr. Ricardo Manuel Arango, Mr. Miguel Heras Castro, Mr. Roland Holst and Mr. João Carlos de Nóbrega Pecego.</w:t>
      </w:r>
    </w:p>
    <w:p>
      <w:pPr>
        <w:spacing w:after="0" w:line="170"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The fundamental role of the Finance and Business Committee is to review and analyze all issues related to the development and execution of the Bank’s business and its financial management including, among others, capital management, portfolio management (assets and liabilities), liquidity management, gap and funding management, tax related matters and, the financial performance of the Bank in general. The Finance and Business Committee charter requires the Committee to meet at least five times per year. During the fiscal year ended December 31, 2017, the Committee held five meetings.</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color w:val="auto"/>
        </w:rPr>
        <w:t>The Finance and Business Committee Charter may be found on the Bank’s website at http://bladex.com/en/investors/committees-board.</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Compensation Committee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Compensation Committee is a standing committee of the Board. The current members of the Compensation Committee are Mr. João Carlos de Nóbrega Pecego (Chair), Mr. José Alberto Garzón and Mr. Javier González Fraga.</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Charter of the Compensation Committee requires that all members of the Committee be independent directors. No member of the Compensation Committee can be an employee of the Bank. The Board has determined that all members of the Compensation Committee are independent under the terms defined by applicable laws and regulations, including rules promulgated by the SEC under the Sarbanes-Oxley Act, Section 303A of the Manual for Companies listed on the NYSE, and Rule No. 05-2011, as amended by Rule No. 05-2014 of the Superintendency of Banks of Panama. The Compensation Committee charter requires the Committee to meet at least five times per year. During the fiscal year ended December 31, 2017, the Compensation Committee held five meetings.</w:t>
      </w:r>
    </w:p>
    <w:p>
      <w:pPr>
        <w:spacing w:after="0" w:line="193"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Compensation Committee’s primary responsibilities are to assist the Board by: identifying candidates to become Board members and recommending nominees for the annual meetings of shareholders; making recommendations to the Board concerning candidates for Chief Executive Officer and counseling on succession planning for executive officers; recommending compensation for Board members and committee members, including cash and equity compensation; recommending compensation policies for executive officers and employees of the Bank, including cash and equity compensation, policies for senior management and employee benefit programs and plans; reviewing and recommending changes to the Bank’s Code of Ethics; and advising executive officers on issues related to the Bank’s personnel. In addition, this Committee submits recommendations on issues related to improving the Bank’s operating model, and evaluates and proposes technology and communications strategic plans.</w:t>
      </w:r>
    </w:p>
    <w:p>
      <w:pPr>
        <w:spacing w:after="0" w:line="178"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The Compensation Committee will consider qualified director candidates recommended by shareholders. All director candidates will be evaluated in the same manner regardless of how they are recommended, including recommendations by shareholders. For the current director nominees, the Committee considers candidate qualifications and other factors, including, but not limited to, diversity in background and experience, industry knowledge, educational level and the needs of the Bank. Shareholders can mail any recommendations and an explanation of the qualifications of the candidates to the Secretary of the Bank at Torre V, Business Park, P.O. Box 0819-08730, Panama City, Republic of Panama.</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3" w:name="page94"/>
    <w:bookmarkEnd w:id="93"/>
    <w:p>
      <w:pPr>
        <w:jc w:val="both"/>
        <w:spacing w:after="0" w:line="255" w:lineRule="auto"/>
        <w:rPr>
          <w:sz w:val="20"/>
          <w:szCs w:val="20"/>
          <w:color w:val="auto"/>
        </w:rPr>
      </w:pPr>
      <w:r>
        <w:rPr>
          <w:rFonts w:ascii="Arial" w:cs="Arial" w:eastAsia="Arial" w:hAnsi="Arial"/>
          <w:sz w:val="18"/>
          <w:szCs w:val="18"/>
          <w:color w:val="auto"/>
        </w:rPr>
        <w:t>Although the Bank does not have a formal policy or specific guidelines for the consideration of diversity by the Compensation Committee in identifying nominees for director, diversity is one of the factors the Compensation Committee considers. The Compensation Committee generally views and values diversity from the perspective of professional and life experiences, and recognizes that diversity in professional and life experiences may include considerations of race, national origin or other characteristics in identifying individuals who possess the qualifications that the Committee believes are important to be represented on the Board. The fact that out of a total of ten members, eight different nationalities are represented, reflects the importance given to diversity by the Board of Directors.</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The Charter of the Compensation Committee requires an annual self-evaluation of the Committee’s performance.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Compensation Committee Charter may be found on the Bank’s website at http://bladex.com/en/investors/committees-board.</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None of the Bank’s executive officers serve as a director or a member of the Compensation Committee, or any other committee serving an equivalent function, of any other entity that has one or more of its executive officers serving as a member of the Board or the Compensation Committee. None of the members of the Compensation Committee has ever been an employee of the Bank.</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Corporate Governance Practices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Board has decided not to establish a corporate governance committee. Given the importance that corporate governance has for the Bank, the Board decided to address all matters related to corporate governance at the Board level. Further, the Audit Committee is responsible for promoting continued improvement in the Bank’s corporate governance and verifying compliance with all applicable policies.</w:t>
      </w:r>
    </w:p>
    <w:p>
      <w:pPr>
        <w:spacing w:after="0" w:line="181" w:lineRule="exact"/>
        <w:rPr>
          <w:sz w:val="20"/>
          <w:szCs w:val="20"/>
          <w:color w:val="auto"/>
        </w:rPr>
      </w:pPr>
    </w:p>
    <w:p>
      <w:pPr>
        <w:jc w:val="both"/>
        <w:ind w:right="20"/>
        <w:spacing w:after="0" w:line="342" w:lineRule="auto"/>
        <w:rPr>
          <w:sz w:val="20"/>
          <w:szCs w:val="20"/>
          <w:color w:val="auto"/>
        </w:rPr>
      </w:pPr>
      <w:r>
        <w:rPr>
          <w:rFonts w:ascii="Arial" w:cs="Arial" w:eastAsia="Arial" w:hAnsi="Arial"/>
          <w:sz w:val="16"/>
          <w:szCs w:val="16"/>
          <w:color w:val="auto"/>
        </w:rPr>
        <w:t>The Bank has included the information regarding its corporate governance practices necessary to comply with Section 303A of the NYSE’s Listed Company Manual/Corporate Governance Rules on “Investors Relations / Corporate Governance” section of the Bank’s website at http://www.bladex.com/en/investors.</w:t>
      </w:r>
    </w:p>
    <w:p>
      <w:pPr>
        <w:spacing w:after="0" w:line="124" w:lineRule="exact"/>
        <w:rPr>
          <w:sz w:val="20"/>
          <w:szCs w:val="20"/>
          <w:color w:val="auto"/>
        </w:rPr>
      </w:pPr>
    </w:p>
    <w:p>
      <w:pPr>
        <w:spacing w:after="0"/>
        <w:rPr>
          <w:sz w:val="20"/>
          <w:szCs w:val="20"/>
          <w:color w:val="auto"/>
        </w:rPr>
      </w:pPr>
      <w:r>
        <w:rPr>
          <w:rFonts w:ascii="Arial" w:cs="Arial" w:eastAsia="Arial" w:hAnsi="Arial"/>
          <w:sz w:val="17"/>
          <w:szCs w:val="17"/>
          <w:color w:val="auto"/>
        </w:rPr>
        <w:t>Shareholders, employees of the Bank, and other interested parties may communicate directly with the Board by corresponding to the address below:</w:t>
      </w:r>
    </w:p>
    <w:p>
      <w:pPr>
        <w:spacing w:after="0" w:line="23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Board of Directors of Banco Latinoamericano de Comercio Exterior, S.A.</w:t>
      </w:r>
    </w:p>
    <w:p>
      <w:pPr>
        <w:spacing w:after="0" w:line="23" w:lineRule="exact"/>
        <w:rPr>
          <w:sz w:val="20"/>
          <w:szCs w:val="20"/>
          <w:color w:val="auto"/>
        </w:rPr>
      </w:pPr>
    </w:p>
    <w:p>
      <w:pPr>
        <w:ind w:left="660"/>
        <w:spacing w:after="0"/>
        <w:rPr>
          <w:sz w:val="20"/>
          <w:szCs w:val="20"/>
          <w:color w:val="auto"/>
        </w:rPr>
      </w:pPr>
      <w:r>
        <w:rPr>
          <w:rFonts w:ascii="Arial" w:cs="Arial" w:eastAsia="Arial" w:hAnsi="Arial"/>
          <w:sz w:val="18"/>
          <w:szCs w:val="18"/>
          <w:color w:val="auto"/>
        </w:rPr>
        <w:t>c/o Mr. Gonzalo Menéndez Duque</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Director and Chairman of the Board of Directors</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Torre V, Business Park</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Avenida La Rotonda, Urb. Costa del Este</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P.O. Box 0819-08730</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Panama City, Republic of Panama</w:t>
      </w:r>
    </w:p>
    <w:p>
      <w:pPr>
        <w:spacing w:after="0" w:line="21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addition, the Bank has selected Ethics Line, an online reporting system, to provide shareholders, employees of the Bank, and other interested parties with an alternative channel to report anonymously, any actual or possible violations of the Bank’s Code of Ethics, as well as other work-related situations or irregular or suspicious transactions, accounting matters, internal audit or accounting controls. In order to file a report, a link is provided on the Bank’s website at http://www.bladex.com.</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4" w:name="page95"/>
    <w:bookmarkEnd w:id="94"/>
    <w:p>
      <w:pPr>
        <w:ind w:left="660" w:hanging="652"/>
        <w:spacing w:after="0"/>
        <w:tabs>
          <w:tab w:leader="none" w:pos="66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Employees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the total number of permanent employees, geographically distributed, at the dates indicated:</w:t>
      </w:r>
    </w:p>
    <w:p>
      <w:pPr>
        <w:spacing w:after="0" w:line="235" w:lineRule="exact"/>
        <w:rPr>
          <w:sz w:val="20"/>
          <w:szCs w:val="20"/>
          <w:color w:val="auto"/>
        </w:rPr>
      </w:pPr>
    </w:p>
    <w:p>
      <w:pPr>
        <w:ind w:left="8120"/>
        <w:spacing w:after="0"/>
        <w:rPr>
          <w:sz w:val="20"/>
          <w:szCs w:val="20"/>
          <w:color w:val="auto"/>
        </w:rPr>
      </w:pPr>
      <w:r>
        <w:rPr>
          <w:rFonts w:ascii="Arial" w:cs="Arial" w:eastAsia="Arial" w:hAnsi="Arial"/>
          <w:sz w:val="18"/>
          <w:szCs w:val="18"/>
          <w:b w:val="1"/>
          <w:bCs w:val="1"/>
          <w:color w:val="auto"/>
        </w:rPr>
        <w:t>As of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6280" w:type="dxa"/>
            <w:vAlign w:val="bottom"/>
          </w:tcPr>
          <w:p>
            <w:pPr>
              <w:spacing w:after="0"/>
              <w:rPr>
                <w:sz w:val="19"/>
                <w:szCs w:val="19"/>
                <w:color w:val="auto"/>
              </w:rPr>
            </w:pPr>
          </w:p>
        </w:tc>
        <w:tc>
          <w:tcPr>
            <w:tcW w:w="1200" w:type="dxa"/>
            <w:vAlign w:val="bottom"/>
            <w:tcBorders>
              <w:top w:val="single" w:sz="8" w:color="auto"/>
            </w:tcBorders>
            <w:gridSpan w:val="2"/>
          </w:tcPr>
          <w:p>
            <w:pPr>
              <w:jc w:val="right"/>
              <w:ind w:right="140"/>
              <w:spacing w:after="0"/>
              <w:rPr>
                <w:sz w:val="20"/>
                <w:szCs w:val="20"/>
                <w:color w:val="auto"/>
              </w:rPr>
            </w:pPr>
            <w:r>
              <w:rPr>
                <w:rFonts w:ascii="Arial" w:cs="Arial" w:eastAsia="Arial" w:hAnsi="Arial"/>
                <w:sz w:val="18"/>
                <w:szCs w:val="18"/>
                <w:b w:val="1"/>
                <w:bCs w:val="1"/>
                <w:color w:val="auto"/>
              </w:rPr>
              <w:t>2017</w:t>
            </w:r>
          </w:p>
        </w:tc>
        <w:tc>
          <w:tcPr>
            <w:tcW w:w="1740" w:type="dxa"/>
            <w:vAlign w:val="bottom"/>
            <w:tcBorders>
              <w:top w:val="single" w:sz="8" w:color="auto"/>
            </w:tcBorders>
            <w:gridSpan w:val="3"/>
          </w:tcPr>
          <w:p>
            <w:pPr>
              <w:jc w:val="right"/>
              <w:ind w:right="160"/>
              <w:spacing w:after="0"/>
              <w:rPr>
                <w:sz w:val="20"/>
                <w:szCs w:val="20"/>
                <w:color w:val="auto"/>
              </w:rPr>
            </w:pPr>
            <w:r>
              <w:rPr>
                <w:rFonts w:ascii="Arial" w:cs="Arial" w:eastAsia="Arial" w:hAnsi="Arial"/>
                <w:sz w:val="18"/>
                <w:szCs w:val="18"/>
                <w:b w:val="1"/>
                <w:bCs w:val="1"/>
                <w:color w:val="auto"/>
              </w:rPr>
              <w:t>2016</w:t>
            </w:r>
          </w:p>
        </w:tc>
        <w:tc>
          <w:tcPr>
            <w:tcW w:w="40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1480" w:type="dxa"/>
            <w:vAlign w:val="bottom"/>
            <w:tcBorders>
              <w:top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r>
      <w:tr>
        <w:trPr>
          <w:trHeight w:val="210"/>
        </w:trPr>
        <w:tc>
          <w:tcPr>
            <w:tcW w:w="64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Bladex Head Office in Panama</w:t>
            </w:r>
          </w:p>
        </w:tc>
        <w:tc>
          <w:tcPr>
            <w:tcW w:w="108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w:t>
            </w:r>
          </w:p>
        </w:tc>
        <w:tc>
          <w:tcPr>
            <w:tcW w:w="26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157</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151</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480" w:type="dxa"/>
            <w:vAlign w:val="bottom"/>
            <w:gridSpan w:val="3"/>
          </w:tcPr>
          <w:p>
            <w:pPr>
              <w:spacing w:after="0"/>
              <w:rPr>
                <w:sz w:val="20"/>
                <w:szCs w:val="20"/>
                <w:color w:val="auto"/>
              </w:rPr>
            </w:pPr>
            <w:r>
              <w:rPr>
                <w:rFonts w:ascii="Arial" w:cs="Arial" w:eastAsia="Arial" w:hAnsi="Arial"/>
                <w:sz w:val="18"/>
                <w:szCs w:val="18"/>
                <w:color w:val="auto"/>
              </w:rPr>
              <w:t>New York Agency</w:t>
            </w:r>
          </w:p>
        </w:tc>
        <w:tc>
          <w:tcPr>
            <w:tcW w:w="680" w:type="dxa"/>
            <w:vAlign w:val="bottom"/>
            <w:gridSpan w:val="2"/>
          </w:tcPr>
          <w:p>
            <w:pPr>
              <w:jc w:val="right"/>
              <w:ind w:right="260"/>
              <w:spacing w:after="0"/>
              <w:rPr>
                <w:sz w:val="20"/>
                <w:szCs w:val="20"/>
                <w:color w:val="auto"/>
              </w:rPr>
            </w:pPr>
            <w:r>
              <w:rPr>
                <w:rFonts w:ascii="Arial" w:cs="Arial" w:eastAsia="Arial" w:hAnsi="Arial"/>
                <w:sz w:val="18"/>
                <w:szCs w:val="18"/>
                <w:color w:val="auto"/>
              </w:rPr>
              <w:t>5</w:t>
            </w:r>
          </w:p>
        </w:tc>
        <w:tc>
          <w:tcPr>
            <w:tcW w:w="1060" w:type="dxa"/>
            <w:vAlign w:val="bottom"/>
          </w:tcPr>
          <w:p>
            <w:pPr>
              <w:spacing w:after="0"/>
              <w:rPr>
                <w:sz w:val="18"/>
                <w:szCs w:val="18"/>
                <w:color w:val="auto"/>
              </w:rPr>
            </w:pP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5</w:t>
            </w:r>
          </w:p>
        </w:tc>
      </w:tr>
      <w:tr>
        <w:trPr>
          <w:trHeight w:val="216"/>
        </w:trPr>
        <w:tc>
          <w:tcPr>
            <w:tcW w:w="74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Representative Office in Argentina</w:t>
            </w:r>
          </w:p>
        </w:tc>
        <w:tc>
          <w:tcPr>
            <w:tcW w:w="6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w:t>
            </w:r>
          </w:p>
        </w:tc>
        <w:tc>
          <w:tcPr>
            <w:tcW w:w="106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w:t>
            </w:r>
          </w:p>
        </w:tc>
      </w:tr>
      <w:tr>
        <w:trPr>
          <w:trHeight w:val="216"/>
        </w:trPr>
        <w:tc>
          <w:tcPr>
            <w:tcW w:w="7480" w:type="dxa"/>
            <w:vAlign w:val="bottom"/>
            <w:gridSpan w:val="3"/>
          </w:tcPr>
          <w:p>
            <w:pPr>
              <w:spacing w:after="0"/>
              <w:rPr>
                <w:sz w:val="20"/>
                <w:szCs w:val="20"/>
                <w:color w:val="auto"/>
              </w:rPr>
            </w:pPr>
            <w:r>
              <w:rPr>
                <w:rFonts w:ascii="Arial" w:cs="Arial" w:eastAsia="Arial" w:hAnsi="Arial"/>
                <w:sz w:val="18"/>
                <w:szCs w:val="18"/>
                <w:color w:val="auto"/>
              </w:rPr>
              <w:t>Representative Office in Brazil</w:t>
            </w:r>
          </w:p>
        </w:tc>
        <w:tc>
          <w:tcPr>
            <w:tcW w:w="680" w:type="dxa"/>
            <w:vAlign w:val="bottom"/>
            <w:gridSpan w:val="2"/>
          </w:tcPr>
          <w:p>
            <w:pPr>
              <w:jc w:val="right"/>
              <w:ind w:right="260"/>
              <w:spacing w:after="0"/>
              <w:rPr>
                <w:sz w:val="20"/>
                <w:szCs w:val="20"/>
                <w:color w:val="auto"/>
              </w:rPr>
            </w:pPr>
            <w:r>
              <w:rPr>
                <w:rFonts w:ascii="Arial" w:cs="Arial" w:eastAsia="Arial" w:hAnsi="Arial"/>
                <w:sz w:val="18"/>
                <w:szCs w:val="18"/>
                <w:color w:val="auto"/>
              </w:rPr>
              <w:t>12</w:t>
            </w:r>
          </w:p>
        </w:tc>
        <w:tc>
          <w:tcPr>
            <w:tcW w:w="1060" w:type="dxa"/>
            <w:vAlign w:val="bottom"/>
          </w:tcPr>
          <w:p>
            <w:pPr>
              <w:spacing w:after="0"/>
              <w:rPr>
                <w:sz w:val="18"/>
                <w:szCs w:val="18"/>
                <w:color w:val="auto"/>
              </w:rPr>
            </w:pP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13</w:t>
            </w:r>
          </w:p>
        </w:tc>
      </w:tr>
      <w:tr>
        <w:trPr>
          <w:trHeight w:val="257"/>
        </w:trPr>
        <w:tc>
          <w:tcPr>
            <w:tcW w:w="748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Representative Offices in Mexico </w:t>
            </w:r>
            <w:r>
              <w:rPr>
                <w:rFonts w:ascii="Arial" w:cs="Arial" w:eastAsia="Arial" w:hAnsi="Arial"/>
                <w:sz w:val="29"/>
                <w:szCs w:val="29"/>
                <w:color w:val="auto"/>
                <w:vertAlign w:val="superscript"/>
              </w:rPr>
              <w:t>(1)</w:t>
            </w:r>
          </w:p>
        </w:tc>
        <w:tc>
          <w:tcPr>
            <w:tcW w:w="6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w:t>
            </w:r>
          </w:p>
        </w:tc>
        <w:tc>
          <w:tcPr>
            <w:tcW w:w="106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w:t>
            </w:r>
          </w:p>
        </w:tc>
      </w:tr>
      <w:tr>
        <w:trPr>
          <w:trHeight w:val="216"/>
        </w:trPr>
        <w:tc>
          <w:tcPr>
            <w:tcW w:w="7480" w:type="dxa"/>
            <w:vAlign w:val="bottom"/>
            <w:gridSpan w:val="3"/>
          </w:tcPr>
          <w:p>
            <w:pPr>
              <w:spacing w:after="0"/>
              <w:rPr>
                <w:sz w:val="20"/>
                <w:szCs w:val="20"/>
                <w:color w:val="auto"/>
              </w:rPr>
            </w:pPr>
            <w:r>
              <w:rPr>
                <w:rFonts w:ascii="Arial" w:cs="Arial" w:eastAsia="Arial" w:hAnsi="Arial"/>
                <w:sz w:val="18"/>
                <w:szCs w:val="18"/>
                <w:color w:val="auto"/>
              </w:rPr>
              <w:t>Representative Office in Colombia</w:t>
            </w:r>
          </w:p>
        </w:tc>
        <w:tc>
          <w:tcPr>
            <w:tcW w:w="680" w:type="dxa"/>
            <w:vAlign w:val="bottom"/>
            <w:gridSpan w:val="2"/>
          </w:tcPr>
          <w:p>
            <w:pPr>
              <w:jc w:val="right"/>
              <w:ind w:right="260"/>
              <w:spacing w:after="0"/>
              <w:rPr>
                <w:sz w:val="20"/>
                <w:szCs w:val="20"/>
                <w:color w:val="auto"/>
              </w:rPr>
            </w:pPr>
            <w:r>
              <w:rPr>
                <w:rFonts w:ascii="Arial" w:cs="Arial" w:eastAsia="Arial" w:hAnsi="Arial"/>
                <w:sz w:val="18"/>
                <w:szCs w:val="18"/>
                <w:color w:val="auto"/>
              </w:rPr>
              <w:t>5</w:t>
            </w:r>
          </w:p>
        </w:tc>
        <w:tc>
          <w:tcPr>
            <w:tcW w:w="1060" w:type="dxa"/>
            <w:vAlign w:val="bottom"/>
          </w:tcPr>
          <w:p>
            <w:pPr>
              <w:spacing w:after="0"/>
              <w:rPr>
                <w:sz w:val="18"/>
                <w:szCs w:val="18"/>
                <w:color w:val="auto"/>
              </w:rPr>
            </w:pP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4</w:t>
            </w:r>
          </w:p>
        </w:tc>
      </w:tr>
      <w:tr>
        <w:trPr>
          <w:trHeight w:val="230"/>
        </w:trPr>
        <w:tc>
          <w:tcPr>
            <w:tcW w:w="74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Representative Office in Peru</w:t>
            </w:r>
          </w:p>
        </w:tc>
        <w:tc>
          <w:tcPr>
            <w:tcW w:w="6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w:t>
            </w:r>
          </w:p>
        </w:tc>
        <w:tc>
          <w:tcPr>
            <w:tcW w:w="1060" w:type="dxa"/>
            <w:vAlign w:val="bottom"/>
            <w:shd w:val="clear" w:color="auto" w:fill="CCEEFF"/>
          </w:tcPr>
          <w:p>
            <w:pPr>
              <w:spacing w:after="0"/>
              <w:rPr>
                <w:sz w:val="19"/>
                <w:szCs w:val="19"/>
                <w:color w:val="auto"/>
              </w:rPr>
            </w:pP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w:t>
            </w:r>
          </w:p>
        </w:tc>
      </w:tr>
      <w:tr>
        <w:trPr>
          <w:trHeight w:val="228"/>
        </w:trPr>
        <w:tc>
          <w:tcPr>
            <w:tcW w:w="6400" w:type="dxa"/>
            <w:vAlign w:val="bottom"/>
            <w:gridSpan w:val="2"/>
          </w:tcPr>
          <w:p>
            <w:pPr>
              <w:spacing w:after="0"/>
              <w:rPr>
                <w:sz w:val="20"/>
                <w:szCs w:val="20"/>
                <w:color w:val="auto"/>
              </w:rPr>
            </w:pPr>
            <w:r>
              <w:rPr>
                <w:rFonts w:ascii="Arial" w:cs="Arial" w:eastAsia="Arial" w:hAnsi="Arial"/>
                <w:sz w:val="18"/>
                <w:szCs w:val="18"/>
                <w:b w:val="1"/>
                <w:bCs w:val="1"/>
                <w:color w:val="auto"/>
              </w:rPr>
              <w:t>Total Number of Permanent Employees</w:t>
            </w:r>
          </w:p>
        </w:tc>
        <w:tc>
          <w:tcPr>
            <w:tcW w:w="1080" w:type="dxa"/>
            <w:vAlign w:val="bottom"/>
            <w:tcBorders>
              <w:top w:val="single" w:sz="8" w:color="auto"/>
            </w:tcBorders>
          </w:tcPr>
          <w:p>
            <w:pPr>
              <w:spacing w:after="0"/>
              <w:rPr>
                <w:sz w:val="19"/>
                <w:szCs w:val="19"/>
                <w:color w:val="auto"/>
              </w:rPr>
            </w:pPr>
          </w:p>
        </w:tc>
        <w:tc>
          <w:tcPr>
            <w:tcW w:w="4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193</w:t>
            </w:r>
          </w:p>
        </w:tc>
        <w:tc>
          <w:tcPr>
            <w:tcW w:w="260" w:type="dxa"/>
            <w:vAlign w:val="bottom"/>
          </w:tcPr>
          <w:p>
            <w:pPr>
              <w:spacing w:after="0"/>
              <w:rPr>
                <w:sz w:val="19"/>
                <w:szCs w:val="19"/>
                <w:color w:val="auto"/>
              </w:rPr>
            </w:pPr>
          </w:p>
        </w:tc>
        <w:tc>
          <w:tcPr>
            <w:tcW w:w="1060" w:type="dxa"/>
            <w:vAlign w:val="bottom"/>
            <w:tcBorders>
              <w:top w:val="single" w:sz="8" w:color="auto"/>
            </w:tcBorders>
          </w:tcPr>
          <w:p>
            <w:pPr>
              <w:spacing w:after="0"/>
              <w:rPr>
                <w:sz w:val="19"/>
                <w:szCs w:val="19"/>
                <w:color w:val="auto"/>
              </w:rPr>
            </w:pPr>
          </w:p>
        </w:tc>
        <w:tc>
          <w:tcPr>
            <w:tcW w:w="4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209</w:t>
            </w:r>
          </w:p>
        </w:tc>
        <w:tc>
          <w:tcPr>
            <w:tcW w:w="2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202</w:t>
            </w:r>
          </w:p>
        </w:tc>
        <w:tc>
          <w:tcPr>
            <w:tcW w:w="100" w:type="dxa"/>
            <w:vAlign w:val="bottom"/>
          </w:tcPr>
          <w:p>
            <w:pPr>
              <w:spacing w:after="0"/>
              <w:rPr>
                <w:sz w:val="19"/>
                <w:szCs w:val="19"/>
                <w:color w:val="auto"/>
              </w:rPr>
            </w:pPr>
          </w:p>
        </w:tc>
      </w:tr>
    </w:tbl>
    <w:p>
      <w:pPr>
        <w:spacing w:after="0" w:line="224" w:lineRule="exact"/>
        <w:rPr>
          <w:sz w:val="20"/>
          <w:szCs w:val="20"/>
          <w:color w:val="auto"/>
        </w:rPr>
      </w:pPr>
    </w:p>
    <w:p>
      <w:pPr>
        <w:ind w:firstLine="8"/>
        <w:spacing w:after="0" w:line="221" w:lineRule="auto"/>
        <w:tabs>
          <w:tab w:leader="none" w:pos="226" w:val="left"/>
        </w:tabs>
        <w:numPr>
          <w:ilvl w:val="0"/>
          <w:numId w:val="63"/>
        </w:numPr>
        <w:rPr>
          <w:rFonts w:ascii="Arial" w:cs="Arial" w:eastAsia="Arial" w:hAnsi="Arial"/>
          <w:sz w:val="26"/>
          <w:szCs w:val="26"/>
          <w:color w:val="auto"/>
          <w:vertAlign w:val="superscript"/>
        </w:rPr>
      </w:pPr>
      <w:r>
        <w:rPr>
          <w:rFonts w:ascii="Arial" w:cs="Arial" w:eastAsia="Arial" w:hAnsi="Arial"/>
          <w:sz w:val="16"/>
          <w:szCs w:val="16"/>
          <w:color w:val="auto"/>
        </w:rPr>
        <w:t>On April 3, 2017, the Bank obtained approval from the National Banking and Securities Commission of Mexico to close its Representative Office in Monterrey, Mexico, and closed the office on April 7, 2017.</w:t>
      </w:r>
    </w:p>
    <w:p>
      <w:pPr>
        <w:spacing w:after="0" w:line="200" w:lineRule="exact"/>
        <w:rPr>
          <w:sz w:val="20"/>
          <w:szCs w:val="20"/>
          <w:color w:val="auto"/>
        </w:rPr>
      </w:pPr>
    </w:p>
    <w:p>
      <w:pPr>
        <w:ind w:left="660" w:hanging="652"/>
        <w:spacing w:after="0"/>
        <w:tabs>
          <w:tab w:leader="none" w:pos="660" w:val="left"/>
        </w:tabs>
        <w:numPr>
          <w:ilvl w:val="0"/>
          <w:numId w:val="64"/>
        </w:numPr>
        <w:rPr>
          <w:rFonts w:ascii="Arial" w:cs="Arial" w:eastAsia="Arial" w:hAnsi="Arial"/>
          <w:sz w:val="18"/>
          <w:szCs w:val="18"/>
          <w:b w:val="1"/>
          <w:bCs w:val="1"/>
          <w:color w:val="auto"/>
        </w:rPr>
      </w:pPr>
      <w:r>
        <w:rPr>
          <w:rFonts w:ascii="Arial" w:cs="Arial" w:eastAsia="Arial" w:hAnsi="Arial"/>
          <w:sz w:val="18"/>
          <w:szCs w:val="18"/>
          <w:b w:val="1"/>
          <w:bCs w:val="1"/>
          <w:color w:val="auto"/>
        </w:rPr>
        <w:t>Share Ownership</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See Item 6.B., “Directors, Executive Officers and Employees–Compensation–Beneficial Ownership.”</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7.</w:t>
      </w:r>
      <w:r>
        <w:rPr>
          <w:sz w:val="20"/>
          <w:szCs w:val="20"/>
          <w:color w:val="auto"/>
        </w:rPr>
        <w:tab/>
      </w:r>
      <w:r>
        <w:rPr>
          <w:rFonts w:ascii="Arial" w:cs="Arial" w:eastAsia="Arial" w:hAnsi="Arial"/>
          <w:sz w:val="16"/>
          <w:szCs w:val="16"/>
          <w:b w:val="1"/>
          <w:bCs w:val="1"/>
          <w:color w:val="auto"/>
        </w:rPr>
        <w:t>Major Stockholders and Related Party Transactions</w:t>
      </w:r>
    </w:p>
    <w:p>
      <w:pPr>
        <w:spacing w:after="0" w:line="225" w:lineRule="exact"/>
        <w:rPr>
          <w:sz w:val="20"/>
          <w:szCs w:val="20"/>
          <w:color w:val="auto"/>
        </w:rPr>
      </w:pPr>
    </w:p>
    <w:p>
      <w:pPr>
        <w:ind w:left="660" w:hanging="652"/>
        <w:spacing w:after="0"/>
        <w:tabs>
          <w:tab w:leader="none" w:pos="660" w:val="left"/>
        </w:tabs>
        <w:numPr>
          <w:ilvl w:val="0"/>
          <w:numId w:val="65"/>
        </w:numPr>
        <w:rPr>
          <w:rFonts w:ascii="Arial" w:cs="Arial" w:eastAsia="Arial" w:hAnsi="Arial"/>
          <w:sz w:val="18"/>
          <w:szCs w:val="18"/>
          <w:b w:val="1"/>
          <w:bCs w:val="1"/>
          <w:color w:val="auto"/>
        </w:rPr>
      </w:pPr>
      <w:r>
        <w:rPr>
          <w:rFonts w:ascii="Arial" w:cs="Arial" w:eastAsia="Arial" w:hAnsi="Arial"/>
          <w:sz w:val="18"/>
          <w:szCs w:val="18"/>
          <w:b w:val="1"/>
          <w:bCs w:val="1"/>
          <w:color w:val="auto"/>
        </w:rPr>
        <w:t>Major Stockholders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As of December 31, 2017, the Bank was not directly or indirectly owned or controlled by another corporation or any foreign government, and no person was the registered owner of more than 7.8% of the total outstanding shares of voting capital stock of the Bank.</w:t>
      </w:r>
    </w:p>
    <w:p>
      <w:pPr>
        <w:spacing w:after="0" w:line="170"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following table sets forth information regarding the Bank’s shareholders that are the beneficial owners of 5% or more of any one class of the Bank’s voting stock, on December 31, 2017.</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480" w:type="dxa"/>
            <w:vAlign w:val="bottom"/>
          </w:tcPr>
          <w:p>
            <w:pPr>
              <w:spacing w:after="0"/>
              <w:rPr>
                <w:sz w:val="20"/>
                <w:szCs w:val="20"/>
                <w:color w:val="auto"/>
              </w:rPr>
            </w:pPr>
          </w:p>
        </w:tc>
        <w:tc>
          <w:tcPr>
            <w:tcW w:w="188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3560" w:type="dxa"/>
            <w:vAlign w:val="bottom"/>
            <w:gridSpan w:val="5"/>
          </w:tcPr>
          <w:p>
            <w:pPr>
              <w:ind w:left="20"/>
              <w:spacing w:after="0"/>
              <w:rPr>
                <w:sz w:val="20"/>
                <w:szCs w:val="20"/>
                <w:color w:val="auto"/>
              </w:rPr>
            </w:pPr>
            <w:r>
              <w:rPr>
                <w:rFonts w:ascii="Arial" w:cs="Arial" w:eastAsia="Arial" w:hAnsi="Arial"/>
                <w:sz w:val="18"/>
                <w:szCs w:val="18"/>
                <w:b w:val="1"/>
                <w:bCs w:val="1"/>
                <w:color w:val="auto"/>
              </w:rPr>
              <w:t>As of December 31, 2017</w:t>
            </w:r>
          </w:p>
        </w:tc>
      </w:tr>
      <w:tr>
        <w:trPr>
          <w:trHeight w:val="191"/>
        </w:trPr>
        <w:tc>
          <w:tcPr>
            <w:tcW w:w="4480" w:type="dxa"/>
            <w:vAlign w:val="bottom"/>
          </w:tcPr>
          <w:p>
            <w:pPr>
              <w:spacing w:after="0"/>
              <w:rPr>
                <w:sz w:val="16"/>
                <w:szCs w:val="16"/>
                <w:color w:val="auto"/>
              </w:rPr>
            </w:pPr>
          </w:p>
        </w:tc>
        <w:tc>
          <w:tcPr>
            <w:tcW w:w="1880" w:type="dxa"/>
            <w:vAlign w:val="bottom"/>
          </w:tcPr>
          <w:p>
            <w:pPr>
              <w:spacing w:after="0"/>
              <w:rPr>
                <w:sz w:val="16"/>
                <w:szCs w:val="16"/>
                <w:color w:val="auto"/>
              </w:rPr>
            </w:pPr>
          </w:p>
        </w:tc>
        <w:tc>
          <w:tcPr>
            <w:tcW w:w="1460" w:type="dxa"/>
            <w:vAlign w:val="bottom"/>
            <w:tcBorders>
              <w:top w:val="single" w:sz="8" w:color="auto"/>
            </w:tcBorders>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 of Total Common</w:t>
            </w:r>
          </w:p>
        </w:tc>
        <w:tc>
          <w:tcPr>
            <w:tcW w:w="100" w:type="dxa"/>
            <w:vAlign w:val="bottom"/>
          </w:tcPr>
          <w:p>
            <w:pPr>
              <w:spacing w:after="0"/>
              <w:rPr>
                <w:sz w:val="16"/>
                <w:szCs w:val="16"/>
                <w:color w:val="auto"/>
              </w:rPr>
            </w:pPr>
          </w:p>
        </w:tc>
      </w:tr>
      <w:tr>
        <w:trPr>
          <w:trHeight w:val="234"/>
        </w:trPr>
        <w:tc>
          <w:tcPr>
            <w:tcW w:w="4480" w:type="dxa"/>
            <w:vAlign w:val="bottom"/>
          </w:tcPr>
          <w:p>
            <w:pPr>
              <w:spacing w:after="0"/>
              <w:rPr>
                <w:sz w:val="20"/>
                <w:szCs w:val="20"/>
                <w:color w:val="auto"/>
              </w:rPr>
            </w:pPr>
            <w:r>
              <w:rPr>
                <w:rFonts w:ascii="Arial" w:cs="Arial" w:eastAsia="Arial" w:hAnsi="Arial"/>
                <w:sz w:val="18"/>
                <w:szCs w:val="18"/>
                <w:b w:val="1"/>
                <w:bCs w:val="1"/>
                <w:color w:val="auto"/>
              </w:rPr>
              <w:t>Class A Common Stock</w:t>
            </w:r>
          </w:p>
        </w:tc>
        <w:tc>
          <w:tcPr>
            <w:tcW w:w="1880" w:type="dxa"/>
            <w:vAlign w:val="bottom"/>
          </w:tcPr>
          <w:p>
            <w:pPr>
              <w:spacing w:after="0"/>
              <w:rPr>
                <w:sz w:val="20"/>
                <w:szCs w:val="20"/>
                <w:color w:val="auto"/>
              </w:rPr>
            </w:pPr>
          </w:p>
        </w:tc>
        <w:tc>
          <w:tcPr>
            <w:tcW w:w="15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w w:val="91"/>
              </w:rPr>
              <w:t>Number of Shares</w:t>
            </w:r>
          </w:p>
        </w:tc>
        <w:tc>
          <w:tcPr>
            <w:tcW w:w="180" w:type="dxa"/>
            <w:vAlign w:val="bottom"/>
          </w:tcPr>
          <w:p>
            <w:pPr>
              <w:spacing w:after="0"/>
              <w:rPr>
                <w:sz w:val="20"/>
                <w:szCs w:val="20"/>
                <w:color w:val="auto"/>
              </w:rPr>
            </w:pPr>
          </w:p>
        </w:tc>
        <w:tc>
          <w:tcPr>
            <w:tcW w:w="1700" w:type="dxa"/>
            <w:vAlign w:val="bottom"/>
            <w:gridSpan w:val="2"/>
          </w:tcPr>
          <w:p>
            <w:pPr>
              <w:ind w:left="320"/>
              <w:spacing w:after="0"/>
              <w:rPr>
                <w:sz w:val="20"/>
                <w:szCs w:val="20"/>
                <w:color w:val="auto"/>
              </w:rPr>
            </w:pPr>
            <w:r>
              <w:rPr>
                <w:rFonts w:ascii="Arial" w:cs="Arial" w:eastAsia="Arial" w:hAnsi="Arial"/>
                <w:sz w:val="18"/>
                <w:szCs w:val="18"/>
                <w:b w:val="1"/>
                <w:bCs w:val="1"/>
                <w:color w:val="auto"/>
              </w:rPr>
              <w:t>% of Class</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Stock</w:t>
            </w:r>
          </w:p>
        </w:tc>
      </w:tr>
      <w:tr>
        <w:trPr>
          <w:trHeight w:val="182"/>
        </w:trPr>
        <w:tc>
          <w:tcPr>
            <w:tcW w:w="44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Banco de la Nación Argentina</w:t>
            </w:r>
          </w:p>
        </w:tc>
        <w:tc>
          <w:tcPr>
            <w:tcW w:w="1880" w:type="dxa"/>
            <w:vAlign w:val="bottom"/>
            <w:tcBorders>
              <w:top w:val="single" w:sz="8" w:color="CCEEFF"/>
            </w:tcBorders>
            <w:shd w:val="clear" w:color="auto" w:fill="CCEEFF"/>
          </w:tcPr>
          <w:p>
            <w:pPr>
              <w:spacing w:after="0"/>
              <w:rPr>
                <w:sz w:val="15"/>
                <w:szCs w:val="15"/>
                <w:color w:val="auto"/>
              </w:rPr>
            </w:pPr>
          </w:p>
        </w:tc>
        <w:tc>
          <w:tcPr>
            <w:tcW w:w="146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4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5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Bartolomé Mitre 326</w:t>
            </w:r>
          </w:p>
        </w:tc>
        <w:tc>
          <w:tcPr>
            <w:tcW w:w="18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CP 1036 AAF Buenos Aires, Argentina</w:t>
            </w:r>
          </w:p>
        </w:tc>
        <w:tc>
          <w:tcPr>
            <w:tcW w:w="33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1,045,348</w:t>
            </w:r>
          </w:p>
        </w:tc>
        <w:tc>
          <w:tcPr>
            <w:tcW w:w="18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16.5</w:t>
            </w: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w:t>
            </w:r>
          </w:p>
        </w:tc>
      </w:tr>
      <w:tr>
        <w:trPr>
          <w:trHeight w:val="202"/>
        </w:trPr>
        <w:tc>
          <w:tcPr>
            <w:tcW w:w="4480" w:type="dxa"/>
            <w:vAlign w:val="bottom"/>
          </w:tcPr>
          <w:p>
            <w:pPr>
              <w:spacing w:after="0" w:line="201" w:lineRule="exact"/>
              <w:rPr>
                <w:sz w:val="20"/>
                <w:szCs w:val="20"/>
                <w:color w:val="auto"/>
              </w:rPr>
            </w:pPr>
            <w:r>
              <w:rPr>
                <w:rFonts w:ascii="Arial" w:cs="Arial" w:eastAsia="Arial" w:hAnsi="Arial"/>
                <w:sz w:val="18"/>
                <w:szCs w:val="18"/>
                <w:color w:val="auto"/>
              </w:rPr>
              <w:t>Banco do Brasil</w:t>
            </w:r>
          </w:p>
        </w:tc>
        <w:tc>
          <w:tcPr>
            <w:tcW w:w="188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SAUN Qd 5, Lote B, Torre II, 12 Andar</w:t>
            </w:r>
          </w:p>
        </w:tc>
        <w:tc>
          <w:tcPr>
            <w:tcW w:w="18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Edificio Banco do Brasil</w:t>
            </w:r>
          </w:p>
        </w:tc>
        <w:tc>
          <w:tcPr>
            <w:tcW w:w="18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480" w:type="dxa"/>
            <w:vAlign w:val="bottom"/>
          </w:tcPr>
          <w:p>
            <w:pPr>
              <w:spacing w:after="0"/>
              <w:rPr>
                <w:sz w:val="20"/>
                <w:szCs w:val="20"/>
                <w:color w:val="auto"/>
              </w:rPr>
            </w:pPr>
            <w:r>
              <w:rPr>
                <w:rFonts w:ascii="Arial" w:cs="Arial" w:eastAsia="Arial" w:hAnsi="Arial"/>
                <w:sz w:val="18"/>
                <w:szCs w:val="18"/>
                <w:color w:val="auto"/>
              </w:rPr>
              <w:t>CEP 70040-912 Brasilia, DF - Brazil</w:t>
            </w:r>
          </w:p>
        </w:tc>
        <w:tc>
          <w:tcPr>
            <w:tcW w:w="3380" w:type="dxa"/>
            <w:vAlign w:val="bottom"/>
            <w:gridSpan w:val="3"/>
          </w:tcPr>
          <w:p>
            <w:pPr>
              <w:jc w:val="right"/>
              <w:ind w:right="40"/>
              <w:spacing w:after="0"/>
              <w:rPr>
                <w:sz w:val="20"/>
                <w:szCs w:val="20"/>
                <w:color w:val="auto"/>
              </w:rPr>
            </w:pPr>
            <w:r>
              <w:rPr>
                <w:rFonts w:ascii="Arial" w:cs="Arial" w:eastAsia="Arial" w:hAnsi="Arial"/>
                <w:sz w:val="18"/>
                <w:szCs w:val="18"/>
                <w:color w:val="auto"/>
              </w:rPr>
              <w:t>974,551</w:t>
            </w:r>
          </w:p>
        </w:tc>
        <w:tc>
          <w:tcPr>
            <w:tcW w:w="1880" w:type="dxa"/>
            <w:vAlign w:val="bottom"/>
            <w:gridSpan w:val="3"/>
          </w:tcPr>
          <w:p>
            <w:pPr>
              <w:jc w:val="right"/>
              <w:ind w:right="220"/>
              <w:spacing w:after="0"/>
              <w:rPr>
                <w:sz w:val="20"/>
                <w:szCs w:val="20"/>
                <w:color w:val="auto"/>
              </w:rPr>
            </w:pPr>
            <w:r>
              <w:rPr>
                <w:rFonts w:ascii="Arial" w:cs="Arial" w:eastAsia="Arial" w:hAnsi="Arial"/>
                <w:sz w:val="18"/>
                <w:szCs w:val="18"/>
                <w:color w:val="auto"/>
              </w:rPr>
              <w:t>15.4</w:t>
            </w: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2.5</w:t>
            </w:r>
          </w:p>
        </w:tc>
      </w:tr>
      <w:tr>
        <w:trPr>
          <w:trHeight w:val="202"/>
        </w:trPr>
        <w:tc>
          <w:tcPr>
            <w:tcW w:w="4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Banco de Comercio Exterior de Colombia</w:t>
            </w:r>
          </w:p>
        </w:tc>
        <w:tc>
          <w:tcPr>
            <w:tcW w:w="188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Edif. Centro de Comercio Internacional</w:t>
            </w:r>
          </w:p>
        </w:tc>
        <w:tc>
          <w:tcPr>
            <w:tcW w:w="18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Calle 28 No. 13A-15</w:t>
            </w:r>
          </w:p>
        </w:tc>
        <w:tc>
          <w:tcPr>
            <w:tcW w:w="18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C.P. 110311 Bogotá, Colombia</w:t>
            </w:r>
          </w:p>
        </w:tc>
        <w:tc>
          <w:tcPr>
            <w:tcW w:w="33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488,547</w:t>
            </w:r>
          </w:p>
        </w:tc>
        <w:tc>
          <w:tcPr>
            <w:tcW w:w="18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7.7</w:t>
            </w: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w:t>
            </w:r>
          </w:p>
        </w:tc>
      </w:tr>
      <w:tr>
        <w:trPr>
          <w:trHeight w:val="202"/>
        </w:trPr>
        <w:tc>
          <w:tcPr>
            <w:tcW w:w="4480" w:type="dxa"/>
            <w:vAlign w:val="bottom"/>
          </w:tcPr>
          <w:p>
            <w:pPr>
              <w:spacing w:after="0" w:line="201" w:lineRule="exact"/>
              <w:rPr>
                <w:sz w:val="20"/>
                <w:szCs w:val="20"/>
                <w:color w:val="auto"/>
              </w:rPr>
            </w:pPr>
            <w:r>
              <w:rPr>
                <w:rFonts w:ascii="Arial" w:cs="Arial" w:eastAsia="Arial" w:hAnsi="Arial"/>
                <w:sz w:val="18"/>
                <w:szCs w:val="18"/>
                <w:color w:val="auto"/>
              </w:rPr>
              <w:t>Banco de la Nación (Perú)</w:t>
            </w:r>
          </w:p>
        </w:tc>
        <w:tc>
          <w:tcPr>
            <w:tcW w:w="188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Ave. República de Panamá 3664</w:t>
            </w:r>
          </w:p>
        </w:tc>
        <w:tc>
          <w:tcPr>
            <w:tcW w:w="18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480" w:type="dxa"/>
            <w:vAlign w:val="bottom"/>
          </w:tcPr>
          <w:p>
            <w:pPr>
              <w:spacing w:after="0"/>
              <w:rPr>
                <w:sz w:val="20"/>
                <w:szCs w:val="20"/>
                <w:color w:val="auto"/>
              </w:rPr>
            </w:pPr>
            <w:r>
              <w:rPr>
                <w:rFonts w:ascii="Arial" w:cs="Arial" w:eastAsia="Arial" w:hAnsi="Arial"/>
                <w:sz w:val="18"/>
                <w:szCs w:val="18"/>
                <w:color w:val="auto"/>
              </w:rPr>
              <w:t>San Isidro, Lima, Perú</w:t>
            </w:r>
          </w:p>
        </w:tc>
        <w:tc>
          <w:tcPr>
            <w:tcW w:w="3380" w:type="dxa"/>
            <w:vAlign w:val="bottom"/>
            <w:gridSpan w:val="3"/>
          </w:tcPr>
          <w:p>
            <w:pPr>
              <w:jc w:val="right"/>
              <w:ind w:right="40"/>
              <w:spacing w:after="0"/>
              <w:rPr>
                <w:sz w:val="20"/>
                <w:szCs w:val="20"/>
                <w:color w:val="auto"/>
              </w:rPr>
            </w:pPr>
            <w:r>
              <w:rPr>
                <w:rFonts w:ascii="Arial" w:cs="Arial" w:eastAsia="Arial" w:hAnsi="Arial"/>
                <w:sz w:val="18"/>
                <w:szCs w:val="18"/>
                <w:color w:val="auto"/>
              </w:rPr>
              <w:t>446,556</w:t>
            </w:r>
          </w:p>
        </w:tc>
        <w:tc>
          <w:tcPr>
            <w:tcW w:w="1880" w:type="dxa"/>
            <w:vAlign w:val="bottom"/>
            <w:gridSpan w:val="3"/>
          </w:tcPr>
          <w:p>
            <w:pPr>
              <w:jc w:val="right"/>
              <w:ind w:right="220"/>
              <w:spacing w:after="0"/>
              <w:rPr>
                <w:sz w:val="20"/>
                <w:szCs w:val="20"/>
                <w:color w:val="auto"/>
              </w:rPr>
            </w:pPr>
            <w:r>
              <w:rPr>
                <w:rFonts w:ascii="Arial" w:cs="Arial" w:eastAsia="Arial" w:hAnsi="Arial"/>
                <w:sz w:val="18"/>
                <w:szCs w:val="18"/>
                <w:color w:val="auto"/>
              </w:rPr>
              <w:t>7.0</w:t>
            </w: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1.1</w:t>
            </w:r>
          </w:p>
        </w:tc>
      </w:tr>
      <w:tr>
        <w:trPr>
          <w:trHeight w:val="202"/>
        </w:trPr>
        <w:tc>
          <w:tcPr>
            <w:tcW w:w="4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Banco Central del Paraguay</w:t>
            </w:r>
          </w:p>
        </w:tc>
        <w:tc>
          <w:tcPr>
            <w:tcW w:w="188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Federación Rusa y Augusto Roa Bastos</w:t>
            </w:r>
          </w:p>
        </w:tc>
        <w:tc>
          <w:tcPr>
            <w:tcW w:w="18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Asunción, Paraguay</w:t>
            </w:r>
          </w:p>
        </w:tc>
        <w:tc>
          <w:tcPr>
            <w:tcW w:w="33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434,658</w:t>
            </w:r>
          </w:p>
        </w:tc>
        <w:tc>
          <w:tcPr>
            <w:tcW w:w="18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6.9</w:t>
            </w: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r>
      <w:tr>
        <w:trPr>
          <w:trHeight w:val="202"/>
        </w:trPr>
        <w:tc>
          <w:tcPr>
            <w:tcW w:w="4480" w:type="dxa"/>
            <w:vAlign w:val="bottom"/>
          </w:tcPr>
          <w:p>
            <w:pPr>
              <w:spacing w:after="0" w:line="201" w:lineRule="exact"/>
              <w:rPr>
                <w:sz w:val="20"/>
                <w:szCs w:val="20"/>
                <w:color w:val="auto"/>
              </w:rPr>
            </w:pPr>
            <w:r>
              <w:rPr>
                <w:rFonts w:ascii="Arial" w:cs="Arial" w:eastAsia="Arial" w:hAnsi="Arial"/>
                <w:sz w:val="18"/>
                <w:szCs w:val="18"/>
                <w:color w:val="auto"/>
              </w:rPr>
              <w:t>Banco Central del Ecuador</w:t>
            </w:r>
          </w:p>
        </w:tc>
        <w:tc>
          <w:tcPr>
            <w:tcW w:w="188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Ave. 10 de Agosto N11- 409 y Briceño</w:t>
            </w:r>
          </w:p>
        </w:tc>
        <w:tc>
          <w:tcPr>
            <w:tcW w:w="18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480" w:type="dxa"/>
            <w:vAlign w:val="bottom"/>
          </w:tcPr>
          <w:p>
            <w:pPr>
              <w:spacing w:after="0"/>
              <w:rPr>
                <w:sz w:val="20"/>
                <w:szCs w:val="20"/>
                <w:color w:val="auto"/>
              </w:rPr>
            </w:pPr>
            <w:r>
              <w:rPr>
                <w:rFonts w:ascii="Arial" w:cs="Arial" w:eastAsia="Arial" w:hAnsi="Arial"/>
                <w:sz w:val="18"/>
                <w:szCs w:val="18"/>
                <w:color w:val="auto"/>
              </w:rPr>
              <w:t>Quito, Ecuador</w:t>
            </w:r>
          </w:p>
        </w:tc>
        <w:tc>
          <w:tcPr>
            <w:tcW w:w="3380" w:type="dxa"/>
            <w:vAlign w:val="bottom"/>
            <w:gridSpan w:val="3"/>
          </w:tcPr>
          <w:p>
            <w:pPr>
              <w:jc w:val="right"/>
              <w:ind w:right="40"/>
              <w:spacing w:after="0"/>
              <w:rPr>
                <w:sz w:val="20"/>
                <w:szCs w:val="20"/>
                <w:color w:val="auto"/>
              </w:rPr>
            </w:pPr>
            <w:r>
              <w:rPr>
                <w:rFonts w:ascii="Arial" w:cs="Arial" w:eastAsia="Arial" w:hAnsi="Arial"/>
                <w:sz w:val="18"/>
                <w:szCs w:val="18"/>
                <w:color w:val="auto"/>
              </w:rPr>
              <w:t>431,217</w:t>
            </w:r>
          </w:p>
        </w:tc>
        <w:tc>
          <w:tcPr>
            <w:tcW w:w="1880" w:type="dxa"/>
            <w:vAlign w:val="bottom"/>
            <w:gridSpan w:val="3"/>
          </w:tcPr>
          <w:p>
            <w:pPr>
              <w:jc w:val="right"/>
              <w:ind w:right="220"/>
              <w:spacing w:after="0"/>
              <w:rPr>
                <w:sz w:val="20"/>
                <w:szCs w:val="20"/>
                <w:color w:val="auto"/>
              </w:rPr>
            </w:pPr>
            <w:r>
              <w:rPr>
                <w:rFonts w:ascii="Arial" w:cs="Arial" w:eastAsia="Arial" w:hAnsi="Arial"/>
                <w:sz w:val="18"/>
                <w:szCs w:val="18"/>
                <w:color w:val="auto"/>
              </w:rPr>
              <w:t>6.8</w:t>
            </w: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1.1</w:t>
            </w:r>
          </w:p>
        </w:tc>
      </w:tr>
      <w:tr>
        <w:trPr>
          <w:trHeight w:val="202"/>
        </w:trPr>
        <w:tc>
          <w:tcPr>
            <w:tcW w:w="4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Banco del Estado de Chile</w:t>
            </w:r>
          </w:p>
        </w:tc>
        <w:tc>
          <w:tcPr>
            <w:tcW w:w="188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Ave. Libertador Bernardo O’Higgins No.1111</w:t>
            </w:r>
          </w:p>
        </w:tc>
        <w:tc>
          <w:tcPr>
            <w:tcW w:w="18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44"/>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Santiago, Chile</w:t>
            </w:r>
          </w:p>
        </w:tc>
        <w:tc>
          <w:tcPr>
            <w:tcW w:w="33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323,413</w:t>
            </w:r>
          </w:p>
        </w:tc>
        <w:tc>
          <w:tcPr>
            <w:tcW w:w="18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5.1</w:t>
            </w: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0.8</w:t>
            </w:r>
          </w:p>
        </w:tc>
      </w:tr>
      <w:tr>
        <w:trPr>
          <w:trHeight w:val="210"/>
        </w:trPr>
        <w:tc>
          <w:tcPr>
            <w:tcW w:w="44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Subtotal shares of Class A Common Stock</w:t>
            </w:r>
          </w:p>
        </w:tc>
        <w:tc>
          <w:tcPr>
            <w:tcW w:w="1880" w:type="dxa"/>
            <w:vAlign w:val="bottom"/>
            <w:tcBorders>
              <w:bottom w:val="single" w:sz="8" w:color="CCEEFF"/>
            </w:tcBorders>
          </w:tcPr>
          <w:p>
            <w:pPr>
              <w:spacing w:after="0"/>
              <w:rPr>
                <w:sz w:val="18"/>
                <w:szCs w:val="18"/>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4,144,290</w:t>
            </w:r>
          </w:p>
        </w:tc>
        <w:tc>
          <w:tcPr>
            <w:tcW w:w="4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65.4</w:t>
            </w:r>
          </w:p>
        </w:tc>
        <w:tc>
          <w:tcPr>
            <w:tcW w:w="220" w:type="dxa"/>
            <w:vAlign w:val="bottom"/>
            <w:tcBorders>
              <w:bottom w:val="single" w:sz="8" w:color="CCEEFF"/>
            </w:tcBorders>
          </w:tcPr>
          <w:p>
            <w:pPr>
              <w:spacing w:after="0"/>
              <w:rPr>
                <w:sz w:val="18"/>
                <w:szCs w:val="18"/>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10.5</w:t>
            </w:r>
          </w:p>
        </w:tc>
        <w:tc>
          <w:tcPr>
            <w:tcW w:w="100" w:type="dxa"/>
            <w:vAlign w:val="bottom"/>
            <w:tcBorders>
              <w:bottom w:val="single" w:sz="8" w:color="CCEEFF"/>
            </w:tcBorders>
          </w:tcPr>
          <w:p>
            <w:pPr>
              <w:spacing w:after="0"/>
              <w:rPr>
                <w:sz w:val="18"/>
                <w:szCs w:val="18"/>
                <w:color w:val="auto"/>
              </w:rPr>
            </w:pPr>
          </w:p>
        </w:tc>
      </w:tr>
      <w:tr>
        <w:trPr>
          <w:trHeight w:val="210"/>
        </w:trPr>
        <w:tc>
          <w:tcPr>
            <w:tcW w:w="44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Shares of Class A Common Stock</w:t>
            </w:r>
          </w:p>
        </w:tc>
        <w:tc>
          <w:tcPr>
            <w:tcW w:w="1880" w:type="dxa"/>
            <w:vAlign w:val="bottom"/>
            <w:shd w:val="clear" w:color="auto" w:fill="CCEEFF"/>
          </w:tcPr>
          <w:p>
            <w:pPr>
              <w:spacing w:after="0"/>
              <w:rPr>
                <w:sz w:val="18"/>
                <w:szCs w:val="18"/>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20" w:type="dxa"/>
            <w:vAlign w:val="bottom"/>
            <w:shd w:val="clear" w:color="auto" w:fill="CCEEFF"/>
          </w:tcPr>
          <w:p>
            <w:pPr>
              <w:spacing w:after="0"/>
              <w:rPr>
                <w:sz w:val="18"/>
                <w:szCs w:val="18"/>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16.1</w:t>
            </w:r>
          </w:p>
        </w:tc>
        <w:tc>
          <w:tcPr>
            <w:tcW w:w="100" w:type="dxa"/>
            <w:vAlign w:val="bottom"/>
            <w:shd w:val="clear" w:color="auto" w:fill="CCEEFF"/>
          </w:tcPr>
          <w:p>
            <w:pPr>
              <w:spacing w:after="0"/>
              <w:rPr>
                <w:sz w:val="18"/>
                <w:szCs w:val="18"/>
                <w:color w:val="auto"/>
              </w:rPr>
            </w:pPr>
          </w:p>
        </w:tc>
      </w:tr>
      <w:tr>
        <w:trPr>
          <w:trHeight w:val="642"/>
        </w:trPr>
        <w:tc>
          <w:tcPr>
            <w:tcW w:w="448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color w:val="auto"/>
              </w:rPr>
              <w:t>92</w:t>
            </w:r>
          </w:p>
        </w:tc>
        <w:tc>
          <w:tcPr>
            <w:tcW w:w="14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95" w:name="page96"/>
    <w:bookmarkEnd w:id="95"/>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36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Class B Common Stock</w:t>
            </w: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2"/>
              </w:rPr>
              <w:t>% of Total Common</w:t>
            </w:r>
          </w:p>
        </w:tc>
        <w:tc>
          <w:tcPr>
            <w:tcW w:w="0" w:type="dxa"/>
            <w:vAlign w:val="bottom"/>
          </w:tcPr>
          <w:p>
            <w:pPr>
              <w:spacing w:after="0"/>
              <w:rPr>
                <w:sz w:val="1"/>
                <w:szCs w:val="1"/>
                <w:color w:val="auto"/>
              </w:rPr>
            </w:pPr>
          </w:p>
        </w:tc>
      </w:tr>
      <w:tr>
        <w:trPr>
          <w:trHeight w:val="234"/>
        </w:trPr>
        <w:tc>
          <w:tcPr>
            <w:tcW w:w="6360" w:type="dxa"/>
            <w:vAlign w:val="bottom"/>
            <w:gridSpan w:val="2"/>
            <w:vMerge w:val="continue"/>
          </w:tcPr>
          <w:p>
            <w:pPr>
              <w:spacing w:after="0"/>
              <w:rPr>
                <w:sz w:val="20"/>
                <w:szCs w:val="20"/>
                <w:color w:val="auto"/>
              </w:rPr>
            </w:pPr>
          </w:p>
        </w:tc>
        <w:tc>
          <w:tcPr>
            <w:tcW w:w="16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1"/>
              </w:rPr>
              <w:t>Number of Shares</w:t>
            </w:r>
          </w:p>
        </w:tc>
        <w:tc>
          <w:tcPr>
            <w:tcW w:w="1700" w:type="dxa"/>
            <w:vAlign w:val="bottom"/>
            <w:gridSpan w:val="2"/>
          </w:tcPr>
          <w:p>
            <w:pPr>
              <w:ind w:left="320"/>
              <w:spacing w:after="0"/>
              <w:rPr>
                <w:sz w:val="20"/>
                <w:szCs w:val="20"/>
                <w:color w:val="auto"/>
              </w:rPr>
            </w:pPr>
            <w:r>
              <w:rPr>
                <w:rFonts w:ascii="Arial" w:cs="Arial" w:eastAsia="Arial" w:hAnsi="Arial"/>
                <w:sz w:val="18"/>
                <w:szCs w:val="18"/>
                <w:b w:val="1"/>
                <w:bCs w:val="1"/>
                <w:color w:val="auto"/>
              </w:rPr>
              <w:t>% of Class</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Stock</w:t>
            </w:r>
          </w:p>
        </w:tc>
        <w:tc>
          <w:tcPr>
            <w:tcW w:w="0" w:type="dxa"/>
            <w:vAlign w:val="bottom"/>
          </w:tcPr>
          <w:p>
            <w:pPr>
              <w:spacing w:after="0"/>
              <w:rPr>
                <w:sz w:val="1"/>
                <w:szCs w:val="1"/>
                <w:color w:val="auto"/>
              </w:rPr>
            </w:pPr>
          </w:p>
        </w:tc>
      </w:tr>
      <w:tr>
        <w:trPr>
          <w:trHeight w:val="182"/>
        </w:trPr>
        <w:tc>
          <w:tcPr>
            <w:tcW w:w="6360" w:type="dxa"/>
            <w:vAlign w:val="bottom"/>
            <w:tcBorders>
              <w:top w:val="single" w:sz="8" w:color="CCEEFF"/>
            </w:tcBorders>
            <w:gridSpan w:val="2"/>
            <w:shd w:val="clear" w:color="auto" w:fill="CCEEFF"/>
          </w:tcPr>
          <w:p>
            <w:pPr>
              <w:spacing w:after="0" w:line="182" w:lineRule="exact"/>
              <w:rPr>
                <w:sz w:val="20"/>
                <w:szCs w:val="20"/>
                <w:color w:val="auto"/>
              </w:rPr>
            </w:pPr>
            <w:r>
              <w:rPr>
                <w:rFonts w:ascii="Arial" w:cs="Arial" w:eastAsia="Arial" w:hAnsi="Arial"/>
                <w:sz w:val="18"/>
                <w:szCs w:val="18"/>
                <w:color w:val="auto"/>
              </w:rPr>
              <w:t>Banco de la Provincia de Buenos Aires</w:t>
            </w:r>
          </w:p>
        </w:tc>
        <w:tc>
          <w:tcPr>
            <w:tcW w:w="14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58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San Martin 137</w:t>
            </w: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C1004AAC Buenos Aires, Argentina</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884,461</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36.7</w:t>
            </w:r>
          </w:p>
        </w:tc>
        <w:tc>
          <w:tcPr>
            <w:tcW w:w="1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6360" w:type="dxa"/>
            <w:vAlign w:val="bottom"/>
            <w:gridSpan w:val="2"/>
          </w:tcPr>
          <w:p>
            <w:pPr>
              <w:spacing w:after="0" w:line="201" w:lineRule="exact"/>
              <w:rPr>
                <w:sz w:val="20"/>
                <w:szCs w:val="20"/>
                <w:color w:val="auto"/>
              </w:rPr>
            </w:pPr>
            <w:r>
              <w:rPr>
                <w:rFonts w:ascii="Arial" w:cs="Arial" w:eastAsia="Arial" w:hAnsi="Arial"/>
                <w:sz w:val="18"/>
                <w:szCs w:val="18"/>
                <w:color w:val="auto"/>
              </w:rPr>
              <w:t>Banco de la Nación Argentina</w:t>
            </w:r>
          </w:p>
        </w:tc>
        <w:tc>
          <w:tcPr>
            <w:tcW w:w="14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360" w:type="dxa"/>
            <w:vAlign w:val="bottom"/>
            <w:gridSpan w:val="2"/>
          </w:tcPr>
          <w:p>
            <w:pPr>
              <w:spacing w:after="0"/>
              <w:rPr>
                <w:sz w:val="20"/>
                <w:szCs w:val="20"/>
                <w:color w:val="auto"/>
              </w:rPr>
            </w:pPr>
            <w:r>
              <w:rPr>
                <w:rFonts w:ascii="Arial" w:cs="Arial" w:eastAsia="Arial" w:hAnsi="Arial"/>
                <w:sz w:val="18"/>
                <w:szCs w:val="18"/>
                <w:color w:val="auto"/>
              </w:rPr>
              <w:t>Bartolomé Mitre 326</w:t>
            </w: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360" w:type="dxa"/>
            <w:vAlign w:val="bottom"/>
            <w:gridSpan w:val="2"/>
          </w:tcPr>
          <w:p>
            <w:pPr>
              <w:spacing w:after="0"/>
              <w:rPr>
                <w:sz w:val="20"/>
                <w:szCs w:val="20"/>
                <w:color w:val="auto"/>
              </w:rPr>
            </w:pPr>
            <w:r>
              <w:rPr>
                <w:rFonts w:ascii="Arial" w:cs="Arial" w:eastAsia="Arial" w:hAnsi="Arial"/>
                <w:sz w:val="18"/>
                <w:szCs w:val="18"/>
                <w:color w:val="auto"/>
              </w:rPr>
              <w:t>CP 1036AAF Buenos Aires, Argentina</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295,945</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12.3</w:t>
            </w:r>
          </w:p>
        </w:tc>
        <w:tc>
          <w:tcPr>
            <w:tcW w:w="1600" w:type="dxa"/>
            <w:vAlign w:val="bottom"/>
            <w:gridSpan w:val="2"/>
          </w:tcPr>
          <w:p>
            <w:pPr>
              <w:jc w:val="right"/>
              <w:ind w:right="20"/>
              <w:spacing w:after="0"/>
              <w:rPr>
                <w:sz w:val="20"/>
                <w:szCs w:val="20"/>
                <w:color w:val="auto"/>
              </w:rPr>
            </w:pPr>
            <w:r>
              <w:rPr>
                <w:rFonts w:ascii="Arial" w:cs="Arial" w:eastAsia="Arial" w:hAnsi="Arial"/>
                <w:sz w:val="18"/>
                <w:szCs w:val="18"/>
                <w:color w:val="auto"/>
              </w:rPr>
              <w:t>0.8</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636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The Korea Exchange Bank</w:t>
            </w:r>
          </w:p>
        </w:tc>
        <w:tc>
          <w:tcPr>
            <w:tcW w:w="14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Euljiro 2-ga</w:t>
            </w: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4"/>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Jun-gu, Seoul 100-793, Korea</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147,173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6.1</w:t>
            </w:r>
          </w:p>
        </w:tc>
        <w:tc>
          <w:tcPr>
            <w:tcW w:w="1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0.4</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636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Subtotal shares of Class B Common Stock</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1,327,579</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55.1</w:t>
            </w:r>
          </w:p>
        </w:tc>
        <w:tc>
          <w:tcPr>
            <w:tcW w:w="220" w:type="dxa"/>
            <w:vAlign w:val="bottom"/>
            <w:tcBorders>
              <w:bottom w:val="single" w:sz="8" w:color="CCEEFF"/>
            </w:tcBorders>
          </w:tcPr>
          <w:p>
            <w:pPr>
              <w:spacing w:after="0"/>
              <w:rPr>
                <w:sz w:val="18"/>
                <w:szCs w:val="18"/>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 Shares of Class B Common Stock</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2,408,806</w:t>
            </w:r>
          </w:p>
        </w:tc>
        <w:tc>
          <w:tcPr>
            <w:tcW w:w="2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20" w:type="dxa"/>
            <w:vAlign w:val="bottom"/>
            <w:shd w:val="clear" w:color="auto" w:fill="CCEEFF"/>
          </w:tcPr>
          <w:p>
            <w:pPr>
              <w:spacing w:after="0"/>
              <w:rPr>
                <w:sz w:val="18"/>
                <w:szCs w:val="18"/>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407"/>
        </w:trPr>
        <w:tc>
          <w:tcPr>
            <w:tcW w:w="636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Class E Common Stock</w:t>
            </w:r>
          </w:p>
        </w:tc>
        <w:tc>
          <w:tcPr>
            <w:tcW w:w="1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2"/>
              </w:rPr>
              <w:t>% of Total Common</w:t>
            </w:r>
          </w:p>
        </w:tc>
        <w:tc>
          <w:tcPr>
            <w:tcW w:w="0" w:type="dxa"/>
            <w:vAlign w:val="bottom"/>
          </w:tcPr>
          <w:p>
            <w:pPr>
              <w:spacing w:after="0"/>
              <w:rPr>
                <w:sz w:val="1"/>
                <w:szCs w:val="1"/>
                <w:color w:val="auto"/>
              </w:rPr>
            </w:pPr>
          </w:p>
        </w:tc>
      </w:tr>
      <w:tr>
        <w:trPr>
          <w:trHeight w:val="234"/>
        </w:trPr>
        <w:tc>
          <w:tcPr>
            <w:tcW w:w="6360" w:type="dxa"/>
            <w:vAlign w:val="bottom"/>
            <w:gridSpan w:val="2"/>
            <w:vMerge w:val="continue"/>
          </w:tcPr>
          <w:p>
            <w:pPr>
              <w:spacing w:after="0"/>
              <w:rPr>
                <w:sz w:val="20"/>
                <w:szCs w:val="20"/>
                <w:color w:val="auto"/>
              </w:rPr>
            </w:pPr>
          </w:p>
        </w:tc>
        <w:tc>
          <w:tcPr>
            <w:tcW w:w="16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1"/>
              </w:rPr>
              <w:t>Number of Shares</w:t>
            </w:r>
          </w:p>
        </w:tc>
        <w:tc>
          <w:tcPr>
            <w:tcW w:w="1700" w:type="dxa"/>
            <w:vAlign w:val="bottom"/>
            <w:gridSpan w:val="2"/>
          </w:tcPr>
          <w:p>
            <w:pPr>
              <w:ind w:left="320"/>
              <w:spacing w:after="0"/>
              <w:rPr>
                <w:sz w:val="20"/>
                <w:szCs w:val="20"/>
                <w:color w:val="auto"/>
              </w:rPr>
            </w:pPr>
            <w:r>
              <w:rPr>
                <w:rFonts w:ascii="Arial" w:cs="Arial" w:eastAsia="Arial" w:hAnsi="Arial"/>
                <w:sz w:val="18"/>
                <w:szCs w:val="18"/>
                <w:b w:val="1"/>
                <w:bCs w:val="1"/>
                <w:color w:val="auto"/>
              </w:rPr>
              <w:t>% of Class</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Stock</w:t>
            </w:r>
          </w:p>
        </w:tc>
        <w:tc>
          <w:tcPr>
            <w:tcW w:w="0" w:type="dxa"/>
            <w:vAlign w:val="bottom"/>
          </w:tcPr>
          <w:p>
            <w:pPr>
              <w:spacing w:after="0"/>
              <w:rPr>
                <w:sz w:val="1"/>
                <w:szCs w:val="1"/>
                <w:color w:val="auto"/>
              </w:rPr>
            </w:pPr>
          </w:p>
        </w:tc>
      </w:tr>
      <w:tr>
        <w:trPr>
          <w:trHeight w:val="222"/>
        </w:trPr>
        <w:tc>
          <w:tcPr>
            <w:tcW w:w="6360" w:type="dxa"/>
            <w:vAlign w:val="bottom"/>
            <w:tcBorders>
              <w:top w:val="single" w:sz="8" w:color="CCEEFF"/>
            </w:tcBorders>
            <w:gridSpan w:val="2"/>
            <w:shd w:val="clear" w:color="auto" w:fill="CCEEFF"/>
          </w:tcPr>
          <w:p>
            <w:pPr>
              <w:spacing w:after="0" w:line="222" w:lineRule="exact"/>
              <w:rPr>
                <w:sz w:val="20"/>
                <w:szCs w:val="20"/>
                <w:color w:val="auto"/>
              </w:rPr>
            </w:pPr>
            <w:r>
              <w:rPr>
                <w:rFonts w:ascii="Arial" w:cs="Arial" w:eastAsia="Arial" w:hAnsi="Arial"/>
                <w:sz w:val="16"/>
                <w:szCs w:val="16"/>
                <w:color w:val="auto"/>
              </w:rPr>
              <w:t xml:space="preserve">Brandes Investment Partners, LP </w:t>
            </w:r>
            <w:r>
              <w:rPr>
                <w:rFonts w:ascii="Arial" w:cs="Arial" w:eastAsia="Arial" w:hAnsi="Arial"/>
                <w:sz w:val="25"/>
                <w:szCs w:val="25"/>
                <w:color w:val="auto"/>
                <w:vertAlign w:val="superscript"/>
              </w:rPr>
              <w:t>(1)</w:t>
            </w:r>
          </w:p>
        </w:tc>
        <w:tc>
          <w:tcPr>
            <w:tcW w:w="146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11988 El Camino Real, Suite 600</w:t>
            </w: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San Diego, California 92130</w:t>
            </w: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United States</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3,080,967</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10.0</w:t>
            </w:r>
          </w:p>
        </w:tc>
        <w:tc>
          <w:tcPr>
            <w:tcW w:w="1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7.8</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42"/>
        </w:trPr>
        <w:tc>
          <w:tcPr>
            <w:tcW w:w="6360" w:type="dxa"/>
            <w:vAlign w:val="bottom"/>
            <w:gridSpan w:val="2"/>
          </w:tcPr>
          <w:p>
            <w:pPr>
              <w:spacing w:after="0" w:line="242" w:lineRule="exact"/>
              <w:rPr>
                <w:sz w:val="20"/>
                <w:szCs w:val="20"/>
                <w:color w:val="auto"/>
              </w:rPr>
            </w:pPr>
            <w:r>
              <w:rPr>
                <w:rFonts w:ascii="Arial" w:cs="Arial" w:eastAsia="Arial" w:hAnsi="Arial"/>
                <w:sz w:val="17"/>
                <w:szCs w:val="17"/>
                <w:color w:val="auto"/>
              </w:rPr>
              <w:t xml:space="preserve">Principal Global Investors, LLC </w:t>
            </w:r>
            <w:r>
              <w:rPr>
                <w:rFonts w:ascii="Arial" w:cs="Arial" w:eastAsia="Arial" w:hAnsi="Arial"/>
                <w:sz w:val="28"/>
                <w:szCs w:val="28"/>
                <w:color w:val="auto"/>
                <w:vertAlign w:val="superscript"/>
              </w:rPr>
              <w:t>(2)</w:t>
            </w:r>
          </w:p>
        </w:tc>
        <w:tc>
          <w:tcPr>
            <w:tcW w:w="146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4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58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6360" w:type="dxa"/>
            <w:vAlign w:val="bottom"/>
            <w:gridSpan w:val="2"/>
          </w:tcPr>
          <w:p>
            <w:pPr>
              <w:spacing w:after="0"/>
              <w:rPr>
                <w:sz w:val="20"/>
                <w:szCs w:val="20"/>
                <w:color w:val="auto"/>
              </w:rPr>
            </w:pPr>
            <w:r>
              <w:rPr>
                <w:rFonts w:ascii="Arial" w:cs="Arial" w:eastAsia="Arial" w:hAnsi="Arial"/>
                <w:sz w:val="18"/>
                <w:szCs w:val="18"/>
                <w:color w:val="auto"/>
              </w:rPr>
              <w:t>711 High Street</w:t>
            </w: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360" w:type="dxa"/>
            <w:vAlign w:val="bottom"/>
            <w:gridSpan w:val="2"/>
          </w:tcPr>
          <w:p>
            <w:pPr>
              <w:spacing w:after="0"/>
              <w:rPr>
                <w:sz w:val="20"/>
                <w:szCs w:val="20"/>
                <w:color w:val="auto"/>
              </w:rPr>
            </w:pPr>
            <w:r>
              <w:rPr>
                <w:rFonts w:ascii="Arial" w:cs="Arial" w:eastAsia="Arial" w:hAnsi="Arial"/>
                <w:sz w:val="18"/>
                <w:szCs w:val="18"/>
                <w:color w:val="auto"/>
              </w:rPr>
              <w:t>Des Moines, Iowa 50392</w:t>
            </w: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360" w:type="dxa"/>
            <w:vAlign w:val="bottom"/>
            <w:gridSpan w:val="2"/>
          </w:tcPr>
          <w:p>
            <w:pPr>
              <w:spacing w:after="0"/>
              <w:rPr>
                <w:sz w:val="20"/>
                <w:szCs w:val="20"/>
                <w:color w:val="auto"/>
              </w:rPr>
            </w:pPr>
            <w:r>
              <w:rPr>
                <w:rFonts w:ascii="Arial" w:cs="Arial" w:eastAsia="Arial" w:hAnsi="Arial"/>
                <w:sz w:val="18"/>
                <w:szCs w:val="18"/>
                <w:color w:val="auto"/>
              </w:rPr>
              <w:t>United States</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2,661,847</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8.7</w:t>
            </w:r>
          </w:p>
        </w:tc>
        <w:tc>
          <w:tcPr>
            <w:tcW w:w="1600" w:type="dxa"/>
            <w:vAlign w:val="bottom"/>
            <w:gridSpan w:val="2"/>
          </w:tcPr>
          <w:p>
            <w:pPr>
              <w:jc w:val="right"/>
              <w:ind w:right="20"/>
              <w:spacing w:after="0"/>
              <w:rPr>
                <w:sz w:val="20"/>
                <w:szCs w:val="20"/>
                <w:color w:val="auto"/>
              </w:rPr>
            </w:pPr>
            <w:r>
              <w:rPr>
                <w:rFonts w:ascii="Arial" w:cs="Arial" w:eastAsia="Arial" w:hAnsi="Arial"/>
                <w:sz w:val="18"/>
                <w:szCs w:val="18"/>
                <w:color w:val="auto"/>
              </w:rPr>
              <w:t>6.8</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2"/>
        </w:trPr>
        <w:tc>
          <w:tcPr>
            <w:tcW w:w="6360" w:type="dxa"/>
            <w:vAlign w:val="bottom"/>
            <w:gridSpan w:val="2"/>
            <w:shd w:val="clear" w:color="auto" w:fill="CCEEFF"/>
          </w:tcPr>
          <w:p>
            <w:pPr>
              <w:spacing w:after="0" w:line="242" w:lineRule="exact"/>
              <w:rPr>
                <w:sz w:val="20"/>
                <w:szCs w:val="20"/>
                <w:color w:val="auto"/>
              </w:rPr>
            </w:pPr>
            <w:r>
              <w:rPr>
                <w:rFonts w:ascii="Arial" w:cs="Arial" w:eastAsia="Arial" w:hAnsi="Arial"/>
                <w:sz w:val="17"/>
                <w:szCs w:val="17"/>
                <w:color w:val="auto"/>
              </w:rPr>
              <w:t xml:space="preserve">Paradice Investment Management, LLC </w:t>
            </w:r>
            <w:r>
              <w:rPr>
                <w:rFonts w:ascii="Arial" w:cs="Arial" w:eastAsia="Arial" w:hAnsi="Arial"/>
                <w:sz w:val="28"/>
                <w:szCs w:val="28"/>
                <w:color w:val="auto"/>
                <w:vertAlign w:val="superscript"/>
              </w:rPr>
              <w:t>(3)</w:t>
            </w:r>
          </w:p>
        </w:tc>
        <w:tc>
          <w:tcPr>
            <w:tcW w:w="146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48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580" w:type="dxa"/>
            <w:vAlign w:val="bottom"/>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257 Fillmore Street, Suite 200</w:t>
            </w: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Denver, Colorado 80206</w:t>
            </w: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3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United States</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1,950,944</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w:t>
            </w:r>
          </w:p>
        </w:tc>
        <w:tc>
          <w:tcPr>
            <w:tcW w:w="16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4.9</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42"/>
        </w:trPr>
        <w:tc>
          <w:tcPr>
            <w:tcW w:w="6360" w:type="dxa"/>
            <w:vAlign w:val="bottom"/>
            <w:gridSpan w:val="2"/>
          </w:tcPr>
          <w:p>
            <w:pPr>
              <w:spacing w:after="0" w:line="242" w:lineRule="exact"/>
              <w:rPr>
                <w:sz w:val="20"/>
                <w:szCs w:val="20"/>
                <w:color w:val="auto"/>
              </w:rPr>
            </w:pPr>
            <w:r>
              <w:rPr>
                <w:rFonts w:ascii="Arial" w:cs="Arial" w:eastAsia="Arial" w:hAnsi="Arial"/>
                <w:sz w:val="17"/>
                <w:szCs w:val="17"/>
                <w:color w:val="auto"/>
              </w:rPr>
              <w:t xml:space="preserve">LSV Asset Management </w:t>
            </w:r>
            <w:r>
              <w:rPr>
                <w:rFonts w:ascii="Arial" w:cs="Arial" w:eastAsia="Arial" w:hAnsi="Arial"/>
                <w:sz w:val="28"/>
                <w:szCs w:val="28"/>
                <w:color w:val="auto"/>
                <w:vertAlign w:val="superscript"/>
              </w:rPr>
              <w:t>(3)</w:t>
            </w:r>
          </w:p>
        </w:tc>
        <w:tc>
          <w:tcPr>
            <w:tcW w:w="146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4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58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6360" w:type="dxa"/>
            <w:vAlign w:val="bottom"/>
            <w:gridSpan w:val="2"/>
          </w:tcPr>
          <w:p>
            <w:pPr>
              <w:spacing w:after="0"/>
              <w:rPr>
                <w:sz w:val="20"/>
                <w:szCs w:val="20"/>
                <w:color w:val="auto"/>
              </w:rPr>
            </w:pPr>
            <w:r>
              <w:rPr>
                <w:rFonts w:ascii="Arial" w:cs="Arial" w:eastAsia="Arial" w:hAnsi="Arial"/>
                <w:sz w:val="18"/>
                <w:szCs w:val="18"/>
                <w:color w:val="auto"/>
              </w:rPr>
              <w:t>155 N. Wacker Drive, Suite 4600</w:t>
            </w: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360" w:type="dxa"/>
            <w:vAlign w:val="bottom"/>
            <w:gridSpan w:val="2"/>
          </w:tcPr>
          <w:p>
            <w:pPr>
              <w:spacing w:after="0"/>
              <w:rPr>
                <w:sz w:val="20"/>
                <w:szCs w:val="20"/>
                <w:color w:val="auto"/>
              </w:rPr>
            </w:pPr>
            <w:r>
              <w:rPr>
                <w:rFonts w:ascii="Arial" w:cs="Arial" w:eastAsia="Arial" w:hAnsi="Arial"/>
                <w:sz w:val="18"/>
                <w:szCs w:val="18"/>
                <w:color w:val="auto"/>
              </w:rPr>
              <w:t>Chicago, Illinois 60606</w:t>
            </w: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4"/>
        </w:trPr>
        <w:tc>
          <w:tcPr>
            <w:tcW w:w="6360" w:type="dxa"/>
            <w:vAlign w:val="bottom"/>
            <w:gridSpan w:val="2"/>
          </w:tcPr>
          <w:p>
            <w:pPr>
              <w:spacing w:after="0"/>
              <w:rPr>
                <w:sz w:val="20"/>
                <w:szCs w:val="20"/>
                <w:color w:val="auto"/>
              </w:rPr>
            </w:pPr>
            <w:r>
              <w:rPr>
                <w:rFonts w:ascii="Arial" w:cs="Arial" w:eastAsia="Arial" w:hAnsi="Arial"/>
                <w:sz w:val="18"/>
                <w:szCs w:val="18"/>
                <w:color w:val="auto"/>
              </w:rPr>
              <w:t>United States</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1,894,519</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6.2</w:t>
            </w:r>
          </w:p>
        </w:tc>
        <w:tc>
          <w:tcPr>
            <w:tcW w:w="1600" w:type="dxa"/>
            <w:vAlign w:val="bottom"/>
            <w:gridSpan w:val="2"/>
          </w:tcPr>
          <w:p>
            <w:pPr>
              <w:jc w:val="right"/>
              <w:ind w:right="20"/>
              <w:spacing w:after="0"/>
              <w:rPr>
                <w:sz w:val="20"/>
                <w:szCs w:val="20"/>
                <w:color w:val="auto"/>
              </w:rPr>
            </w:pPr>
            <w:r>
              <w:rPr>
                <w:rFonts w:ascii="Arial" w:cs="Arial" w:eastAsia="Arial" w:hAnsi="Arial"/>
                <w:sz w:val="18"/>
                <w:szCs w:val="18"/>
                <w:color w:val="auto"/>
              </w:rPr>
              <w:t>4.8</w:t>
            </w: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63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Subtotal shares of Class E Common Stock</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9,588,277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24.3</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36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Total Shares of Class E Common Stock</w:t>
            </w:r>
          </w:p>
        </w:tc>
        <w:tc>
          <w:tcPr>
            <w:tcW w:w="14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360" w:type="dxa"/>
            <w:vAlign w:val="bottom"/>
            <w:gridSpan w:val="2"/>
            <w:vMerge w:val="continue"/>
          </w:tcPr>
          <w:p>
            <w:pPr>
              <w:spacing w:after="0"/>
              <w:rPr>
                <w:sz w:val="17"/>
                <w:szCs w:val="17"/>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30,677,840</w:t>
            </w:r>
          </w:p>
        </w:tc>
        <w:tc>
          <w:tcPr>
            <w:tcW w:w="220" w:type="dxa"/>
            <w:vAlign w:val="bottom"/>
            <w:vMerge w:val="continue"/>
          </w:tcPr>
          <w:p>
            <w:pPr>
              <w:spacing w:after="0"/>
              <w:rPr>
                <w:sz w:val="17"/>
                <w:szCs w:val="17"/>
                <w:color w:val="auto"/>
              </w:rPr>
            </w:pPr>
          </w:p>
        </w:tc>
        <w:tc>
          <w:tcPr>
            <w:tcW w:w="14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100.0</w:t>
            </w:r>
          </w:p>
        </w:tc>
        <w:tc>
          <w:tcPr>
            <w:tcW w:w="220" w:type="dxa"/>
            <w:vAlign w:val="bottom"/>
            <w:vMerge w:val="continue"/>
          </w:tcPr>
          <w:p>
            <w:pPr>
              <w:spacing w:after="0"/>
              <w:rPr>
                <w:sz w:val="17"/>
                <w:szCs w:val="17"/>
                <w:color w:val="auto"/>
              </w:rPr>
            </w:pPr>
          </w:p>
        </w:tc>
        <w:tc>
          <w:tcPr>
            <w:tcW w:w="15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77.8</w:t>
            </w:r>
          </w:p>
        </w:tc>
        <w:tc>
          <w:tcPr>
            <w:tcW w:w="20" w:type="dxa"/>
            <w:vAlign w:val="bottom"/>
            <w:vMerge w:val="continue"/>
          </w:tcPr>
          <w:p>
            <w:pPr>
              <w:spacing w:after="0"/>
              <w:rPr>
                <w:sz w:val="17"/>
                <w:szCs w:val="17"/>
                <w:color w:val="auto"/>
              </w:rPr>
            </w:pPr>
          </w:p>
        </w:tc>
        <w:tc>
          <w:tcPr>
            <w:tcW w:w="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407"/>
        </w:trPr>
        <w:tc>
          <w:tcPr>
            <w:tcW w:w="6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2"/>
              </w:rPr>
              <w:t>% of Total Common</w:t>
            </w:r>
          </w:p>
        </w:tc>
        <w:tc>
          <w:tcPr>
            <w:tcW w:w="0" w:type="dxa"/>
            <w:vAlign w:val="bottom"/>
          </w:tcPr>
          <w:p>
            <w:pPr>
              <w:spacing w:after="0"/>
              <w:rPr>
                <w:sz w:val="1"/>
                <w:szCs w:val="1"/>
                <w:color w:val="auto"/>
              </w:rPr>
            </w:pPr>
          </w:p>
        </w:tc>
      </w:tr>
      <w:tr>
        <w:trPr>
          <w:trHeight w:val="234"/>
        </w:trPr>
        <w:tc>
          <w:tcPr>
            <w:tcW w:w="6360" w:type="dxa"/>
            <w:vAlign w:val="bottom"/>
            <w:gridSpan w:val="2"/>
          </w:tcPr>
          <w:p>
            <w:pPr>
              <w:spacing w:after="0"/>
              <w:rPr>
                <w:sz w:val="20"/>
                <w:szCs w:val="20"/>
                <w:color w:val="auto"/>
              </w:rPr>
            </w:pPr>
            <w:r>
              <w:rPr>
                <w:rFonts w:ascii="Arial" w:cs="Arial" w:eastAsia="Arial" w:hAnsi="Arial"/>
                <w:sz w:val="18"/>
                <w:szCs w:val="18"/>
                <w:b w:val="1"/>
                <w:bCs w:val="1"/>
                <w:color w:val="auto"/>
              </w:rPr>
              <w:t>Class F Common Stock</w:t>
            </w:r>
          </w:p>
        </w:tc>
        <w:tc>
          <w:tcPr>
            <w:tcW w:w="16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1"/>
              </w:rPr>
              <w:t>Number of Shares</w:t>
            </w:r>
          </w:p>
        </w:tc>
        <w:tc>
          <w:tcPr>
            <w:tcW w:w="1700" w:type="dxa"/>
            <w:vAlign w:val="bottom"/>
            <w:gridSpan w:val="2"/>
          </w:tcPr>
          <w:p>
            <w:pPr>
              <w:ind w:left="320"/>
              <w:spacing w:after="0"/>
              <w:rPr>
                <w:sz w:val="20"/>
                <w:szCs w:val="20"/>
                <w:color w:val="auto"/>
              </w:rPr>
            </w:pPr>
            <w:r>
              <w:rPr>
                <w:rFonts w:ascii="Arial" w:cs="Arial" w:eastAsia="Arial" w:hAnsi="Arial"/>
                <w:sz w:val="18"/>
                <w:szCs w:val="18"/>
                <w:b w:val="1"/>
                <w:bCs w:val="1"/>
                <w:color w:val="auto"/>
              </w:rPr>
              <w:t>% of Class</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Stock</w:t>
            </w:r>
          </w:p>
        </w:tc>
        <w:tc>
          <w:tcPr>
            <w:tcW w:w="0" w:type="dxa"/>
            <w:vAlign w:val="bottom"/>
          </w:tcPr>
          <w:p>
            <w:pPr>
              <w:spacing w:after="0"/>
              <w:rPr>
                <w:sz w:val="1"/>
                <w:szCs w:val="1"/>
                <w:color w:val="auto"/>
              </w:rPr>
            </w:pPr>
          </w:p>
        </w:tc>
      </w:tr>
      <w:tr>
        <w:trPr>
          <w:trHeight w:val="223"/>
        </w:trPr>
        <w:tc>
          <w:tcPr>
            <w:tcW w:w="62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Total Shares of Class F Common Stock</w:t>
            </w:r>
          </w:p>
        </w:tc>
        <w:tc>
          <w:tcPr>
            <w:tcW w:w="120" w:type="dxa"/>
            <w:vAlign w:val="bottom"/>
            <w:tcBorders>
              <w:top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220" w:type="dxa"/>
            <w:vAlign w:val="bottom"/>
            <w:tcBorders>
              <w:top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360" w:type="dxa"/>
            <w:vAlign w:val="bottom"/>
            <w:gridSpan w:val="2"/>
          </w:tcPr>
          <w:p>
            <w:pPr>
              <w:spacing w:after="0"/>
              <w:rPr>
                <w:sz w:val="20"/>
                <w:szCs w:val="20"/>
                <w:color w:val="auto"/>
              </w:rPr>
            </w:pPr>
            <w:r>
              <w:rPr>
                <w:rFonts w:ascii="Arial" w:cs="Arial" w:eastAsia="Arial" w:hAnsi="Arial"/>
                <w:sz w:val="18"/>
                <w:szCs w:val="18"/>
                <w:b w:val="1"/>
                <w:bCs w:val="1"/>
                <w:color w:val="auto"/>
              </w:rPr>
              <w:t>Total Shares of Common Stock</w:t>
            </w: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39,428,835</w:t>
            </w:r>
          </w:p>
        </w:tc>
        <w:tc>
          <w:tcPr>
            <w:tcW w:w="220" w:type="dxa"/>
            <w:vAlign w:val="bottom"/>
          </w:tcPr>
          <w:p>
            <w:pPr>
              <w:spacing w:after="0"/>
              <w:rPr>
                <w:sz w:val="19"/>
                <w:szCs w:val="19"/>
                <w:color w:val="auto"/>
              </w:rPr>
            </w:pPr>
          </w:p>
        </w:tc>
        <w:tc>
          <w:tcPr>
            <w:tcW w:w="148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66"/>
        </w:numPr>
        <w:rPr>
          <w:rFonts w:ascii="Arial" w:cs="Arial" w:eastAsia="Arial" w:hAnsi="Arial"/>
          <w:sz w:val="30"/>
          <w:szCs w:val="30"/>
          <w:color w:val="auto"/>
          <w:vertAlign w:val="superscript"/>
        </w:rPr>
      </w:pPr>
      <w:r>
        <w:rPr>
          <w:rFonts w:ascii="Arial" w:cs="Arial" w:eastAsia="Arial" w:hAnsi="Arial"/>
          <w:sz w:val="18"/>
          <w:szCs w:val="18"/>
          <w:color w:val="auto"/>
        </w:rPr>
        <w:t>Source: Schedule 13G filing with the U.S. Securities and Exchange Commission dated January 10, 2018.</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66"/>
        </w:numPr>
        <w:rPr>
          <w:rFonts w:ascii="Arial" w:cs="Arial" w:eastAsia="Arial" w:hAnsi="Arial"/>
          <w:sz w:val="24"/>
          <w:szCs w:val="24"/>
          <w:color w:val="auto"/>
          <w:vertAlign w:val="superscript"/>
        </w:rPr>
      </w:pPr>
      <w:r>
        <w:rPr>
          <w:rFonts w:ascii="Arial" w:cs="Arial" w:eastAsia="Arial" w:hAnsi="Arial"/>
          <w:sz w:val="15"/>
          <w:szCs w:val="15"/>
          <w:color w:val="auto"/>
        </w:rPr>
        <w:t>Source: Shareholder Identification Report performed by Ipreo, a service provider of Bladex.</w:t>
      </w:r>
    </w:p>
    <w:p>
      <w:pPr>
        <w:spacing w:after="0" w:line="2" w:lineRule="exact"/>
        <w:rPr>
          <w:rFonts w:ascii="Arial" w:cs="Arial" w:eastAsia="Arial" w:hAnsi="Arial"/>
          <w:sz w:val="24"/>
          <w:szCs w:val="24"/>
          <w:color w:val="auto"/>
          <w:vertAlign w:val="superscript"/>
        </w:rPr>
      </w:pPr>
    </w:p>
    <w:p>
      <w:pPr>
        <w:ind w:left="340" w:hanging="332"/>
        <w:spacing w:after="0" w:line="186" w:lineRule="auto"/>
        <w:tabs>
          <w:tab w:leader="none" w:pos="340" w:val="left"/>
        </w:tabs>
        <w:numPr>
          <w:ilvl w:val="0"/>
          <w:numId w:val="66"/>
        </w:numPr>
        <w:rPr>
          <w:rFonts w:ascii="Arial" w:cs="Arial" w:eastAsia="Arial" w:hAnsi="Arial"/>
          <w:sz w:val="24"/>
          <w:szCs w:val="24"/>
          <w:color w:val="auto"/>
          <w:vertAlign w:val="superscript"/>
        </w:rPr>
      </w:pPr>
      <w:r>
        <w:rPr>
          <w:rFonts w:ascii="Arial" w:cs="Arial" w:eastAsia="Arial" w:hAnsi="Arial"/>
          <w:sz w:val="15"/>
          <w:szCs w:val="15"/>
          <w:color w:val="auto"/>
        </w:rPr>
        <w:t>Source: Schedule 13G filing with the U.S. Securities and Exchange Commission dated February 13, 2018.</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23" w:lineRule="exact"/>
        <w:rPr>
          <w:sz w:val="20"/>
          <w:szCs w:val="20"/>
          <w:color w:val="auto"/>
        </w:rPr>
      </w:pPr>
    </w:p>
    <w:p>
      <w:pPr>
        <w:ind w:left="1300" w:hanging="320"/>
        <w:spacing w:after="0"/>
        <w:tabs>
          <w:tab w:leader="none" w:pos="1300" w:val="left"/>
        </w:tabs>
        <w:numPr>
          <w:ilvl w:val="0"/>
          <w:numId w:val="67"/>
        </w:numPr>
        <w:rPr>
          <w:rFonts w:ascii="Arial" w:cs="Arial" w:eastAsia="Arial" w:hAnsi="Arial"/>
          <w:sz w:val="16"/>
          <w:szCs w:val="16"/>
          <w:color w:val="auto"/>
        </w:rPr>
      </w:pPr>
      <w:r>
        <w:rPr>
          <w:rFonts w:ascii="Arial" w:cs="Arial" w:eastAsia="Arial" w:hAnsi="Arial"/>
          <w:sz w:val="16"/>
          <w:szCs w:val="16"/>
          <w:color w:val="auto"/>
        </w:rPr>
        <w:t>The affirmative vote of three-quarters (3/4) of the issued and outstanding Class A shares is required (1) to dissolve and liquidate the Bank,</w:t>
      </w:r>
    </w:p>
    <w:p>
      <w:pPr>
        <w:spacing w:after="0" w:line="32" w:lineRule="exact"/>
        <w:rPr>
          <w:rFonts w:ascii="Arial" w:cs="Arial" w:eastAsia="Arial" w:hAnsi="Arial"/>
          <w:sz w:val="16"/>
          <w:szCs w:val="16"/>
          <w:color w:val="auto"/>
        </w:rPr>
      </w:pPr>
    </w:p>
    <w:p>
      <w:pPr>
        <w:ind w:left="1300"/>
        <w:spacing w:after="0" w:line="250" w:lineRule="auto"/>
        <w:rPr>
          <w:rFonts w:ascii="Arial" w:cs="Arial" w:eastAsia="Arial" w:hAnsi="Arial"/>
          <w:sz w:val="16"/>
          <w:szCs w:val="16"/>
          <w:color w:val="auto"/>
        </w:rPr>
      </w:pPr>
      <w:r>
        <w:rPr>
          <w:rFonts w:ascii="Arial" w:cs="Arial" w:eastAsia="Arial" w:hAnsi="Arial"/>
          <w:sz w:val="18"/>
          <w:szCs w:val="18"/>
          <w:color w:val="auto"/>
        </w:rPr>
        <w:t>(2) to amend certain material provisions of the Articles of Incorporation, (3) to merge or consolidate the Bank with another entity and (4) to authorize the Bank to engage in activities other than those described in its Articles of Incorporation;</w:t>
      </w:r>
    </w:p>
    <w:p>
      <w:pPr>
        <w:ind w:left="1300" w:right="20" w:hanging="320"/>
        <w:spacing w:after="0" w:line="250" w:lineRule="auto"/>
        <w:tabs>
          <w:tab w:leader="none" w:pos="1300" w:val="left"/>
        </w:tabs>
        <w:numPr>
          <w:ilvl w:val="0"/>
          <w:numId w:val="67"/>
        </w:numPr>
        <w:rPr>
          <w:rFonts w:ascii="Arial" w:cs="Arial" w:eastAsia="Arial" w:hAnsi="Arial"/>
          <w:sz w:val="18"/>
          <w:szCs w:val="18"/>
          <w:color w:val="auto"/>
        </w:rPr>
      </w:pPr>
      <w:r>
        <w:rPr>
          <w:rFonts w:ascii="Arial" w:cs="Arial" w:eastAsia="Arial" w:hAnsi="Arial"/>
          <w:sz w:val="18"/>
          <w:szCs w:val="18"/>
          <w:color w:val="auto"/>
        </w:rPr>
        <w:t>The Class E shares are freely transferable without restriction to any person, while the Class A shares, Class B shares and Class F shares can only be transferred to qualified holders of each class;</w:t>
      </w:r>
    </w:p>
    <w:p>
      <w:pPr>
        <w:ind w:left="1300" w:hanging="320"/>
        <w:spacing w:after="0"/>
        <w:tabs>
          <w:tab w:leader="none" w:pos="1300" w:val="left"/>
        </w:tabs>
        <w:numPr>
          <w:ilvl w:val="0"/>
          <w:numId w:val="67"/>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rFonts w:ascii="Arial" w:cs="Arial" w:eastAsia="Arial" w:hAnsi="Arial"/>
          <w:sz w:val="18"/>
          <w:szCs w:val="18"/>
          <w:color w:val="auto"/>
        </w:rPr>
      </w:pPr>
    </w:p>
    <w:p>
      <w:pPr>
        <w:jc w:val="both"/>
        <w:ind w:left="1300" w:hanging="320"/>
        <w:spacing w:after="0" w:line="255" w:lineRule="auto"/>
        <w:tabs>
          <w:tab w:leader="none" w:pos="1300" w:val="left"/>
        </w:tabs>
        <w:numPr>
          <w:ilvl w:val="0"/>
          <w:numId w:val="67"/>
        </w:numPr>
        <w:rPr>
          <w:rFonts w:ascii="Arial" w:cs="Arial" w:eastAsia="Arial" w:hAnsi="Arial"/>
          <w:sz w:val="18"/>
          <w:szCs w:val="18"/>
          <w:color w:val="auto"/>
        </w:rPr>
      </w:pPr>
      <w:r>
        <w:rPr>
          <w:rFonts w:ascii="Arial" w:cs="Arial" w:eastAsia="Arial" w:hAnsi="Arial"/>
          <w:sz w:val="18"/>
          <w:szCs w:val="18"/>
          <w:color w:val="auto"/>
        </w:rPr>
        <w:t>The holders of Class A shares, Class B shares and Class F shares benefit from pre-emptive rights in respect of shares of the same class of shares owned by them that may be issued by virtue of a capital increase, in proportion to the shares of the class owned by them, but the holders of Class E shares do not; and</w:t>
      </w: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96" w:name="page97"/>
    <w:bookmarkEnd w:id="96"/>
    <w:p>
      <w:pPr>
        <w:jc w:val="both"/>
        <w:ind w:left="1300" w:hanging="320"/>
        <w:spacing w:after="0" w:line="279" w:lineRule="auto"/>
        <w:tabs>
          <w:tab w:leader="none" w:pos="1300" w:val="left"/>
        </w:tabs>
        <w:numPr>
          <w:ilvl w:val="0"/>
          <w:numId w:val="68"/>
        </w:numPr>
        <w:rPr>
          <w:rFonts w:ascii="Arial" w:cs="Arial" w:eastAsia="Arial" w:hAnsi="Arial"/>
          <w:sz w:val="17"/>
          <w:szCs w:val="17"/>
          <w:color w:val="auto"/>
        </w:rPr>
      </w:pPr>
      <w:r>
        <w:rPr>
          <w:rFonts w:ascii="Arial" w:cs="Arial" w:eastAsia="Arial" w:hAnsi="Arial"/>
          <w:sz w:val="17"/>
          <w:szCs w:val="17"/>
          <w:color w:val="auto"/>
        </w:rPr>
        <w:t>All classes vote separately for their respective directors. The holders of the Class A common shares have the right to elect three (3) Directors; the holders of the Class E common shares can elect five (5) Directors; and the holders of the Class F common shares have the right to elect one (1) Director, so long as the number of issued and outstanding Class F common shares is equal to or greater than fifteen per cent (15%) of the total number of issued and outstanding common shares of the corporation.</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color w:val="auto"/>
        </w:rPr>
        <w:t>Set forth below are the number of shares of each class of the Bank’s stock issued and outstanding as of the dates listed below:</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2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020" w:type="dxa"/>
            <w:vAlign w:val="bottom"/>
            <w:gridSpan w:val="6"/>
          </w:tcPr>
          <w:p>
            <w:pPr>
              <w:ind w:left="1060"/>
              <w:spacing w:after="0"/>
              <w:rPr>
                <w:sz w:val="20"/>
                <w:szCs w:val="20"/>
                <w:color w:val="auto"/>
              </w:rPr>
            </w:pPr>
            <w:r>
              <w:rPr>
                <w:rFonts w:ascii="Arial" w:cs="Arial" w:eastAsia="Arial" w:hAnsi="Arial"/>
                <w:sz w:val="18"/>
                <w:szCs w:val="18"/>
                <w:b w:val="1"/>
                <w:bCs w:val="1"/>
                <w:color w:val="auto"/>
              </w:rPr>
              <w:t>Number of Shares Outstanding as of</w:t>
            </w:r>
          </w:p>
        </w:tc>
      </w:tr>
      <w:tr>
        <w:trPr>
          <w:trHeight w:val="223"/>
        </w:trPr>
        <w:tc>
          <w:tcPr>
            <w:tcW w:w="6400" w:type="dxa"/>
            <w:vAlign w:val="bottom"/>
            <w:gridSpan w:val="2"/>
          </w:tcPr>
          <w:p>
            <w:pPr>
              <w:ind w:left="2560"/>
              <w:spacing w:after="0"/>
              <w:rPr>
                <w:sz w:val="20"/>
                <w:szCs w:val="20"/>
                <w:color w:val="auto"/>
              </w:rPr>
            </w:pPr>
            <w:r>
              <w:rPr>
                <w:rFonts w:ascii="Arial" w:cs="Arial" w:eastAsia="Arial" w:hAnsi="Arial"/>
                <w:sz w:val="18"/>
                <w:szCs w:val="18"/>
                <w:b w:val="1"/>
                <w:bCs w:val="1"/>
                <w:color w:val="auto"/>
              </w:rPr>
              <w:t>Class of Shares</w:t>
            </w:r>
          </w:p>
        </w:tc>
        <w:tc>
          <w:tcPr>
            <w:tcW w:w="1760" w:type="dxa"/>
            <w:vAlign w:val="bottom"/>
            <w:tcBorders>
              <w:top w:val="single" w:sz="8" w:color="auto"/>
            </w:tcBorders>
            <w:gridSpan w:val="2"/>
          </w:tcPr>
          <w:p>
            <w:pPr>
              <w:jc w:val="right"/>
              <w:ind w:right="280"/>
              <w:spacing w:after="0"/>
              <w:rPr>
                <w:sz w:val="20"/>
                <w:szCs w:val="20"/>
                <w:color w:val="auto"/>
              </w:rPr>
            </w:pPr>
            <w:r>
              <w:rPr>
                <w:rFonts w:ascii="Arial" w:cs="Arial" w:eastAsia="Arial" w:hAnsi="Arial"/>
                <w:sz w:val="18"/>
                <w:szCs w:val="18"/>
                <w:b w:val="1"/>
                <w:bCs w:val="1"/>
                <w:color w:val="auto"/>
                <w:w w:val="90"/>
              </w:rPr>
              <w:t>December 31, 2017</w:t>
            </w:r>
          </w:p>
        </w:tc>
        <w:tc>
          <w:tcPr>
            <w:tcW w:w="1680" w:type="dxa"/>
            <w:vAlign w:val="bottom"/>
            <w:tcBorders>
              <w:top w:val="single" w:sz="8" w:color="auto"/>
            </w:tcBorders>
            <w:gridSpan w:val="2"/>
          </w:tcPr>
          <w:p>
            <w:pPr>
              <w:jc w:val="right"/>
              <w:ind w:right="220"/>
              <w:spacing w:after="0"/>
              <w:rPr>
                <w:sz w:val="20"/>
                <w:szCs w:val="20"/>
                <w:color w:val="auto"/>
              </w:rPr>
            </w:pPr>
            <w:r>
              <w:rPr>
                <w:rFonts w:ascii="Arial" w:cs="Arial" w:eastAsia="Arial" w:hAnsi="Arial"/>
                <w:sz w:val="18"/>
                <w:szCs w:val="18"/>
                <w:b w:val="1"/>
                <w:bCs w:val="1"/>
                <w:color w:val="auto"/>
                <w:w w:val="88"/>
              </w:rPr>
              <w:t>December 31, 2016</w:t>
            </w: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December 31, 2015</w:t>
            </w:r>
          </w:p>
        </w:tc>
        <w:tc>
          <w:tcPr>
            <w:tcW w:w="100" w:type="dxa"/>
            <w:vAlign w:val="bottom"/>
          </w:tcPr>
          <w:p>
            <w:pPr>
              <w:spacing w:after="0"/>
              <w:rPr>
                <w:sz w:val="19"/>
                <w:szCs w:val="19"/>
                <w:color w:val="auto"/>
              </w:rPr>
            </w:pPr>
          </w:p>
        </w:tc>
      </w:tr>
      <w:tr>
        <w:trPr>
          <w:trHeight w:val="210"/>
        </w:trPr>
        <w:tc>
          <w:tcPr>
            <w:tcW w:w="62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Class A Common Shares</w:t>
            </w:r>
          </w:p>
        </w:tc>
        <w:tc>
          <w:tcPr>
            <w:tcW w:w="1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400" w:type="dxa"/>
            <w:vAlign w:val="bottom"/>
            <w:gridSpan w:val="2"/>
          </w:tcPr>
          <w:p>
            <w:pPr>
              <w:spacing w:after="0"/>
              <w:rPr>
                <w:sz w:val="20"/>
                <w:szCs w:val="20"/>
                <w:color w:val="auto"/>
              </w:rPr>
            </w:pPr>
            <w:r>
              <w:rPr>
                <w:rFonts w:ascii="Arial" w:cs="Arial" w:eastAsia="Arial" w:hAnsi="Arial"/>
                <w:sz w:val="18"/>
                <w:szCs w:val="18"/>
                <w:color w:val="auto"/>
              </w:rPr>
              <w:t>Class B Common Shares</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2,408,806</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2,474,469</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2,474,469</w:t>
            </w:r>
          </w:p>
        </w:tc>
      </w:tr>
      <w:tr>
        <w:trPr>
          <w:trHeight w:val="216"/>
        </w:trPr>
        <w:tc>
          <w:tcPr>
            <w:tcW w:w="64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Class E Common Shares</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30,677,840</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30,343,390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30,152,247</w:t>
            </w:r>
          </w:p>
        </w:tc>
      </w:tr>
      <w:tr>
        <w:trPr>
          <w:trHeight w:val="230"/>
        </w:trPr>
        <w:tc>
          <w:tcPr>
            <w:tcW w:w="6400" w:type="dxa"/>
            <w:vAlign w:val="bottom"/>
            <w:gridSpan w:val="2"/>
          </w:tcPr>
          <w:p>
            <w:pPr>
              <w:spacing w:after="0"/>
              <w:rPr>
                <w:sz w:val="20"/>
                <w:szCs w:val="20"/>
                <w:color w:val="auto"/>
              </w:rPr>
            </w:pPr>
            <w:r>
              <w:rPr>
                <w:rFonts w:ascii="Arial" w:cs="Arial" w:eastAsia="Arial" w:hAnsi="Arial"/>
                <w:sz w:val="18"/>
                <w:szCs w:val="18"/>
                <w:color w:val="auto"/>
              </w:rPr>
              <w:t>Class F Common Shares</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0</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10"/>
        </w:trPr>
        <w:tc>
          <w:tcPr>
            <w:tcW w:w="64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Common Shares</w:t>
            </w: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39,428,835</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39,160,048</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38,968,905</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number of the Bank’s Class A common shares outstanding as of December 31, 2017 did not change from December 31, 2016, while 65,000 Class B common shares were converted into Class E common shares during 2017. Class E common shares outstanding increased by 0.3 million shares during the same period, primarily as a result of exercised stock options, issued and vested restricted stock units of Bank’s executive officers and directors, and the Class B conversions into Class E common shares.</w:t>
      </w:r>
    </w:p>
    <w:p>
      <w:pPr>
        <w:spacing w:after="0" w:line="187"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As of December 31, 2017, there were a total of 56 holders of record of our Class E shares, of which 16 were registered with addresses in the United States. Such United States record holders were, as of such date, the holders of record of approximately 93.84% of our outstanding Class E shares. The number of record holders in the United States is not representative of the number of beneficial holders nor is it representative of where such beneficial holders reside, as many of these ordinary shares were held of record by brokers or other nominees. None of our Class A shares or Class B shares are held in the United States.</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color w:val="auto"/>
        </w:rPr>
        <w:t>The Bank had no preferred stock issued and outstanding as of December 31, 2017.</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For additional information regarding the Bank’s common stock, see Item 18, “Financial Statements,” note 15.</w:t>
      </w:r>
    </w:p>
    <w:p>
      <w:pPr>
        <w:spacing w:after="0" w:line="221" w:lineRule="exact"/>
        <w:rPr>
          <w:sz w:val="20"/>
          <w:szCs w:val="20"/>
          <w:color w:val="auto"/>
        </w:rPr>
      </w:pPr>
    </w:p>
    <w:p>
      <w:pPr>
        <w:ind w:left="660" w:hanging="652"/>
        <w:spacing w:after="0"/>
        <w:tabs>
          <w:tab w:leader="none" w:pos="66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Certain directors of the Bank are also directors and executive officers of banks and/or other companies located in Latin America, the Caribbean and elsewhere. Some of these banks and/or other companies own shares of the Bank’s common stock and have entered into loan transactions with the Bank in the ordinary course of business, in compliance with Panamanian regulatory related party limits set forth above in Item 4.B, “Information on the Company— Business Overview—Supervision and Regulation—Panamanian Law.”</w:t>
      </w:r>
    </w:p>
    <w:p>
      <w:pPr>
        <w:spacing w:after="0" w:line="187"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As of December 31, 2017 and 2016, the Bank had credit transactions in the normal course of business with 21% and 16%, respectively, of its Class A and B stockholders. All transactions were made based on arm’s-length terms, were subject to prevailing commercial criteria and market rates and were subject to all of the Bank’s Corporate Governance and control procedures. As of December 31, 2017 and 2016, approximately 14% and 10%, respectively, of the outstanding loan portfolio was placed with the Bank’s Class A and B stockholders and their related parties. As of December 31, 2017,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7" w:name="page98"/>
    <w:bookmarkEnd w:id="97"/>
    <w:p>
      <w:pPr>
        <w:spacing w:after="0" w:line="277" w:lineRule="auto"/>
        <w:rPr>
          <w:sz w:val="20"/>
          <w:szCs w:val="20"/>
          <w:color w:val="auto"/>
        </w:rPr>
      </w:pPr>
      <w:r>
        <w:rPr>
          <w:rFonts w:ascii="Arial" w:cs="Arial" w:eastAsia="Arial" w:hAnsi="Arial"/>
          <w:sz w:val="18"/>
          <w:szCs w:val="18"/>
          <w:color w:val="auto"/>
        </w:rPr>
        <w:t>In addition, the Bank had extended transactions, in the ordinary course of business, to four entities whose directors and/or executive officers are also directors of the Bank. These entities were:</w:t>
      </w:r>
    </w:p>
    <w:p>
      <w:pPr>
        <w:spacing w:after="0" w:line="170" w:lineRule="exact"/>
        <w:rPr>
          <w:sz w:val="20"/>
          <w:szCs w:val="20"/>
          <w:color w:val="auto"/>
        </w:rPr>
      </w:pPr>
    </w:p>
    <w:p>
      <w:pPr>
        <w:jc w:val="both"/>
        <w:ind w:firstLine="8"/>
        <w:spacing w:after="0" w:line="259" w:lineRule="auto"/>
        <w:tabs>
          <w:tab w:leader="none" w:pos="162" w:val="left"/>
        </w:tabs>
        <w:numPr>
          <w:ilvl w:val="0"/>
          <w:numId w:val="70"/>
        </w:numPr>
        <w:rPr>
          <w:rFonts w:ascii="Arial" w:cs="Arial" w:eastAsia="Arial" w:hAnsi="Arial"/>
          <w:sz w:val="18"/>
          <w:szCs w:val="18"/>
          <w:color w:val="auto"/>
        </w:rPr>
      </w:pPr>
      <w:r>
        <w:rPr>
          <w:rFonts w:ascii="Arial" w:cs="Arial" w:eastAsia="Arial" w:hAnsi="Arial"/>
          <w:sz w:val="18"/>
          <w:szCs w:val="18"/>
          <w:color w:val="auto"/>
        </w:rPr>
        <w:t>Banco General S.A. – Costa Rica, of which the Bank’s director, Ricardo Manuel Arango, is also a director of its parent company. Three outstanding loans were made to Banco General, one disbursed on November 15, 2017 and two disbursed on November 29, 2017, with a total outstanding amount of $26 million as of December 31, 2017, which also represented the largest granted amount outstanding at any month-end during 2017. The outstanding loans had a weighted average interest rate of 3.18%.</w:t>
      </w:r>
    </w:p>
    <w:p>
      <w:pPr>
        <w:spacing w:after="0" w:line="186" w:lineRule="exact"/>
        <w:rPr>
          <w:rFonts w:ascii="Arial" w:cs="Arial" w:eastAsia="Arial" w:hAnsi="Arial"/>
          <w:sz w:val="18"/>
          <w:szCs w:val="18"/>
          <w:color w:val="auto"/>
        </w:rPr>
      </w:pPr>
    </w:p>
    <w:p>
      <w:pPr>
        <w:jc w:val="both"/>
        <w:ind w:firstLine="8"/>
        <w:spacing w:after="0" w:line="264" w:lineRule="auto"/>
        <w:tabs>
          <w:tab w:leader="none" w:pos="223" w:val="left"/>
        </w:tabs>
        <w:numPr>
          <w:ilvl w:val="0"/>
          <w:numId w:val="70"/>
        </w:numPr>
        <w:rPr>
          <w:rFonts w:ascii="Arial" w:cs="Arial" w:eastAsia="Arial" w:hAnsi="Arial"/>
          <w:sz w:val="18"/>
          <w:szCs w:val="18"/>
          <w:color w:val="auto"/>
        </w:rPr>
      </w:pPr>
      <w:r>
        <w:rPr>
          <w:rFonts w:ascii="Arial" w:cs="Arial" w:eastAsia="Arial" w:hAnsi="Arial"/>
          <w:sz w:val="18"/>
          <w:szCs w:val="18"/>
          <w:color w:val="auto"/>
        </w:rPr>
        <w:t>Banco Patagonia, S.A., of which the Bank’s director, João Carlos de Nóbrega Pecego, is President. Several loans were made to Banco Patagonia, S.A. during 2017, with a total outstanding amount of $8 million, and a weighted average interest rate of 2.89% as of December 31, 2017. The largest granted amount outstanding at any month-end during 2017 was $21 million.</w:t>
      </w:r>
    </w:p>
    <w:p>
      <w:pPr>
        <w:spacing w:after="0" w:line="181" w:lineRule="exact"/>
        <w:rPr>
          <w:rFonts w:ascii="Arial" w:cs="Arial" w:eastAsia="Arial" w:hAnsi="Arial"/>
          <w:sz w:val="18"/>
          <w:szCs w:val="18"/>
          <w:color w:val="auto"/>
        </w:rPr>
      </w:pPr>
    </w:p>
    <w:p>
      <w:pPr>
        <w:jc w:val="both"/>
        <w:ind w:firstLine="8"/>
        <w:spacing w:after="0" w:line="264" w:lineRule="auto"/>
        <w:tabs>
          <w:tab w:leader="none" w:pos="257" w:val="left"/>
        </w:tabs>
        <w:numPr>
          <w:ilvl w:val="0"/>
          <w:numId w:val="70"/>
        </w:numPr>
        <w:rPr>
          <w:rFonts w:ascii="Arial" w:cs="Arial" w:eastAsia="Arial" w:hAnsi="Arial"/>
          <w:sz w:val="18"/>
          <w:szCs w:val="18"/>
          <w:color w:val="auto"/>
        </w:rPr>
      </w:pPr>
      <w:r>
        <w:rPr>
          <w:rFonts w:ascii="Arial" w:cs="Arial" w:eastAsia="Arial" w:hAnsi="Arial"/>
          <w:sz w:val="18"/>
          <w:szCs w:val="18"/>
          <w:color w:val="auto"/>
        </w:rPr>
        <w:t>Sudameris Bank SAECA, of which the Bank’s director, Roland Holst, is also a director. Two loans were made to Sudameris Bank SAECA on October 19, 2017 and December 7, 2017, with a total outstanding amount of $10 million as of December 31, 2017, which was the largest granted amount outstanding at any month-end during 2017. The outstanding loans had a weighted average interest rate of 3.19%.</w:t>
      </w:r>
    </w:p>
    <w:p>
      <w:pPr>
        <w:spacing w:after="0" w:line="181" w:lineRule="exact"/>
        <w:rPr>
          <w:rFonts w:ascii="Arial" w:cs="Arial" w:eastAsia="Arial" w:hAnsi="Arial"/>
          <w:sz w:val="18"/>
          <w:szCs w:val="18"/>
          <w:color w:val="auto"/>
        </w:rPr>
      </w:pPr>
    </w:p>
    <w:p>
      <w:pPr>
        <w:ind w:firstLine="8"/>
        <w:spacing w:after="0" w:line="342" w:lineRule="auto"/>
        <w:tabs>
          <w:tab w:leader="none" w:pos="246" w:val="left"/>
        </w:tabs>
        <w:numPr>
          <w:ilvl w:val="0"/>
          <w:numId w:val="70"/>
        </w:numPr>
        <w:rPr>
          <w:rFonts w:ascii="Arial" w:cs="Arial" w:eastAsia="Arial" w:hAnsi="Arial"/>
          <w:sz w:val="16"/>
          <w:szCs w:val="16"/>
          <w:color w:val="auto"/>
        </w:rPr>
      </w:pPr>
      <w:r>
        <w:rPr>
          <w:rFonts w:ascii="Arial" w:cs="Arial" w:eastAsia="Arial" w:hAnsi="Arial"/>
          <w:sz w:val="16"/>
          <w:szCs w:val="16"/>
          <w:color w:val="auto"/>
        </w:rPr>
        <w:t>Valores Quimicos, S.A., of which the Bank’s director, Herminio A. Blanco, is also a director of one of its parent companies. As of December 31, 2017, the Bank had two outstanding letters of credit of $0.3 million and $0.4 million made to Valores Quimicos, S.A. on August 11 and 29, 2017, respectively.</w:t>
      </w:r>
    </w:p>
    <w:p>
      <w:pPr>
        <w:spacing w:after="0" w:line="12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All of the abovementioned loans were granted for commercial business purposes. The terms and conditions of the loan transactions, including interest rates and collateral requirements, are substantially the same as the terms and conditions of comparable loan transactions entered into with other persons under similar market conditions. The loan transactions did not involve more than the normal risk of collectability or present other unfavorable features. In accordance with the Risk Policy and Assessment Committee’s charter, directors of the Bank shall not participate in the approval process for credit facilities extended to institutions in which they are executive officers or directors, nor do they participate with respect to decisions regarding country exposure limits in countries in which the institutions are domiciled.</w:t>
      </w:r>
    </w:p>
    <w:p>
      <w:pPr>
        <w:spacing w:after="0" w:line="189" w:lineRule="exact"/>
        <w:rPr>
          <w:sz w:val="20"/>
          <w:szCs w:val="20"/>
          <w:color w:val="auto"/>
        </w:rPr>
      </w:pPr>
    </w:p>
    <w:p>
      <w:pPr>
        <w:jc w:val="both"/>
        <w:ind w:left="660" w:right="8220" w:hanging="652"/>
        <w:spacing w:after="0" w:line="563" w:lineRule="auto"/>
        <w:tabs>
          <w:tab w:leader="none" w:pos="660" w:val="left"/>
        </w:tabs>
        <w:numPr>
          <w:ilvl w:val="0"/>
          <w:numId w:val="71"/>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Interests of Experts and Counsel </w:t>
      </w:r>
      <w:r>
        <w:rPr>
          <w:rFonts w:ascii="Arial" w:cs="Arial" w:eastAsia="Arial" w:hAnsi="Arial"/>
          <w:sz w:val="16"/>
          <w:szCs w:val="16"/>
          <w:color w:val="auto"/>
        </w:rPr>
        <w:t>Not required in this Annual Report.</w:t>
      </w:r>
    </w:p>
    <w:p>
      <w:pPr>
        <w:spacing w:after="0" w:line="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8.</w:t>
      </w:r>
      <w:r>
        <w:rPr>
          <w:sz w:val="20"/>
          <w:szCs w:val="20"/>
          <w:color w:val="auto"/>
        </w:rPr>
        <w:tab/>
      </w:r>
      <w:r>
        <w:rPr>
          <w:rFonts w:ascii="Arial" w:cs="Arial" w:eastAsia="Arial" w:hAnsi="Arial"/>
          <w:sz w:val="16"/>
          <w:szCs w:val="16"/>
          <w:b w:val="1"/>
          <w:bCs w:val="1"/>
          <w:color w:val="auto"/>
        </w:rPr>
        <w:t>Financial Information</w:t>
      </w:r>
    </w:p>
    <w:p>
      <w:pPr>
        <w:spacing w:after="0" w:line="225" w:lineRule="exact"/>
        <w:rPr>
          <w:sz w:val="20"/>
          <w:szCs w:val="20"/>
          <w:color w:val="auto"/>
        </w:rPr>
      </w:pPr>
    </w:p>
    <w:p>
      <w:pPr>
        <w:ind w:left="660" w:hanging="652"/>
        <w:spacing w:after="0"/>
        <w:tabs>
          <w:tab w:leader="none" w:pos="660" w:val="left"/>
        </w:tabs>
        <w:numPr>
          <w:ilvl w:val="0"/>
          <w:numId w:val="72"/>
        </w:numPr>
        <w:rPr>
          <w:rFonts w:ascii="Arial" w:cs="Arial" w:eastAsia="Arial" w:hAnsi="Arial"/>
          <w:sz w:val="18"/>
          <w:szCs w:val="18"/>
          <w:b w:val="1"/>
          <w:bCs w:val="1"/>
          <w:color w:val="auto"/>
        </w:rPr>
      </w:pPr>
      <w:r>
        <w:rPr>
          <w:rFonts w:ascii="Arial" w:cs="Arial" w:eastAsia="Arial" w:hAnsi="Arial"/>
          <w:sz w:val="18"/>
          <w:szCs w:val="18"/>
          <w:b w:val="1"/>
          <w:bCs w:val="1"/>
          <w:color w:val="auto"/>
        </w:rPr>
        <w:t>Consolidated Statements and Other Financial Information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information included in Item 18 of this Annual Report is referred to and incorporated by reference into this Item 8.A.</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At the date of this Annual Report, there have been no legal or arbitration proceedings, which may have, or have had in the recent past, significant effects on the Bank’s financial position or profitability, including proceedings pending or known to be contemplated.</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8" w:name="page99"/>
    <w:bookmarkEnd w:id="98"/>
    <w:p>
      <w:pPr>
        <w:spacing w:after="0"/>
        <w:rPr>
          <w:sz w:val="20"/>
          <w:szCs w:val="20"/>
          <w:color w:val="auto"/>
        </w:rPr>
      </w:pPr>
      <w:r>
        <w:rPr>
          <w:rFonts w:ascii="Arial" w:cs="Arial" w:eastAsia="Arial" w:hAnsi="Arial"/>
          <w:sz w:val="18"/>
          <w:szCs w:val="18"/>
          <w:b w:val="1"/>
          <w:bCs w:val="1"/>
          <w:i w:val="1"/>
          <w:iCs w:val="1"/>
          <w:color w:val="auto"/>
        </w:rPr>
        <w:t>Dividends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Board’s policy is to declare and distribute quarterly cash dividends on the Bank’s common stock. Dividends are declared at the Board’s discretion and, from time to time, the Bank has declared special dividends.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On January 16, 2018, the Board approved a quarterly cash dividend distributed to holders of common shares of $0.385 per share pertaining to the fourth quarter of 2017. The cash dividend was announced on January 17, 2018 and was paid on February 21, 2018 to the Bank’s stockholders of record as of February 2, 2018.</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No special dividends were declared during three-year period ended December 31, 2017.</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information regarding dividends paid to holders of common shares on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360" w:type="dxa"/>
            <w:vAlign w:val="bottom"/>
            <w:gridSpan w:val="4"/>
          </w:tcPr>
          <w:p>
            <w:pPr>
              <w:spacing w:after="0"/>
              <w:rPr>
                <w:sz w:val="20"/>
                <w:szCs w:val="20"/>
                <w:color w:val="auto"/>
              </w:rPr>
            </w:pPr>
            <w:r>
              <w:rPr>
                <w:rFonts w:ascii="Arial" w:cs="Arial" w:eastAsia="Arial" w:hAnsi="Arial"/>
                <w:sz w:val="18"/>
                <w:szCs w:val="18"/>
                <w:b w:val="1"/>
                <w:bCs w:val="1"/>
                <w:color w:val="auto"/>
              </w:rPr>
              <w:t>Payment date</w:t>
            </w:r>
          </w:p>
        </w:tc>
        <w:tc>
          <w:tcPr>
            <w:tcW w:w="2460" w:type="dxa"/>
            <w:vAlign w:val="bottom"/>
          </w:tcPr>
          <w:p>
            <w:pPr>
              <w:jc w:val="center"/>
              <w:ind w:right="330"/>
              <w:spacing w:after="0"/>
              <w:rPr>
                <w:sz w:val="20"/>
                <w:szCs w:val="20"/>
                <w:color w:val="auto"/>
              </w:rPr>
            </w:pPr>
            <w:r>
              <w:rPr>
                <w:rFonts w:ascii="Arial" w:cs="Arial" w:eastAsia="Arial" w:hAnsi="Arial"/>
                <w:sz w:val="18"/>
                <w:szCs w:val="18"/>
                <w:b w:val="1"/>
                <w:bCs w:val="1"/>
                <w:color w:val="auto"/>
                <w:w w:val="88"/>
              </w:rPr>
              <w:t>Record date</w:t>
            </w: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220" w:type="dxa"/>
            <w:vAlign w:val="bottom"/>
            <w:gridSpan w:val="2"/>
          </w:tcPr>
          <w:p>
            <w:pPr>
              <w:ind w:left="180"/>
              <w:spacing w:after="0"/>
              <w:rPr>
                <w:sz w:val="20"/>
                <w:szCs w:val="20"/>
                <w:color w:val="auto"/>
              </w:rPr>
            </w:pPr>
            <w:r>
              <w:rPr>
                <w:rFonts w:ascii="Arial" w:cs="Arial" w:eastAsia="Arial" w:hAnsi="Arial"/>
                <w:sz w:val="18"/>
                <w:szCs w:val="18"/>
                <w:b w:val="1"/>
                <w:bCs w:val="1"/>
                <w:color w:val="auto"/>
              </w:rPr>
              <w:t>Dividend per share</w:t>
            </w:r>
          </w:p>
        </w:tc>
      </w:tr>
      <w:tr>
        <w:trPr>
          <w:trHeight w:val="210"/>
        </w:trPr>
        <w:tc>
          <w:tcPr>
            <w:tcW w:w="582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February 21, 2018</w:t>
            </w:r>
          </w:p>
        </w:tc>
        <w:tc>
          <w:tcPr>
            <w:tcW w:w="140" w:type="dxa"/>
            <w:vAlign w:val="bottom"/>
            <w:tcBorders>
              <w:top w:val="single" w:sz="8" w:color="CCEEFF"/>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2460" w:type="dxa"/>
            <w:vAlign w:val="bottom"/>
            <w:tcBorders>
              <w:top w:val="single" w:sz="8" w:color="auto"/>
            </w:tcBorders>
            <w:shd w:val="clear" w:color="auto" w:fill="CCEEFF"/>
          </w:tcPr>
          <w:p>
            <w:pPr>
              <w:jc w:val="center"/>
              <w:ind w:right="330"/>
              <w:spacing w:after="0"/>
              <w:rPr>
                <w:sz w:val="20"/>
                <w:szCs w:val="20"/>
                <w:color w:val="auto"/>
              </w:rPr>
            </w:pPr>
            <w:r>
              <w:rPr>
                <w:rFonts w:ascii="Arial" w:cs="Arial" w:eastAsia="Arial" w:hAnsi="Arial"/>
                <w:sz w:val="18"/>
                <w:szCs w:val="18"/>
                <w:color w:val="auto"/>
                <w:w w:val="90"/>
              </w:rPr>
              <w:t>February 2, 2018</w:t>
            </w: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2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0.385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360" w:type="dxa"/>
            <w:vAlign w:val="bottom"/>
            <w:gridSpan w:val="4"/>
          </w:tcPr>
          <w:p>
            <w:pPr>
              <w:spacing w:after="0"/>
              <w:rPr>
                <w:sz w:val="20"/>
                <w:szCs w:val="20"/>
                <w:color w:val="auto"/>
              </w:rPr>
            </w:pPr>
            <w:r>
              <w:rPr>
                <w:rFonts w:ascii="Arial" w:cs="Arial" w:eastAsia="Arial" w:hAnsi="Arial"/>
                <w:sz w:val="18"/>
                <w:szCs w:val="18"/>
                <w:color w:val="auto"/>
              </w:rPr>
              <w:t>November 21, 2017</w:t>
            </w:r>
          </w:p>
        </w:tc>
        <w:tc>
          <w:tcPr>
            <w:tcW w:w="2460" w:type="dxa"/>
            <w:vAlign w:val="bottom"/>
          </w:tcPr>
          <w:p>
            <w:pPr>
              <w:jc w:val="center"/>
              <w:ind w:right="330"/>
              <w:spacing w:after="0"/>
              <w:rPr>
                <w:sz w:val="20"/>
                <w:szCs w:val="20"/>
                <w:color w:val="auto"/>
              </w:rPr>
            </w:pPr>
            <w:r>
              <w:rPr>
                <w:rFonts w:ascii="Arial" w:cs="Arial" w:eastAsia="Arial" w:hAnsi="Arial"/>
                <w:sz w:val="18"/>
                <w:szCs w:val="18"/>
                <w:color w:val="auto"/>
                <w:w w:val="91"/>
              </w:rPr>
              <w:t>November 1, 2017</w:t>
            </w:r>
          </w:p>
        </w:tc>
        <w:tc>
          <w:tcPr>
            <w:tcW w:w="38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August 17, 2017</w:t>
            </w:r>
          </w:p>
        </w:tc>
        <w:tc>
          <w:tcPr>
            <w:tcW w:w="2460" w:type="dxa"/>
            <w:vAlign w:val="bottom"/>
            <w:shd w:val="clear" w:color="auto" w:fill="CCEEFF"/>
          </w:tcPr>
          <w:p>
            <w:pPr>
              <w:jc w:val="center"/>
              <w:ind w:right="330"/>
              <w:spacing w:after="0"/>
              <w:rPr>
                <w:sz w:val="20"/>
                <w:szCs w:val="20"/>
                <w:color w:val="auto"/>
              </w:rPr>
            </w:pPr>
            <w:r>
              <w:rPr>
                <w:rFonts w:ascii="Arial" w:cs="Arial" w:eastAsia="Arial" w:hAnsi="Arial"/>
                <w:sz w:val="18"/>
                <w:szCs w:val="18"/>
                <w:color w:val="auto"/>
                <w:w w:val="92"/>
              </w:rPr>
              <w:t>August 2, 2017</w:t>
            </w:r>
          </w:p>
        </w:tc>
        <w:tc>
          <w:tcPr>
            <w:tcW w:w="3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tcPr>
          <w:p>
            <w:pPr>
              <w:spacing w:after="0"/>
              <w:rPr>
                <w:sz w:val="20"/>
                <w:szCs w:val="20"/>
                <w:color w:val="auto"/>
              </w:rPr>
            </w:pPr>
            <w:r>
              <w:rPr>
                <w:rFonts w:ascii="Arial" w:cs="Arial" w:eastAsia="Arial" w:hAnsi="Arial"/>
                <w:sz w:val="18"/>
                <w:szCs w:val="18"/>
                <w:color w:val="auto"/>
              </w:rPr>
              <w:t>May 18, 2017</w:t>
            </w:r>
          </w:p>
        </w:tc>
        <w:tc>
          <w:tcPr>
            <w:tcW w:w="2460" w:type="dxa"/>
            <w:vAlign w:val="bottom"/>
          </w:tcPr>
          <w:p>
            <w:pPr>
              <w:jc w:val="center"/>
              <w:ind w:right="330"/>
              <w:spacing w:after="0"/>
              <w:rPr>
                <w:sz w:val="20"/>
                <w:szCs w:val="20"/>
                <w:color w:val="auto"/>
              </w:rPr>
            </w:pPr>
            <w:r>
              <w:rPr>
                <w:rFonts w:ascii="Arial" w:cs="Arial" w:eastAsia="Arial" w:hAnsi="Arial"/>
                <w:sz w:val="18"/>
                <w:szCs w:val="18"/>
                <w:color w:val="auto"/>
                <w:w w:val="92"/>
              </w:rPr>
              <w:t>May 3, 2017</w:t>
            </w:r>
          </w:p>
        </w:tc>
        <w:tc>
          <w:tcPr>
            <w:tcW w:w="38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February 16, 2017</w:t>
            </w:r>
          </w:p>
        </w:tc>
        <w:tc>
          <w:tcPr>
            <w:tcW w:w="2460" w:type="dxa"/>
            <w:vAlign w:val="bottom"/>
            <w:shd w:val="clear" w:color="auto" w:fill="CCEEFF"/>
          </w:tcPr>
          <w:p>
            <w:pPr>
              <w:jc w:val="center"/>
              <w:ind w:right="330"/>
              <w:spacing w:after="0"/>
              <w:rPr>
                <w:sz w:val="20"/>
                <w:szCs w:val="20"/>
                <w:color w:val="auto"/>
              </w:rPr>
            </w:pPr>
            <w:r>
              <w:rPr>
                <w:rFonts w:ascii="Arial" w:cs="Arial" w:eastAsia="Arial" w:hAnsi="Arial"/>
                <w:sz w:val="18"/>
                <w:szCs w:val="18"/>
                <w:color w:val="auto"/>
                <w:w w:val="90"/>
              </w:rPr>
              <w:t>February 1, 2017</w:t>
            </w:r>
          </w:p>
        </w:tc>
        <w:tc>
          <w:tcPr>
            <w:tcW w:w="3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tcPr>
          <w:p>
            <w:pPr>
              <w:spacing w:after="0"/>
              <w:rPr>
                <w:sz w:val="20"/>
                <w:szCs w:val="20"/>
                <w:color w:val="auto"/>
              </w:rPr>
            </w:pPr>
            <w:r>
              <w:rPr>
                <w:rFonts w:ascii="Arial" w:cs="Arial" w:eastAsia="Arial" w:hAnsi="Arial"/>
                <w:sz w:val="18"/>
                <w:szCs w:val="18"/>
                <w:color w:val="auto"/>
              </w:rPr>
              <w:t>November 17, 2016</w:t>
            </w:r>
          </w:p>
        </w:tc>
        <w:tc>
          <w:tcPr>
            <w:tcW w:w="2460" w:type="dxa"/>
            <w:vAlign w:val="bottom"/>
          </w:tcPr>
          <w:p>
            <w:pPr>
              <w:jc w:val="center"/>
              <w:ind w:right="330"/>
              <w:spacing w:after="0"/>
              <w:rPr>
                <w:sz w:val="20"/>
                <w:szCs w:val="20"/>
                <w:color w:val="auto"/>
              </w:rPr>
            </w:pPr>
            <w:r>
              <w:rPr>
                <w:rFonts w:ascii="Arial" w:cs="Arial" w:eastAsia="Arial" w:hAnsi="Arial"/>
                <w:sz w:val="18"/>
                <w:szCs w:val="18"/>
                <w:color w:val="auto"/>
                <w:w w:val="89"/>
              </w:rPr>
              <w:t>October 31, 2016</w:t>
            </w:r>
          </w:p>
        </w:tc>
        <w:tc>
          <w:tcPr>
            <w:tcW w:w="38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August 17, 2016</w:t>
            </w:r>
          </w:p>
        </w:tc>
        <w:tc>
          <w:tcPr>
            <w:tcW w:w="2460" w:type="dxa"/>
            <w:vAlign w:val="bottom"/>
            <w:shd w:val="clear" w:color="auto" w:fill="CCEEFF"/>
          </w:tcPr>
          <w:p>
            <w:pPr>
              <w:jc w:val="center"/>
              <w:ind w:right="330"/>
              <w:spacing w:after="0"/>
              <w:rPr>
                <w:sz w:val="20"/>
                <w:szCs w:val="20"/>
                <w:color w:val="auto"/>
              </w:rPr>
            </w:pPr>
            <w:r>
              <w:rPr>
                <w:rFonts w:ascii="Arial" w:cs="Arial" w:eastAsia="Arial" w:hAnsi="Arial"/>
                <w:sz w:val="18"/>
                <w:szCs w:val="18"/>
                <w:color w:val="auto"/>
                <w:w w:val="92"/>
              </w:rPr>
              <w:t>August 3, 2016</w:t>
            </w:r>
          </w:p>
        </w:tc>
        <w:tc>
          <w:tcPr>
            <w:tcW w:w="3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tcPr>
          <w:p>
            <w:pPr>
              <w:spacing w:after="0"/>
              <w:rPr>
                <w:sz w:val="20"/>
                <w:szCs w:val="20"/>
                <w:color w:val="auto"/>
              </w:rPr>
            </w:pPr>
            <w:r>
              <w:rPr>
                <w:rFonts w:ascii="Arial" w:cs="Arial" w:eastAsia="Arial" w:hAnsi="Arial"/>
                <w:sz w:val="18"/>
                <w:szCs w:val="18"/>
                <w:color w:val="auto"/>
              </w:rPr>
              <w:t>May 11, 2016</w:t>
            </w:r>
          </w:p>
        </w:tc>
        <w:tc>
          <w:tcPr>
            <w:tcW w:w="2460" w:type="dxa"/>
            <w:vAlign w:val="bottom"/>
          </w:tcPr>
          <w:p>
            <w:pPr>
              <w:jc w:val="center"/>
              <w:ind w:right="330"/>
              <w:spacing w:after="0"/>
              <w:rPr>
                <w:sz w:val="20"/>
                <w:szCs w:val="20"/>
                <w:color w:val="auto"/>
              </w:rPr>
            </w:pPr>
            <w:r>
              <w:rPr>
                <w:rFonts w:ascii="Arial" w:cs="Arial" w:eastAsia="Arial" w:hAnsi="Arial"/>
                <w:sz w:val="18"/>
                <w:szCs w:val="18"/>
                <w:color w:val="auto"/>
                <w:w w:val="93"/>
              </w:rPr>
              <w:t>April 25, 2016</w:t>
            </w:r>
          </w:p>
        </w:tc>
        <w:tc>
          <w:tcPr>
            <w:tcW w:w="38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February 23, 2016</w:t>
            </w:r>
          </w:p>
        </w:tc>
        <w:tc>
          <w:tcPr>
            <w:tcW w:w="2460" w:type="dxa"/>
            <w:vAlign w:val="bottom"/>
            <w:shd w:val="clear" w:color="auto" w:fill="CCEEFF"/>
          </w:tcPr>
          <w:p>
            <w:pPr>
              <w:jc w:val="center"/>
              <w:ind w:right="330"/>
              <w:spacing w:after="0"/>
              <w:rPr>
                <w:sz w:val="20"/>
                <w:szCs w:val="20"/>
                <w:color w:val="auto"/>
              </w:rPr>
            </w:pPr>
            <w:r>
              <w:rPr>
                <w:rFonts w:ascii="Arial" w:cs="Arial" w:eastAsia="Arial" w:hAnsi="Arial"/>
                <w:sz w:val="18"/>
                <w:szCs w:val="18"/>
                <w:color w:val="auto"/>
                <w:w w:val="89"/>
              </w:rPr>
              <w:t>February 10, 2016</w:t>
            </w:r>
          </w:p>
        </w:tc>
        <w:tc>
          <w:tcPr>
            <w:tcW w:w="3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tcPr>
          <w:p>
            <w:pPr>
              <w:spacing w:after="0"/>
              <w:rPr>
                <w:sz w:val="20"/>
                <w:szCs w:val="20"/>
                <w:color w:val="auto"/>
              </w:rPr>
            </w:pPr>
            <w:r>
              <w:rPr>
                <w:rFonts w:ascii="Arial" w:cs="Arial" w:eastAsia="Arial" w:hAnsi="Arial"/>
                <w:sz w:val="18"/>
                <w:szCs w:val="18"/>
                <w:color w:val="auto"/>
              </w:rPr>
              <w:t>November 6, 2015</w:t>
            </w:r>
          </w:p>
        </w:tc>
        <w:tc>
          <w:tcPr>
            <w:tcW w:w="2460" w:type="dxa"/>
            <w:vAlign w:val="bottom"/>
          </w:tcPr>
          <w:p>
            <w:pPr>
              <w:jc w:val="center"/>
              <w:ind w:right="330"/>
              <w:spacing w:after="0"/>
              <w:rPr>
                <w:sz w:val="20"/>
                <w:szCs w:val="20"/>
                <w:color w:val="auto"/>
              </w:rPr>
            </w:pPr>
            <w:r>
              <w:rPr>
                <w:rFonts w:ascii="Arial" w:cs="Arial" w:eastAsia="Arial" w:hAnsi="Arial"/>
                <w:sz w:val="18"/>
                <w:szCs w:val="18"/>
                <w:color w:val="auto"/>
                <w:w w:val="89"/>
              </w:rPr>
              <w:t>October 26, 2015</w:t>
            </w:r>
          </w:p>
        </w:tc>
        <w:tc>
          <w:tcPr>
            <w:tcW w:w="38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August 4, 2015</w:t>
            </w:r>
          </w:p>
        </w:tc>
        <w:tc>
          <w:tcPr>
            <w:tcW w:w="2460" w:type="dxa"/>
            <w:vAlign w:val="bottom"/>
            <w:shd w:val="clear" w:color="auto" w:fill="CCEEFF"/>
          </w:tcPr>
          <w:p>
            <w:pPr>
              <w:jc w:val="center"/>
              <w:ind w:right="330"/>
              <w:spacing w:after="0"/>
              <w:rPr>
                <w:sz w:val="20"/>
                <w:szCs w:val="20"/>
                <w:color w:val="auto"/>
              </w:rPr>
            </w:pPr>
            <w:r>
              <w:rPr>
                <w:rFonts w:ascii="Arial" w:cs="Arial" w:eastAsia="Arial" w:hAnsi="Arial"/>
                <w:sz w:val="18"/>
                <w:szCs w:val="18"/>
                <w:color w:val="auto"/>
                <w:w w:val="89"/>
              </w:rPr>
              <w:t>July 27, 2015</w:t>
            </w:r>
          </w:p>
        </w:tc>
        <w:tc>
          <w:tcPr>
            <w:tcW w:w="3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tcPr>
          <w:p>
            <w:pPr>
              <w:spacing w:after="0"/>
              <w:rPr>
                <w:sz w:val="20"/>
                <w:szCs w:val="20"/>
                <w:color w:val="auto"/>
              </w:rPr>
            </w:pPr>
            <w:r>
              <w:rPr>
                <w:rFonts w:ascii="Arial" w:cs="Arial" w:eastAsia="Arial" w:hAnsi="Arial"/>
                <w:sz w:val="18"/>
                <w:szCs w:val="18"/>
                <w:color w:val="auto"/>
              </w:rPr>
              <w:t>May 5, 2015</w:t>
            </w:r>
          </w:p>
        </w:tc>
        <w:tc>
          <w:tcPr>
            <w:tcW w:w="2460" w:type="dxa"/>
            <w:vAlign w:val="bottom"/>
          </w:tcPr>
          <w:p>
            <w:pPr>
              <w:jc w:val="center"/>
              <w:ind w:right="330"/>
              <w:spacing w:after="0"/>
              <w:rPr>
                <w:sz w:val="20"/>
                <w:szCs w:val="20"/>
                <w:color w:val="auto"/>
              </w:rPr>
            </w:pPr>
            <w:r>
              <w:rPr>
                <w:rFonts w:ascii="Arial" w:cs="Arial" w:eastAsia="Arial" w:hAnsi="Arial"/>
                <w:sz w:val="18"/>
                <w:szCs w:val="18"/>
                <w:color w:val="auto"/>
                <w:w w:val="93"/>
              </w:rPr>
              <w:t>April 27, 2015</w:t>
            </w:r>
          </w:p>
        </w:tc>
        <w:tc>
          <w:tcPr>
            <w:tcW w:w="38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636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January 13, 2015</w:t>
            </w:r>
          </w:p>
        </w:tc>
        <w:tc>
          <w:tcPr>
            <w:tcW w:w="2460" w:type="dxa"/>
            <w:vAlign w:val="bottom"/>
            <w:shd w:val="clear" w:color="auto" w:fill="CCEEFF"/>
          </w:tcPr>
          <w:p>
            <w:pPr>
              <w:jc w:val="center"/>
              <w:ind w:right="330"/>
              <w:spacing w:after="0"/>
              <w:rPr>
                <w:sz w:val="20"/>
                <w:szCs w:val="20"/>
                <w:color w:val="auto"/>
              </w:rPr>
            </w:pPr>
            <w:r>
              <w:rPr>
                <w:rFonts w:ascii="Arial" w:cs="Arial" w:eastAsia="Arial" w:hAnsi="Arial"/>
                <w:sz w:val="18"/>
                <w:szCs w:val="18"/>
                <w:color w:val="auto"/>
                <w:w w:val="89"/>
              </w:rPr>
              <w:t>January 5, 2015</w:t>
            </w:r>
          </w:p>
        </w:tc>
        <w:tc>
          <w:tcPr>
            <w:tcW w:w="3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2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432"/>
        </w:trPr>
        <w:tc>
          <w:tcPr>
            <w:tcW w:w="6360" w:type="dxa"/>
            <w:vAlign w:val="bottom"/>
            <w:gridSpan w:val="4"/>
          </w:tcPr>
          <w:p>
            <w:pPr>
              <w:spacing w:after="0"/>
              <w:rPr>
                <w:sz w:val="20"/>
                <w:szCs w:val="20"/>
                <w:color w:val="auto"/>
              </w:rPr>
            </w:pPr>
            <w:r>
              <w:rPr>
                <w:rFonts w:ascii="Arial" w:cs="Arial" w:eastAsia="Arial" w:hAnsi="Arial"/>
                <w:sz w:val="18"/>
                <w:szCs w:val="18"/>
                <w:color w:val="auto"/>
                <w:w w:val="93"/>
              </w:rPr>
              <w:t>The Bank has no preferred shares issued and outstanding as of December 31, 2017.</w:t>
            </w:r>
          </w:p>
        </w:tc>
        <w:tc>
          <w:tcPr>
            <w:tcW w:w="2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1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2"/>
        </w:trPr>
        <w:tc>
          <w:tcPr>
            <w:tcW w:w="420" w:type="dxa"/>
            <w:vAlign w:val="bottom"/>
          </w:tcPr>
          <w:p>
            <w:pPr>
              <w:spacing w:after="0"/>
              <w:rPr>
                <w:sz w:val="20"/>
                <w:szCs w:val="20"/>
                <w:color w:val="auto"/>
              </w:rPr>
            </w:pPr>
            <w:r>
              <w:rPr>
                <w:rFonts w:ascii="Arial" w:cs="Arial" w:eastAsia="Arial" w:hAnsi="Arial"/>
                <w:sz w:val="18"/>
                <w:szCs w:val="18"/>
                <w:b w:val="1"/>
                <w:bCs w:val="1"/>
                <w:color w:val="auto"/>
              </w:rPr>
              <w:t>B.</w:t>
            </w:r>
          </w:p>
        </w:tc>
        <w:tc>
          <w:tcPr>
            <w:tcW w:w="5940" w:type="dxa"/>
            <w:vAlign w:val="bottom"/>
            <w:gridSpan w:val="3"/>
          </w:tcPr>
          <w:p>
            <w:pPr>
              <w:ind w:left="240"/>
              <w:spacing w:after="0"/>
              <w:rPr>
                <w:sz w:val="20"/>
                <w:szCs w:val="20"/>
                <w:color w:val="auto"/>
              </w:rPr>
            </w:pPr>
            <w:r>
              <w:rPr>
                <w:rFonts w:ascii="Arial" w:cs="Arial" w:eastAsia="Arial" w:hAnsi="Arial"/>
                <w:sz w:val="18"/>
                <w:szCs w:val="18"/>
                <w:b w:val="1"/>
                <w:bCs w:val="1"/>
                <w:color w:val="auto"/>
              </w:rPr>
              <w:t>Significant Changes</w:t>
            </w:r>
          </w:p>
        </w:tc>
        <w:tc>
          <w:tcPr>
            <w:tcW w:w="2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120" w:type="dxa"/>
            <w:vAlign w:val="bottom"/>
          </w:tcPr>
          <w:p>
            <w:pPr>
              <w:spacing w:after="0"/>
              <w:rPr>
                <w:sz w:val="24"/>
                <w:szCs w:val="24"/>
                <w:color w:val="auto"/>
              </w:rPr>
            </w:pPr>
          </w:p>
        </w:tc>
        <w:tc>
          <w:tcPr>
            <w:tcW w:w="100" w:type="dxa"/>
            <w:vAlign w:val="bottom"/>
          </w:tcPr>
          <w:p>
            <w:pPr>
              <w:spacing w:after="0"/>
              <w:rPr>
                <w:sz w:val="24"/>
                <w:szCs w:val="24"/>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 28.</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9.</w:t>
      </w:r>
      <w:r>
        <w:rPr>
          <w:sz w:val="20"/>
          <w:szCs w:val="20"/>
          <w:color w:val="auto"/>
        </w:rPr>
        <w:tab/>
      </w:r>
      <w:r>
        <w:rPr>
          <w:rFonts w:ascii="Arial" w:cs="Arial" w:eastAsia="Arial" w:hAnsi="Arial"/>
          <w:sz w:val="16"/>
          <w:szCs w:val="16"/>
          <w:b w:val="1"/>
          <w:bCs w:val="1"/>
          <w:color w:val="auto"/>
        </w:rPr>
        <w:t>The Offer and Listing</w:t>
      </w:r>
    </w:p>
    <w:p>
      <w:pPr>
        <w:spacing w:after="0" w:line="225" w:lineRule="exact"/>
        <w:rPr>
          <w:sz w:val="20"/>
          <w:szCs w:val="20"/>
          <w:color w:val="auto"/>
        </w:rPr>
      </w:pPr>
    </w:p>
    <w:p>
      <w:pPr>
        <w:ind w:left="660" w:hanging="652"/>
        <w:spacing w:after="0"/>
        <w:tabs>
          <w:tab w:leader="none" w:pos="660" w:val="left"/>
        </w:tabs>
        <w:numPr>
          <w:ilvl w:val="0"/>
          <w:numId w:val="73"/>
        </w:numPr>
        <w:rPr>
          <w:rFonts w:ascii="Arial" w:cs="Arial" w:eastAsia="Arial" w:hAnsi="Arial"/>
          <w:sz w:val="18"/>
          <w:szCs w:val="18"/>
          <w:b w:val="1"/>
          <w:bCs w:val="1"/>
          <w:color w:val="auto"/>
        </w:rPr>
      </w:pPr>
      <w:r>
        <w:rPr>
          <w:rFonts w:ascii="Arial" w:cs="Arial" w:eastAsia="Arial" w:hAnsi="Arial"/>
          <w:sz w:val="18"/>
          <w:szCs w:val="18"/>
          <w:b w:val="1"/>
          <w:bCs w:val="1"/>
          <w:color w:val="auto"/>
        </w:rPr>
        <w:t>Offer and Listing Details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Bank’s Class E shares are listed on the NYSE under the symbol BLX. The following table shows the high and low market prices of the Class E shares on the NYSE for the periods indicated:</w:t>
      </w:r>
    </w:p>
    <w:p>
      <w:pPr>
        <w:spacing w:after="0" w:line="96" w:lineRule="exact"/>
        <w:rPr>
          <w:sz w:val="20"/>
          <w:szCs w:val="20"/>
          <w:color w:val="auto"/>
        </w:rPr>
      </w:pPr>
    </w:p>
    <w:p>
      <w:pPr>
        <w:ind w:left="8480"/>
        <w:spacing w:after="0"/>
        <w:rPr>
          <w:sz w:val="20"/>
          <w:szCs w:val="20"/>
          <w:color w:val="auto"/>
        </w:rPr>
      </w:pPr>
      <w:r>
        <w:rPr>
          <w:rFonts w:ascii="Arial" w:cs="Arial" w:eastAsia="Arial" w:hAnsi="Arial"/>
          <w:sz w:val="18"/>
          <w:szCs w:val="18"/>
          <w:b w:val="1"/>
          <w:bCs w:val="1"/>
          <w:color w:val="auto"/>
        </w:rPr>
        <w:t xml:space="preserve">Price per Class E Share (in $) </w:t>
      </w:r>
      <w:r>
        <w:rPr>
          <w:rFonts w:ascii="Arial" w:cs="Arial" w:eastAsia="Arial" w:hAnsi="Arial"/>
          <w:sz w:val="30"/>
          <w:szCs w:val="30"/>
          <w:b w:val="1"/>
          <w:bCs w:val="1"/>
          <w:color w:val="auto"/>
          <w:vertAlign w:val="superscript"/>
        </w:rPr>
        <w:t>(1)</w:t>
      </w:r>
    </w:p>
    <w:tbl>
      <w:tblPr>
        <w:tblLayout w:type="fixed"/>
        <w:tblInd w:w="0" w:type="dxa"/>
        <w:tblCellMar>
          <w:top w:w="0" w:type="dxa"/>
          <w:left w:w="0" w:type="dxa"/>
          <w:bottom w:w="0" w:type="dxa"/>
          <w:right w:w="0" w:type="dxa"/>
        </w:tblCellMar>
      </w:tblPr>
      <w:tr>
        <w:trPr>
          <w:trHeight w:val="223"/>
        </w:trPr>
        <w:tc>
          <w:tcPr>
            <w:tcW w:w="8120" w:type="dxa"/>
            <w:vAlign w:val="bottom"/>
            <w:tcBorders>
              <w:bottom w:val="single" w:sz="8" w:color="CCEEFF"/>
            </w:tcBorders>
          </w:tcPr>
          <w:p>
            <w:pPr>
              <w:spacing w:after="0"/>
              <w:rPr>
                <w:sz w:val="19"/>
                <w:szCs w:val="19"/>
                <w:color w:val="auto"/>
              </w:rPr>
            </w:pPr>
          </w:p>
        </w:tc>
        <w:tc>
          <w:tcPr>
            <w:tcW w:w="1020" w:type="dxa"/>
            <w:vAlign w:val="bottom"/>
            <w:tcBorders>
              <w:top w:val="single" w:sz="8" w:color="auto"/>
              <w:bottom w:val="single" w:sz="8" w:color="auto"/>
            </w:tcBorders>
          </w:tcPr>
          <w:p>
            <w:pPr>
              <w:ind w:left="560"/>
              <w:spacing w:after="0"/>
              <w:rPr>
                <w:sz w:val="20"/>
                <w:szCs w:val="20"/>
                <w:color w:val="auto"/>
              </w:rPr>
            </w:pPr>
            <w:r>
              <w:rPr>
                <w:rFonts w:ascii="Arial" w:cs="Arial" w:eastAsia="Arial" w:hAnsi="Arial"/>
                <w:sz w:val="18"/>
                <w:szCs w:val="18"/>
                <w:b w:val="1"/>
                <w:bCs w:val="1"/>
                <w:color w:val="auto"/>
              </w:rPr>
              <w:t>High</w:t>
            </w:r>
          </w:p>
        </w:tc>
        <w:tc>
          <w:tcPr>
            <w:tcW w:w="48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Low</w:t>
            </w:r>
          </w:p>
        </w:tc>
        <w:tc>
          <w:tcPr>
            <w:tcW w:w="100" w:type="dxa"/>
            <w:vAlign w:val="bottom"/>
            <w:tcBorders>
              <w:bottom w:val="single" w:sz="8" w:color="CCEEFF"/>
            </w:tcBorders>
          </w:tcPr>
          <w:p>
            <w:pPr>
              <w:spacing w:after="0"/>
              <w:rPr>
                <w:sz w:val="19"/>
                <w:szCs w:val="19"/>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2017</w:t>
            </w:r>
          </w:p>
        </w:tc>
        <w:tc>
          <w:tcPr>
            <w:tcW w:w="1020" w:type="dxa"/>
            <w:vAlign w:val="bottom"/>
            <w:shd w:val="clear" w:color="auto" w:fill="CCEEFF"/>
          </w:tcPr>
          <w:p>
            <w:pPr>
              <w:spacing w:after="0"/>
              <w:rPr>
                <w:sz w:val="18"/>
                <w:szCs w:val="18"/>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30.45</w:t>
            </w: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25.51</w:t>
            </w:r>
          </w:p>
        </w:tc>
        <w:tc>
          <w:tcPr>
            <w:tcW w:w="100" w:type="dxa"/>
            <w:vAlign w:val="bottom"/>
            <w:shd w:val="clear" w:color="auto" w:fill="CCEEFF"/>
          </w:tcPr>
          <w:p>
            <w:pPr>
              <w:spacing w:after="0"/>
              <w:rPr>
                <w:sz w:val="18"/>
                <w:szCs w:val="18"/>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2016</w:t>
            </w:r>
          </w:p>
        </w:tc>
        <w:tc>
          <w:tcPr>
            <w:tcW w:w="1020" w:type="dxa"/>
            <w:vAlign w:val="bottom"/>
          </w:tcPr>
          <w:p>
            <w:pPr>
              <w:spacing w:after="0"/>
              <w:rPr>
                <w:sz w:val="18"/>
                <w:szCs w:val="18"/>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30.50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19.63</w:t>
            </w: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2015</w:t>
            </w:r>
          </w:p>
        </w:tc>
        <w:tc>
          <w:tcPr>
            <w:tcW w:w="102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34.49</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22.16</w:t>
            </w: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2014</w:t>
            </w:r>
          </w:p>
        </w:tc>
        <w:tc>
          <w:tcPr>
            <w:tcW w:w="1020" w:type="dxa"/>
            <w:vAlign w:val="bottom"/>
          </w:tcPr>
          <w:p>
            <w:pPr>
              <w:spacing w:after="0"/>
              <w:rPr>
                <w:sz w:val="18"/>
                <w:szCs w:val="18"/>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34.90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24.29</w:t>
            </w: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2013</w:t>
            </w:r>
          </w:p>
        </w:tc>
        <w:tc>
          <w:tcPr>
            <w:tcW w:w="102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28.82</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21.70</w:t>
            </w: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2018:</w:t>
            </w:r>
          </w:p>
        </w:tc>
        <w:tc>
          <w:tcPr>
            <w:tcW w:w="10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1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March</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29.22</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27.55</w:t>
            </w:r>
          </w:p>
        </w:tc>
      </w:tr>
      <w:tr>
        <w:trPr>
          <w:trHeight w:val="216"/>
        </w:trPr>
        <w:tc>
          <w:tcPr>
            <w:tcW w:w="9140" w:type="dxa"/>
            <w:vAlign w:val="bottom"/>
            <w:gridSpan w:val="2"/>
          </w:tcPr>
          <w:p>
            <w:pPr>
              <w:ind w:left="180"/>
              <w:spacing w:after="0"/>
              <w:rPr>
                <w:sz w:val="20"/>
                <w:szCs w:val="20"/>
                <w:color w:val="auto"/>
              </w:rPr>
            </w:pPr>
            <w:r>
              <w:rPr>
                <w:rFonts w:ascii="Arial" w:cs="Arial" w:eastAsia="Arial" w:hAnsi="Arial"/>
                <w:sz w:val="18"/>
                <w:szCs w:val="18"/>
                <w:color w:val="auto"/>
              </w:rPr>
              <w:t>February</w:t>
            </w: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29.71</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26.80</w:t>
            </w:r>
          </w:p>
        </w:tc>
      </w:tr>
      <w:tr>
        <w:trPr>
          <w:trHeight w:val="216"/>
        </w:trPr>
        <w:tc>
          <w:tcPr>
            <w:tcW w:w="91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January</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30.43</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26.85</w:t>
            </w: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2017:</w:t>
            </w:r>
          </w:p>
        </w:tc>
        <w:tc>
          <w:tcPr>
            <w:tcW w:w="10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1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December</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30.45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26.87</w:t>
            </w:r>
          </w:p>
        </w:tc>
      </w:tr>
      <w:tr>
        <w:trPr>
          <w:trHeight w:val="216"/>
        </w:trPr>
        <w:tc>
          <w:tcPr>
            <w:tcW w:w="9140" w:type="dxa"/>
            <w:vAlign w:val="bottom"/>
            <w:gridSpan w:val="2"/>
          </w:tcPr>
          <w:p>
            <w:pPr>
              <w:ind w:left="180"/>
              <w:spacing w:after="0"/>
              <w:rPr>
                <w:sz w:val="20"/>
                <w:szCs w:val="20"/>
                <w:color w:val="auto"/>
              </w:rPr>
            </w:pPr>
            <w:r>
              <w:rPr>
                <w:rFonts w:ascii="Arial" w:cs="Arial" w:eastAsia="Arial" w:hAnsi="Arial"/>
                <w:sz w:val="18"/>
                <w:szCs w:val="18"/>
                <w:color w:val="auto"/>
              </w:rPr>
              <w:t>November</w:t>
            </w: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29.68</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27.86</w:t>
            </w:r>
          </w:p>
        </w:tc>
      </w:tr>
      <w:tr>
        <w:trPr>
          <w:trHeight w:val="216"/>
        </w:trPr>
        <w:tc>
          <w:tcPr>
            <w:tcW w:w="91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October</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30.19</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27.94</w:t>
            </w:r>
          </w:p>
        </w:tc>
      </w:tr>
      <w:tr>
        <w:trPr>
          <w:trHeight w:val="648"/>
        </w:trPr>
        <w:tc>
          <w:tcPr>
            <w:tcW w:w="8120" w:type="dxa"/>
            <w:vAlign w:val="bottom"/>
            <w:tcBorders>
              <w:bottom w:val="single" w:sz="8" w:color="auto"/>
            </w:tcBorders>
          </w:tcPr>
          <w:p>
            <w:pPr>
              <w:ind w:left="5640"/>
              <w:spacing w:after="0"/>
              <w:rPr>
                <w:sz w:val="20"/>
                <w:szCs w:val="20"/>
                <w:color w:val="auto"/>
              </w:rPr>
            </w:pPr>
            <w:r>
              <w:rPr>
                <w:rFonts w:ascii="Arial" w:cs="Arial" w:eastAsia="Arial" w:hAnsi="Arial"/>
                <w:sz w:val="18"/>
                <w:szCs w:val="18"/>
                <w:color w:val="auto"/>
              </w:rPr>
              <w:t>96</w:t>
            </w:r>
          </w:p>
        </w:tc>
        <w:tc>
          <w:tcPr>
            <w:tcW w:w="10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8" w:right="239" w:bottom="1440" w:gutter="0" w:footer="0" w:header="0"/>
        </w:sectPr>
      </w:pPr>
    </w:p>
    <w:bookmarkStart w:id="99" w:name="page100"/>
    <w:bookmarkEnd w:id="99"/>
    <w:p>
      <w:pPr>
        <w:ind w:left="8480"/>
        <w:spacing w:after="0"/>
        <w:rPr>
          <w:sz w:val="20"/>
          <w:szCs w:val="20"/>
          <w:color w:val="auto"/>
        </w:rPr>
      </w:pPr>
      <w:r>
        <w:rPr>
          <w:rFonts w:ascii="Arial" w:cs="Arial" w:eastAsia="Arial" w:hAnsi="Arial"/>
          <w:sz w:val="18"/>
          <w:szCs w:val="18"/>
          <w:b w:val="1"/>
          <w:bCs w:val="1"/>
          <w:color w:val="auto"/>
        </w:rPr>
        <w:t xml:space="preserve">Price per Class E Share (in $) </w:t>
      </w:r>
      <w:r>
        <w:rPr>
          <w:rFonts w:ascii="Arial" w:cs="Arial" w:eastAsia="Arial" w:hAnsi="Arial"/>
          <w:sz w:val="30"/>
          <w:szCs w:val="30"/>
          <w:b w:val="1"/>
          <w:bCs w:val="1"/>
          <w:color w:val="auto"/>
          <w:vertAlign w:val="superscript"/>
        </w:rPr>
        <w:t>(1)</w:t>
      </w:r>
    </w:p>
    <w:tbl>
      <w:tblPr>
        <w:tblLayout w:type="fixed"/>
        <w:tblInd w:w="0" w:type="dxa"/>
        <w:tblCellMar>
          <w:top w:w="0" w:type="dxa"/>
          <w:left w:w="0" w:type="dxa"/>
          <w:bottom w:w="0" w:type="dxa"/>
          <w:right w:w="0" w:type="dxa"/>
        </w:tblCellMar>
      </w:tblPr>
      <w:tr>
        <w:trPr>
          <w:trHeight w:val="223"/>
        </w:trPr>
        <w:tc>
          <w:tcPr>
            <w:tcW w:w="8120" w:type="dxa"/>
            <w:vAlign w:val="bottom"/>
            <w:tcBorders>
              <w:bottom w:val="single" w:sz="8" w:color="CCEEFF"/>
            </w:tcBorders>
          </w:tcPr>
          <w:p>
            <w:pPr>
              <w:spacing w:after="0"/>
              <w:rPr>
                <w:sz w:val="19"/>
                <w:szCs w:val="19"/>
                <w:color w:val="auto"/>
              </w:rPr>
            </w:pPr>
          </w:p>
        </w:tc>
        <w:tc>
          <w:tcPr>
            <w:tcW w:w="1020" w:type="dxa"/>
            <w:vAlign w:val="bottom"/>
            <w:tcBorders>
              <w:top w:val="single" w:sz="8" w:color="auto"/>
              <w:bottom w:val="single" w:sz="8" w:color="auto"/>
            </w:tcBorders>
          </w:tcPr>
          <w:p>
            <w:pPr>
              <w:ind w:left="560"/>
              <w:spacing w:after="0"/>
              <w:rPr>
                <w:sz w:val="20"/>
                <w:szCs w:val="20"/>
                <w:color w:val="auto"/>
              </w:rPr>
            </w:pPr>
            <w:r>
              <w:rPr>
                <w:rFonts w:ascii="Arial" w:cs="Arial" w:eastAsia="Arial" w:hAnsi="Arial"/>
                <w:sz w:val="18"/>
                <w:szCs w:val="18"/>
                <w:b w:val="1"/>
                <w:bCs w:val="1"/>
                <w:color w:val="auto"/>
              </w:rPr>
              <w:t>High</w:t>
            </w:r>
          </w:p>
        </w:tc>
        <w:tc>
          <w:tcPr>
            <w:tcW w:w="48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Low</w:t>
            </w:r>
          </w:p>
        </w:tc>
        <w:tc>
          <w:tcPr>
            <w:tcW w:w="100" w:type="dxa"/>
            <w:vAlign w:val="bottom"/>
            <w:tcBorders>
              <w:bottom w:val="single" w:sz="8" w:color="CCEEFF"/>
            </w:tcBorders>
          </w:tcPr>
          <w:p>
            <w:pPr>
              <w:spacing w:after="0"/>
              <w:rPr>
                <w:sz w:val="19"/>
                <w:szCs w:val="19"/>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2018:</w:t>
            </w:r>
          </w:p>
        </w:tc>
        <w:tc>
          <w:tcPr>
            <w:tcW w:w="10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9140" w:type="dxa"/>
            <w:vAlign w:val="bottom"/>
            <w:gridSpan w:val="2"/>
          </w:tcPr>
          <w:p>
            <w:pPr>
              <w:ind w:left="180"/>
              <w:spacing w:after="0"/>
              <w:rPr>
                <w:sz w:val="20"/>
                <w:szCs w:val="20"/>
                <w:color w:val="auto"/>
              </w:rPr>
            </w:pPr>
            <w:r>
              <w:rPr>
                <w:rFonts w:ascii="Arial" w:cs="Arial" w:eastAsia="Arial" w:hAnsi="Arial"/>
                <w:sz w:val="18"/>
                <w:szCs w:val="18"/>
                <w:color w:val="auto"/>
              </w:rPr>
              <w:t>First Quarter</w:t>
            </w: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30.43</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26.80</w:t>
            </w: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2017:</w:t>
            </w:r>
          </w:p>
        </w:tc>
        <w:tc>
          <w:tcPr>
            <w:tcW w:w="102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9140" w:type="dxa"/>
            <w:vAlign w:val="bottom"/>
            <w:gridSpan w:val="2"/>
          </w:tcPr>
          <w:p>
            <w:pPr>
              <w:ind w:left="180"/>
              <w:spacing w:after="0"/>
              <w:rPr>
                <w:sz w:val="20"/>
                <w:szCs w:val="20"/>
                <w:color w:val="auto"/>
              </w:rPr>
            </w:pPr>
            <w:r>
              <w:rPr>
                <w:rFonts w:ascii="Arial" w:cs="Arial" w:eastAsia="Arial" w:hAnsi="Arial"/>
                <w:sz w:val="18"/>
                <w:szCs w:val="18"/>
                <w:color w:val="auto"/>
              </w:rPr>
              <w:t>First Quarter</w:t>
            </w: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30.42</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26.25</w:t>
            </w:r>
          </w:p>
        </w:tc>
      </w:tr>
      <w:tr>
        <w:trPr>
          <w:trHeight w:val="216"/>
        </w:trPr>
        <w:tc>
          <w:tcPr>
            <w:tcW w:w="91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Second Quarter</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29.11</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26.60</w:t>
            </w:r>
          </w:p>
        </w:tc>
      </w:tr>
      <w:tr>
        <w:trPr>
          <w:trHeight w:val="216"/>
        </w:trPr>
        <w:tc>
          <w:tcPr>
            <w:tcW w:w="9140" w:type="dxa"/>
            <w:vAlign w:val="bottom"/>
            <w:gridSpan w:val="2"/>
          </w:tcPr>
          <w:p>
            <w:pPr>
              <w:ind w:left="180"/>
              <w:spacing w:after="0"/>
              <w:rPr>
                <w:sz w:val="20"/>
                <w:szCs w:val="20"/>
                <w:color w:val="auto"/>
              </w:rPr>
            </w:pPr>
            <w:r>
              <w:rPr>
                <w:rFonts w:ascii="Arial" w:cs="Arial" w:eastAsia="Arial" w:hAnsi="Arial"/>
                <w:sz w:val="18"/>
                <w:szCs w:val="18"/>
                <w:color w:val="auto"/>
              </w:rPr>
              <w:t>Third Quarter</w:t>
            </w: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29.72</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25.51</w:t>
            </w:r>
          </w:p>
        </w:tc>
      </w:tr>
      <w:tr>
        <w:trPr>
          <w:trHeight w:val="216"/>
        </w:trPr>
        <w:tc>
          <w:tcPr>
            <w:tcW w:w="91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Fourth Quarter</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30.45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26.87</w:t>
            </w:r>
          </w:p>
        </w:tc>
      </w:tr>
      <w:tr>
        <w:trPr>
          <w:trHeight w:val="216"/>
        </w:trPr>
        <w:tc>
          <w:tcPr>
            <w:tcW w:w="8120" w:type="dxa"/>
            <w:vAlign w:val="bottom"/>
          </w:tcPr>
          <w:p>
            <w:pPr>
              <w:spacing w:after="0"/>
              <w:rPr>
                <w:sz w:val="20"/>
                <w:szCs w:val="20"/>
                <w:color w:val="auto"/>
              </w:rPr>
            </w:pPr>
            <w:r>
              <w:rPr>
                <w:rFonts w:ascii="Arial" w:cs="Arial" w:eastAsia="Arial" w:hAnsi="Arial"/>
                <w:sz w:val="18"/>
                <w:szCs w:val="18"/>
                <w:b w:val="1"/>
                <w:bCs w:val="1"/>
                <w:color w:val="auto"/>
              </w:rPr>
              <w:t>2016:</w:t>
            </w:r>
          </w:p>
        </w:tc>
        <w:tc>
          <w:tcPr>
            <w:tcW w:w="10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1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First Quarter</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25.60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19.63</w:t>
            </w:r>
          </w:p>
        </w:tc>
      </w:tr>
      <w:tr>
        <w:trPr>
          <w:trHeight w:val="216"/>
        </w:trPr>
        <w:tc>
          <w:tcPr>
            <w:tcW w:w="9140" w:type="dxa"/>
            <w:vAlign w:val="bottom"/>
            <w:gridSpan w:val="2"/>
          </w:tcPr>
          <w:p>
            <w:pPr>
              <w:ind w:left="180"/>
              <w:spacing w:after="0"/>
              <w:rPr>
                <w:sz w:val="20"/>
                <w:szCs w:val="20"/>
                <w:color w:val="auto"/>
              </w:rPr>
            </w:pPr>
            <w:r>
              <w:rPr>
                <w:rFonts w:ascii="Arial" w:cs="Arial" w:eastAsia="Arial" w:hAnsi="Arial"/>
                <w:sz w:val="18"/>
                <w:szCs w:val="18"/>
                <w:color w:val="auto"/>
              </w:rPr>
              <w:t>Second Quarter</w:t>
            </w: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27.76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21.95</w:t>
            </w:r>
          </w:p>
        </w:tc>
      </w:tr>
      <w:tr>
        <w:trPr>
          <w:trHeight w:val="216"/>
        </w:trPr>
        <w:tc>
          <w:tcPr>
            <w:tcW w:w="91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Third Quarter</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29.35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25.85</w:t>
            </w:r>
          </w:p>
        </w:tc>
      </w:tr>
      <w:tr>
        <w:trPr>
          <w:trHeight w:val="217"/>
        </w:trPr>
        <w:tc>
          <w:tcPr>
            <w:tcW w:w="9140" w:type="dxa"/>
            <w:vAlign w:val="bottom"/>
            <w:gridSpan w:val="2"/>
          </w:tcPr>
          <w:p>
            <w:pPr>
              <w:ind w:left="180"/>
              <w:spacing w:after="0"/>
              <w:rPr>
                <w:sz w:val="20"/>
                <w:szCs w:val="20"/>
                <w:color w:val="auto"/>
              </w:rPr>
            </w:pPr>
            <w:r>
              <w:rPr>
                <w:rFonts w:ascii="Arial" w:cs="Arial" w:eastAsia="Arial" w:hAnsi="Arial"/>
                <w:sz w:val="18"/>
                <w:szCs w:val="18"/>
                <w:color w:val="auto"/>
              </w:rPr>
              <w:t>Fourth Quarter</w:t>
            </w: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30.50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25.36</w:t>
            </w:r>
          </w:p>
        </w:tc>
      </w:tr>
    </w:tbl>
    <w:p>
      <w:pPr>
        <w:ind w:left="340" w:hanging="332"/>
        <w:spacing w:after="0" w:line="186" w:lineRule="auto"/>
        <w:tabs>
          <w:tab w:leader="none" w:pos="340" w:val="left"/>
        </w:tabs>
        <w:numPr>
          <w:ilvl w:val="0"/>
          <w:numId w:val="74"/>
        </w:numPr>
        <w:rPr>
          <w:rFonts w:ascii="Arial" w:cs="Arial" w:eastAsia="Arial" w:hAnsi="Arial"/>
          <w:sz w:val="24"/>
          <w:szCs w:val="24"/>
          <w:color w:val="auto"/>
          <w:vertAlign w:val="superscript"/>
        </w:rPr>
      </w:pPr>
      <w:r>
        <w:rPr>
          <w:rFonts w:ascii="Arial" w:cs="Arial" w:eastAsia="Arial" w:hAnsi="Arial"/>
          <w:sz w:val="15"/>
          <w:szCs w:val="15"/>
          <w:color w:val="auto"/>
        </w:rPr>
        <w:t>Corresponds to the highest and lowest sales price of the stock at any time during any given trading day. Source: NYSE Connect.</w:t>
      </w:r>
    </w:p>
    <w:p>
      <w:pPr>
        <w:spacing w:after="0" w:line="199" w:lineRule="exact"/>
        <w:rPr>
          <w:sz w:val="20"/>
          <w:szCs w:val="20"/>
          <w:color w:val="auto"/>
        </w:rPr>
      </w:pPr>
    </w:p>
    <w:p>
      <w:pPr>
        <w:ind w:left="660" w:hanging="652"/>
        <w:spacing w:after="0"/>
        <w:tabs>
          <w:tab w:leader="none" w:pos="66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Plan of Distribution</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Not required in this Annual Report.</w:t>
      </w:r>
    </w:p>
    <w:p>
      <w:pPr>
        <w:spacing w:after="0" w:line="221" w:lineRule="exact"/>
        <w:rPr>
          <w:rFonts w:ascii="Arial" w:cs="Arial" w:eastAsia="Arial" w:hAnsi="Arial"/>
          <w:sz w:val="18"/>
          <w:szCs w:val="18"/>
          <w:b w:val="1"/>
          <w:bCs w:val="1"/>
          <w:color w:val="auto"/>
        </w:rPr>
      </w:pPr>
    </w:p>
    <w:p>
      <w:pPr>
        <w:ind w:left="660" w:hanging="652"/>
        <w:spacing w:after="0"/>
        <w:tabs>
          <w:tab w:leader="none" w:pos="66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Markets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Class A shares and Class B shares were sold in private placements or sold in connection with the Bank’s 2003 rights offering, are not listed on any exchange and are not publicly traded. The Bank’s Class E shares, which constitute the only class of shares publicly traded (listed on the NYSE), represent 77.8% of the total shares of the Bank’s common stock issued and outstanding as of December 31, 2017. The Bank’s Class B shares are convertible into Class E shares on a one-to-one basis. There are no issued or outstanding Class F shares.</w:t>
      </w:r>
    </w:p>
    <w:p>
      <w:pPr>
        <w:spacing w:after="0" w:line="183" w:lineRule="exact"/>
        <w:rPr>
          <w:sz w:val="20"/>
          <w:szCs w:val="20"/>
          <w:color w:val="auto"/>
        </w:rPr>
      </w:pPr>
    </w:p>
    <w:p>
      <w:pPr>
        <w:ind w:left="660" w:hanging="652"/>
        <w:spacing w:after="0"/>
        <w:tabs>
          <w:tab w:leader="none" w:pos="660" w:val="left"/>
        </w:tabs>
        <w:numPr>
          <w:ilvl w:val="0"/>
          <w:numId w:val="76"/>
        </w:numPr>
        <w:rPr>
          <w:rFonts w:ascii="Arial" w:cs="Arial" w:eastAsia="Arial" w:hAnsi="Arial"/>
          <w:sz w:val="18"/>
          <w:szCs w:val="18"/>
          <w:b w:val="1"/>
          <w:bCs w:val="1"/>
          <w:color w:val="auto"/>
        </w:rPr>
      </w:pPr>
      <w:r>
        <w:rPr>
          <w:rFonts w:ascii="Arial" w:cs="Arial" w:eastAsia="Arial" w:hAnsi="Arial"/>
          <w:sz w:val="18"/>
          <w:szCs w:val="18"/>
          <w:b w:val="1"/>
          <w:bCs w:val="1"/>
          <w:color w:val="auto"/>
        </w:rPr>
        <w:t>Selling Shareholders</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Not required in this Annual Report.</w:t>
      </w:r>
    </w:p>
    <w:p>
      <w:pPr>
        <w:spacing w:after="0" w:line="221" w:lineRule="exact"/>
        <w:rPr>
          <w:rFonts w:ascii="Arial" w:cs="Arial" w:eastAsia="Arial" w:hAnsi="Arial"/>
          <w:sz w:val="18"/>
          <w:szCs w:val="18"/>
          <w:b w:val="1"/>
          <w:bCs w:val="1"/>
          <w:color w:val="auto"/>
        </w:rPr>
      </w:pPr>
    </w:p>
    <w:p>
      <w:pPr>
        <w:ind w:left="660" w:hanging="652"/>
        <w:spacing w:after="0"/>
        <w:tabs>
          <w:tab w:leader="none" w:pos="660" w:val="left"/>
        </w:tabs>
        <w:numPr>
          <w:ilvl w:val="0"/>
          <w:numId w:val="76"/>
        </w:numPr>
        <w:rPr>
          <w:rFonts w:ascii="Arial" w:cs="Arial" w:eastAsia="Arial" w:hAnsi="Arial"/>
          <w:sz w:val="18"/>
          <w:szCs w:val="18"/>
          <w:b w:val="1"/>
          <w:bCs w:val="1"/>
          <w:color w:val="auto"/>
        </w:rPr>
      </w:pPr>
      <w:r>
        <w:rPr>
          <w:rFonts w:ascii="Arial" w:cs="Arial" w:eastAsia="Arial" w:hAnsi="Arial"/>
          <w:sz w:val="18"/>
          <w:szCs w:val="18"/>
          <w:b w:val="1"/>
          <w:bCs w:val="1"/>
          <w:color w:val="auto"/>
        </w:rPr>
        <w:t>Dilution</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Not required in this Annual Report.</w:t>
      </w:r>
    </w:p>
    <w:p>
      <w:pPr>
        <w:spacing w:after="0" w:line="221" w:lineRule="exact"/>
        <w:rPr>
          <w:rFonts w:ascii="Arial" w:cs="Arial" w:eastAsia="Arial" w:hAnsi="Arial"/>
          <w:sz w:val="18"/>
          <w:szCs w:val="18"/>
          <w:b w:val="1"/>
          <w:bCs w:val="1"/>
          <w:color w:val="auto"/>
        </w:rPr>
      </w:pPr>
    </w:p>
    <w:p>
      <w:pPr>
        <w:ind w:left="660" w:hanging="652"/>
        <w:spacing w:after="0"/>
        <w:tabs>
          <w:tab w:leader="none" w:pos="660" w:val="left"/>
        </w:tabs>
        <w:numPr>
          <w:ilvl w:val="0"/>
          <w:numId w:val="76"/>
        </w:numPr>
        <w:rPr>
          <w:rFonts w:ascii="Arial" w:cs="Arial" w:eastAsia="Arial" w:hAnsi="Arial"/>
          <w:sz w:val="18"/>
          <w:szCs w:val="18"/>
          <w:b w:val="1"/>
          <w:bCs w:val="1"/>
          <w:color w:val="auto"/>
        </w:rPr>
      </w:pPr>
      <w:r>
        <w:rPr>
          <w:rFonts w:ascii="Arial" w:cs="Arial" w:eastAsia="Arial" w:hAnsi="Arial"/>
          <w:sz w:val="18"/>
          <w:szCs w:val="18"/>
          <w:b w:val="1"/>
          <w:bCs w:val="1"/>
          <w:color w:val="auto"/>
        </w:rPr>
        <w:t>Expenses of the Issue</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10.</w:t>
      </w:r>
      <w:r>
        <w:rPr>
          <w:sz w:val="20"/>
          <w:szCs w:val="20"/>
          <w:color w:val="auto"/>
        </w:rPr>
        <w:tab/>
      </w:r>
      <w:r>
        <w:rPr>
          <w:rFonts w:ascii="Arial" w:cs="Arial" w:eastAsia="Arial" w:hAnsi="Arial"/>
          <w:sz w:val="16"/>
          <w:szCs w:val="16"/>
          <w:b w:val="1"/>
          <w:bCs w:val="1"/>
          <w:color w:val="auto"/>
        </w:rPr>
        <w:t>Additional Information</w:t>
      </w:r>
    </w:p>
    <w:p>
      <w:pPr>
        <w:spacing w:after="0" w:line="225" w:lineRule="exact"/>
        <w:rPr>
          <w:sz w:val="20"/>
          <w:szCs w:val="20"/>
          <w:color w:val="auto"/>
        </w:rPr>
      </w:pPr>
    </w:p>
    <w:p>
      <w:pPr>
        <w:ind w:left="660" w:hanging="652"/>
        <w:spacing w:after="0"/>
        <w:tabs>
          <w:tab w:leader="none" w:pos="66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Share Capital</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Not required in this Annual Report.</w:t>
      </w:r>
    </w:p>
    <w:p>
      <w:pPr>
        <w:spacing w:after="0" w:line="221" w:lineRule="exact"/>
        <w:rPr>
          <w:rFonts w:ascii="Arial" w:cs="Arial" w:eastAsia="Arial" w:hAnsi="Arial"/>
          <w:sz w:val="18"/>
          <w:szCs w:val="18"/>
          <w:b w:val="1"/>
          <w:bCs w:val="1"/>
          <w:color w:val="auto"/>
        </w:rPr>
      </w:pPr>
    </w:p>
    <w:p>
      <w:pPr>
        <w:ind w:left="660" w:hanging="652"/>
        <w:spacing w:after="0"/>
        <w:tabs>
          <w:tab w:leader="none" w:pos="66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Memorandum and Articles of Association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Articles of Incorporation</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Bladex is a bank organized under the laws of the Republic of Panama, and its Articles of Incorporation are recorded in the Public Registry Office of Panama, Republic of Panama, Section of Mercantile Persons, at microjacket 021666, roll 1050 and frame 0002.</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34" w:right="239" w:bottom="1440" w:gutter="0" w:footer="0" w:header="0"/>
        </w:sectPr>
      </w:pPr>
    </w:p>
    <w:bookmarkStart w:id="100" w:name="page101"/>
    <w:bookmarkEnd w:id="100"/>
    <w:p>
      <w:pPr>
        <w:jc w:val="both"/>
        <w:spacing w:after="0" w:line="255" w:lineRule="auto"/>
        <w:rPr>
          <w:sz w:val="20"/>
          <w:szCs w:val="20"/>
          <w:color w:val="auto"/>
        </w:rPr>
      </w:pPr>
      <w:r>
        <w:rPr>
          <w:rFonts w:ascii="Arial" w:cs="Arial" w:eastAsia="Arial" w:hAnsi="Arial"/>
          <w:sz w:val="18"/>
          <w:szCs w:val="18"/>
          <w:color w:val="auto"/>
        </w:rPr>
        <w:t>Article 2 of the Bank’s Articles of Incorporation states that the purpose of the Bank is to promote the economic development and foreign trade of Latin American countries. To achieve this purpose, the Bank may engage in any banking or financial business, investment or other activity intended to promote the foreign trade and economic development of countries in Latin America. The Articles of Incorporation provide that Bladex may engage in activities beyond those described above provided that it has obtained stockholder approval in a resolution adopted upon the affirmative majority vote of the common shares, either present or represented, in a meeting of stockholders called to obtain such authorization, including the affirmative vote of the holders of three-quarters (3/4) of the Class A shares issued and outstanding.</w:t>
      </w:r>
    </w:p>
    <w:p>
      <w:pPr>
        <w:spacing w:after="0" w:line="19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Articles of Incorporation provide that the Board shall direct and control the business and management of the assets of the Bank, except for those matters specifically reserved to stockholders by law or the Articles of Incorporation. The Board, however, may grant general and special powers of attorney authorizing directors, officers and employees of the Bank or other persons to transact such business and affairs within the competence of the Board, as the Board may deem convenient to entrust to such persons.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Articles of Incorporation do not contain provisions limiting the ability of the Board to approve a proposal, arrangement or contract in which a Director is materially interested, or limiting the ability of the Board to fix the compensation of its members. In addition, the Articles of Incorporation do not contain provisions requiring the mandatory retirement of a Director at any prescribed age, or requiring a person to own a certain number of shares to qualify as a Director.</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Board consists of ten members: three Directors elected by the holders of the Class A common shares; five Directors elected by the holders of the Class E common shares; and two Directors elected by the holders of all common shares. For so long as the number of Class F common shares issued and outstanding is equal to or greater than fifteen percent (15%) of the total number of common shares issued and outstanding, the holders of the Class F common shares will have the right to elect one director and the Board will consist of eleven members. As of December 31, 2017, no Class F shares or preferred shares were issued and outstanding.</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Directors are elected by stockholders for periods of three (3) years and they may be re-elected. The holders of the Class A, Class E and Class F shares vote separately as a class in the election of Directors representing their respective class. In the election of Directors, each stockholder of each class electing a Director has a number of votes equal to the number of shares of such class held by such stockholder multiplied by the number of Directors to be elected by such class. The stockholder may cast all votes in favor of one candidate or distribute them among two or more of the Directors to be elected, as the shareholder may decide.</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23" w:lineRule="exact"/>
        <w:rPr>
          <w:sz w:val="20"/>
          <w:szCs w:val="20"/>
          <w:color w:val="auto"/>
        </w:rPr>
      </w:pPr>
    </w:p>
    <w:p>
      <w:pPr>
        <w:jc w:val="both"/>
        <w:ind w:left="980" w:hanging="324"/>
        <w:spacing w:after="0" w:line="265" w:lineRule="auto"/>
        <w:tabs>
          <w:tab w:leader="none" w:pos="980" w:val="left"/>
        </w:tabs>
        <w:numPr>
          <w:ilvl w:val="0"/>
          <w:numId w:val="78"/>
        </w:numPr>
        <w:rPr>
          <w:rFonts w:ascii="Arial" w:cs="Arial" w:eastAsia="Arial" w:hAnsi="Arial"/>
          <w:sz w:val="17"/>
          <w:szCs w:val="17"/>
          <w:color w:val="auto"/>
        </w:rPr>
      </w:pPr>
      <w:r>
        <w:rPr>
          <w:rFonts w:ascii="Arial" w:cs="Arial" w:eastAsia="Arial" w:hAnsi="Arial"/>
          <w:sz w:val="17"/>
          <w:szCs w:val="17"/>
          <w:color w:val="auto"/>
        </w:rPr>
        <w:t>the affirmative vote of three-quarters (3/4) of the issued and outstanding Class A shares is required (A) to dissolve and liquidate the Bank, (B) to amend certain material provisions of the Articles of Incorporation, (C) to merge or consolidate the Bank with another entity and (D) to authorize the Bank to engage in activities other than those described as the purposes of the Bank in its Articles of Incorporation;</w:t>
      </w:r>
    </w:p>
    <w:p>
      <w:pPr>
        <w:ind w:left="980" w:hanging="324"/>
        <w:spacing w:after="0" w:line="250" w:lineRule="auto"/>
        <w:tabs>
          <w:tab w:leader="none" w:pos="980" w:val="left"/>
        </w:tabs>
        <w:numPr>
          <w:ilvl w:val="0"/>
          <w:numId w:val="78"/>
        </w:numPr>
        <w:rPr>
          <w:rFonts w:ascii="Arial" w:cs="Arial" w:eastAsia="Arial" w:hAnsi="Arial"/>
          <w:sz w:val="18"/>
          <w:szCs w:val="18"/>
          <w:color w:val="auto"/>
        </w:rPr>
      </w:pPr>
      <w:r>
        <w:rPr>
          <w:rFonts w:ascii="Arial" w:cs="Arial" w:eastAsia="Arial" w:hAnsi="Arial"/>
          <w:sz w:val="18"/>
          <w:szCs w:val="18"/>
          <w:color w:val="auto"/>
        </w:rPr>
        <w:t>the Class E shares are freely transferable, but the Class A shares, Class B shares and Class F shares may only be transferred to qualified holders;</w:t>
      </w:r>
    </w:p>
    <w:p>
      <w:pPr>
        <w:ind w:left="980" w:hanging="324"/>
        <w:spacing w:after="0"/>
        <w:tabs>
          <w:tab w:leader="none" w:pos="980" w:val="left"/>
        </w:tabs>
        <w:numPr>
          <w:ilvl w:val="0"/>
          <w:numId w:val="78"/>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6"/>
          <w:szCs w:val="16"/>
          <w:color w:val="auto"/>
        </w:rPr>
        <w:t>·</w:t>
      </w:r>
      <w:r>
        <w:rPr>
          <w:sz w:val="20"/>
          <w:szCs w:val="20"/>
          <w:color w:val="auto"/>
        </w:rPr>
        <w:tab/>
      </w:r>
      <w:r>
        <w:rPr>
          <w:rFonts w:ascii="Arial" w:cs="Arial" w:eastAsia="Arial" w:hAnsi="Arial"/>
          <w:sz w:val="16"/>
          <w:szCs w:val="16"/>
          <w:color w:val="auto"/>
        </w:rPr>
        <w:t>the holders of Class A shares, Class B shares and Class F shares benefit from pre-emptive rights, but the holders of Class E shares do not;</w:t>
      </w:r>
    </w:p>
    <w:p>
      <w:pPr>
        <w:spacing w:after="0" w:line="32" w:lineRule="exact"/>
        <w:rPr>
          <w:sz w:val="20"/>
          <w:szCs w:val="20"/>
          <w:color w:val="auto"/>
        </w:rPr>
      </w:pPr>
    </w:p>
    <w:p>
      <w:pPr>
        <w:ind w:left="980" w:hanging="324"/>
        <w:spacing w:after="0"/>
        <w:tabs>
          <w:tab w:leader="none" w:pos="980" w:val="left"/>
        </w:tabs>
        <w:numPr>
          <w:ilvl w:val="0"/>
          <w:numId w:val="79"/>
        </w:numPr>
        <w:rPr>
          <w:rFonts w:ascii="Arial" w:cs="Arial" w:eastAsia="Arial" w:hAnsi="Arial"/>
          <w:sz w:val="18"/>
          <w:szCs w:val="18"/>
          <w:color w:val="auto"/>
        </w:rPr>
      </w:pPr>
      <w:r>
        <w:rPr>
          <w:rFonts w:ascii="Arial" w:cs="Arial" w:eastAsia="Arial" w:hAnsi="Arial"/>
          <w:sz w:val="18"/>
          <w:szCs w:val="18"/>
          <w:color w:val="auto"/>
        </w:rPr>
        <w:t>the classes vote separately for their representative directors; and</w:t>
      </w:r>
    </w:p>
    <w:p>
      <w:pPr>
        <w:spacing w:after="0" w:line="9" w:lineRule="exact"/>
        <w:rPr>
          <w:rFonts w:ascii="Arial" w:cs="Arial" w:eastAsia="Arial" w:hAnsi="Arial"/>
          <w:sz w:val="18"/>
          <w:szCs w:val="18"/>
          <w:color w:val="auto"/>
        </w:rPr>
      </w:pPr>
    </w:p>
    <w:p>
      <w:pPr>
        <w:ind w:left="980" w:right="20" w:hanging="324"/>
        <w:spacing w:after="0" w:line="261" w:lineRule="auto"/>
        <w:tabs>
          <w:tab w:leader="none" w:pos="980" w:val="left"/>
        </w:tabs>
        <w:numPr>
          <w:ilvl w:val="0"/>
          <w:numId w:val="79"/>
        </w:numPr>
        <w:rPr>
          <w:rFonts w:ascii="Arial" w:cs="Arial" w:eastAsia="Arial" w:hAnsi="Arial"/>
          <w:sz w:val="18"/>
          <w:szCs w:val="18"/>
          <w:color w:val="auto"/>
        </w:rPr>
      </w:pPr>
      <w:r>
        <w:rPr>
          <w:rFonts w:ascii="Arial" w:cs="Arial" w:eastAsia="Arial" w:hAnsi="Arial"/>
          <w:sz w:val="18"/>
          <w:szCs w:val="18"/>
          <w:color w:val="auto"/>
        </w:rPr>
        <w:t>the rights, preferences, privileges and obligations of the preferred shares are determined by the Board at the time of their issuance in a certificate of designation.</w:t>
      </w:r>
    </w:p>
    <w:p>
      <w:pPr>
        <w:spacing w:after="0" w:line="184"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Under the Bank’s Articles of Incorporation, preferred shares have no voting rights, except in accordance with their certificate of designation mentioned above. Holders of preferred shares will have the right to elect one Director only upon a default in the terms of such preferred shares and only if contemplated in the certificate of designation. In the event the holders of the preferred shares are entitled to elect a Director, the total number of Directors in the Board will be increased by one. The rights of the holders of the common shares may be changed by an amendment to the Articles of Incorporation of the Bank.</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1" w:name="page102"/>
    <w:bookmarkEnd w:id="101"/>
    <w:p>
      <w:pPr>
        <w:jc w:val="both"/>
        <w:spacing w:after="0" w:line="273" w:lineRule="auto"/>
        <w:rPr>
          <w:sz w:val="20"/>
          <w:szCs w:val="20"/>
          <w:color w:val="auto"/>
        </w:rPr>
      </w:pPr>
      <w:r>
        <w:rPr>
          <w:rFonts w:ascii="Arial" w:cs="Arial" w:eastAsia="Arial" w:hAnsi="Arial"/>
          <w:sz w:val="17"/>
          <w:szCs w:val="17"/>
          <w:color w:val="auto"/>
        </w:rPr>
        <w:t>Amendments to the Articles of Incorporation may be adopted by the affirmative majority vote of the common shares represented at the respective meeting, except for the following amendments which require, in addition, the affirmative vote of three-quarters (3/4) of all issued and outstanding Class A shares: (i) any amendment to the Bank’s purposes or powers, (ii) any amendment to the capital structure of the Bank and the qualifications to become a holder of any particular class of shares, (iii) any amendment to the provisions relating to the notice, quorum and voting at stockholders’ meetings, (iv) any amendment to the composition and election of the Board, as well as notices, quorum and voting at meetings of Directors, (v) any amendments to the powers of the Chief Executive Officer of the Bank and (vi) any amendments to the fundamental financial policies of the Bank.</w:t>
      </w:r>
    </w:p>
    <w:p>
      <w:pPr>
        <w:spacing w:after="0" w:line="17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Articles of Incorporation of Bladex provide that there will be a general meeting of holders of the common shares every year, on such date and in such place as may be determined by resolution of the Board, to elect Directors and transact any other business duly submitted to the meeting by the Board. In addition, extraordinary meetings of holders of the common shares may be called by the Board, as it deems necessary. The Board or the Chairman of the Board must call an extraordinary meeting of holders of the common shares when requested in writing by one or more holders of common shares representing at least one-twentieth (1/20) of the issued and outstanding capital.</w:t>
      </w:r>
    </w:p>
    <w:p>
      <w:pPr>
        <w:spacing w:after="0" w:line="188"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Notice of meetings of stockholders, whether ordinary or extraordinary, are personally delivered to each registered shareholder or sent by fax, telex, courier, air mail or any other means authorized by the Board of the Directors, at least 30 days before the date of the meeting, counted from the date that the notice is sent. The notice of the meeting must include the agenda of the meeting. At any meeting of stockholders, stockholders with a right to vote may be represented by a proxy, who need not be a shareholder and who may be appointed by public or private document, with or without power of substitution.</w:t>
      </w:r>
    </w:p>
    <w:p>
      <w:pPr>
        <w:spacing w:after="0" w:line="154"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Upon request to the Board or the Chairman of the Board, stockholders representing at least one-twentieth (1/20) of the issued and outstanding shares of any given class may hold a meeting separately as a class for the purpose of considering any matter which, in accordance with the provisions of the Articles of Incorporation and the By-laws, is within their competence. In order to have a quorum at any meeting of stockholders, a majority of the common shares issued and outstanding must be represented at the meeting. Whenever a quorum is not obtained at a meeting of stockholders, the meeting shall be held on the second date set forth in the notice of the meeting. All resolutions of stockholders shall be adopted by the affirmative majority vote of the common shares represented at the meeting where the resolution was adopted, except where a super-majority vote of the Class A shareholders is required, as described above.</w:t>
      </w:r>
    </w:p>
    <w:p>
      <w:pPr>
        <w:spacing w:after="0" w:line="165"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Class A shares may be issued only as registered shares in the name of the following entities in Latin American countries: (i) central banks, (ii) banks in which the State is the majority shareholder or (iii) other government agencies. Class B shares may be issued only in the name of banks or financial institutions. Class E shares and preferred shares may be issued in the name of any person, whether a natural person or a legal entity. Class F shares may be issued only (i) in the name of state entities or agencies of countries that are not Latin American countries, including central banks and banks in which the State is the majority shareholder or (ii) in the name of multilateral financial institutions, whether international or regional.</w:t>
      </w:r>
    </w:p>
    <w:p>
      <w:pPr>
        <w:spacing w:after="0" w:line="173"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Neither Bladex’s Articles of Incorporation nor its By-laws contain any provision requiring disclosure with respect to a shareholder’s ownership above a certain threshold.</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Amended and Restated Articles of Incorporation were filed as an exhibit to the Form 20-F for the fiscal year ended December 31, 2008 filed with the SEC on June 26, 2009 and the Bylaws were filed as an exhibit to the Form 20-F for the fiscal year ended December 31, 2009 filed with the SEC on June 11, 2010. See Item 19, “Exhibits” for hyperlinks to these documents.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36" w:right="239" w:bottom="1440" w:gutter="0" w:footer="0" w:header="0"/>
        </w:sectPr>
      </w:pPr>
    </w:p>
    <w:bookmarkStart w:id="102" w:name="page103"/>
    <w:bookmarkEnd w:id="102"/>
    <w:p>
      <w:pPr>
        <w:ind w:left="660" w:hanging="652"/>
        <w:spacing w:after="0"/>
        <w:tabs>
          <w:tab w:leader="none" w:pos="660" w:val="left"/>
        </w:tabs>
        <w:numPr>
          <w:ilvl w:val="0"/>
          <w:numId w:val="80"/>
        </w:numPr>
        <w:rPr>
          <w:rFonts w:ascii="Arial" w:cs="Arial" w:eastAsia="Arial" w:hAnsi="Arial"/>
          <w:sz w:val="18"/>
          <w:szCs w:val="18"/>
          <w:b w:val="1"/>
          <w:bCs w:val="1"/>
          <w:color w:val="auto"/>
        </w:rPr>
      </w:pPr>
      <w:r>
        <w:rPr>
          <w:rFonts w:ascii="Arial" w:cs="Arial" w:eastAsia="Arial" w:hAnsi="Arial"/>
          <w:sz w:val="18"/>
          <w:szCs w:val="18"/>
          <w:b w:val="1"/>
          <w:bCs w:val="1"/>
          <w:color w:val="auto"/>
        </w:rPr>
        <w:t>Material Contracts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 has not entered into any material contract outside the ordinary course of business during the two-year period immediately preceding the date of this Annual Report.</w:t>
      </w:r>
    </w:p>
    <w:p>
      <w:pPr>
        <w:spacing w:after="0" w:line="166" w:lineRule="exact"/>
        <w:rPr>
          <w:sz w:val="20"/>
          <w:szCs w:val="20"/>
          <w:color w:val="auto"/>
        </w:rPr>
      </w:pPr>
    </w:p>
    <w:p>
      <w:pPr>
        <w:ind w:left="660" w:hanging="652"/>
        <w:spacing w:after="0"/>
        <w:tabs>
          <w:tab w:leader="none" w:pos="660" w:val="left"/>
        </w:tabs>
        <w:numPr>
          <w:ilvl w:val="0"/>
          <w:numId w:val="81"/>
        </w:numPr>
        <w:rPr>
          <w:rFonts w:ascii="Arial" w:cs="Arial" w:eastAsia="Arial" w:hAnsi="Arial"/>
          <w:sz w:val="18"/>
          <w:szCs w:val="18"/>
          <w:b w:val="1"/>
          <w:bCs w:val="1"/>
          <w:color w:val="auto"/>
        </w:rPr>
      </w:pPr>
      <w:r>
        <w:rPr>
          <w:rFonts w:ascii="Arial" w:cs="Arial" w:eastAsia="Arial" w:hAnsi="Arial"/>
          <w:sz w:val="18"/>
          <w:szCs w:val="18"/>
          <w:b w:val="1"/>
          <w:bCs w:val="1"/>
          <w:color w:val="auto"/>
        </w:rPr>
        <w:t>Exchange Controls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Currently, there are no restrictions or limitations under Panamanian law on the export or import of capital, including foreign exchange controls, the payment of dividends or interest, or the rights of foreign stockholders to hold or vote stock.</w:t>
      </w:r>
    </w:p>
    <w:p>
      <w:pPr>
        <w:spacing w:after="0" w:line="166" w:lineRule="exact"/>
        <w:rPr>
          <w:sz w:val="20"/>
          <w:szCs w:val="20"/>
          <w:color w:val="auto"/>
        </w:rPr>
      </w:pPr>
    </w:p>
    <w:p>
      <w:pPr>
        <w:ind w:left="660" w:hanging="652"/>
        <w:spacing w:after="0"/>
        <w:tabs>
          <w:tab w:leader="none" w:pos="660" w:val="left"/>
        </w:tabs>
        <w:numPr>
          <w:ilvl w:val="0"/>
          <w:numId w:val="82"/>
        </w:numPr>
        <w:rPr>
          <w:rFonts w:ascii="Arial" w:cs="Arial" w:eastAsia="Arial" w:hAnsi="Arial"/>
          <w:sz w:val="18"/>
          <w:szCs w:val="18"/>
          <w:b w:val="1"/>
          <w:bCs w:val="1"/>
          <w:color w:val="auto"/>
        </w:rPr>
      </w:pPr>
      <w:r>
        <w:rPr>
          <w:rFonts w:ascii="Arial" w:cs="Arial" w:eastAsia="Arial" w:hAnsi="Arial"/>
          <w:sz w:val="18"/>
          <w:szCs w:val="18"/>
          <w:b w:val="1"/>
          <w:bCs w:val="1"/>
          <w:color w:val="auto"/>
        </w:rPr>
        <w:t>Taxation</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following is a summary of certain U.S. federal and Panamanian tax matters that may be relevant with respect to the acquisition, ownership and disposition of the Bank’s Class E shares. Prospective purchasers of Class E shares should consult their own tax advisors as to United States, Panamanian or other tax consequences of the acquisition, ownership and disposition of Class E shares. The Bank may be subject to the tax regime of other countries or jurisdictions due to its operations.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This summary does not address the consequences of the acquisition, ownership or disposition of the Bank’s Class A or Class B shares.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United States Taxes</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This summary describes the material U.S. federal income tax consequences of the ownership and disposition of the Class E shares, but does not purport to be a comprehensive description of all of the tax considerations that may be relevant to holders of Class E shares. This summary applies only to current holders that hold Class E shares as capital assets for U.S. federal income tax purposes and does not address classes of holders that are subject to special treatment under the United States Internal Revenue Code of 1986, as amended (the “Code”) such as dealers in securities or currencies, financial institutions, tax-exempt entities, regulated investment companies, insurance companies, securities traders that elect mark-to-market tax accounting, persons subject to the alternative minimum tax, certain U.S. expatriates, persons holding Class E shares as part of a hedging, constructive ownership or conversion transaction or a straddle, holders whose functional currency is not the U.S. dollar, or a holder that owns 10% or more (directly, indirectly or constructively) of the shares of the Bank, by vote or value.</w:t>
      </w:r>
    </w:p>
    <w:p>
      <w:pPr>
        <w:spacing w:after="0" w:line="19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This summary is based upon the Code, existing, temporary and proposed regulations promulgated thereunder, judicial decisions and administrative pronouncements, all as in effect on the date of this Annual Report and which are subject to change (possibly on a retroactive basis) and to differing interpretations. Purchasers or holders of Class E shares should consult their own tax advisors as to the U.S. federal, state and local, and foreign tax consequences of the ownership and disposition of Class E shares in their particular circumstances.</w:t>
      </w:r>
    </w:p>
    <w:p>
      <w:pPr>
        <w:spacing w:after="0" w:line="187"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As used herein, a “U.S. Holder” refers to a beneficial holder of Class E shares that is, for U.S. federal income tax purposes, (1) an individual citizen or resident of the United States, (2) a corporation, or an entity treated as a corporation, organized or created in or under the laws of the United States or any political subdivision thereof, (3) an estate the income of which is subject to U.S. federal income taxation without regard to the source of its income, (4) a trust, if both (A) a court within the United States is able to exercise primary supervision over the administration of the trust and (B) one or more U.S. persons (as defined in the Code) have the authority to control all substantial decisions of the trust, or a trust that has made a valid election under U.S. Treasury Regulations to be treated as a domestic trust, and (5) any holder otherwise subject to U.S. federal income taxation on a net income basis with respect to Class E shares (including a non-resident alien individual or foreign corporation that holds, or is deemed to hold, any Class E share in connection with the conduct of a U.S. trade or business). If a partnership (including for this purpose any entity treated as a partnership for U.S. federal income tax purposes) is a beneficial owner of Class E shares, the U.S. federal income tax consequences to a partner in the partnership will generally depend on the status of the partner and the activities of the partnership. A holder of Class E shares that is a partnership and the partners in such partnership should consult their own tax advisors regarding the U.S. federal income tax consequences of the ownership and disposition of Class E shares.</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03" w:name="page104"/>
    <w:bookmarkEnd w:id="103"/>
    <w:p>
      <w:pPr>
        <w:spacing w:after="0"/>
        <w:rPr>
          <w:sz w:val="20"/>
          <w:szCs w:val="20"/>
          <w:color w:val="auto"/>
        </w:rPr>
      </w:pPr>
      <w:r>
        <w:rPr>
          <w:rFonts w:ascii="Arial" w:cs="Arial" w:eastAsia="Arial" w:hAnsi="Arial"/>
          <w:sz w:val="18"/>
          <w:szCs w:val="18"/>
          <w:i w:val="1"/>
          <w:iCs w:val="1"/>
          <w:color w:val="auto"/>
        </w:rPr>
        <w:t>Taxation of Distributions</w:t>
      </w:r>
    </w:p>
    <w:p>
      <w:pPr>
        <w:spacing w:after="0" w:line="225"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Subject to the “Passive Foreign Investment Company Status” discussion below, to the extent paid out of current or accumulated earnings and profits of the Bank as determined under U.S. federal income tax principles (“earnings and profits”), distributions made with respect to Class E shares (other than certain pro rata distributions of capital stock of the Bank or rights to subscribe for shares of capital stock of the Bank) will be includable in income of a U.S. Holder as ordinary dividend income in accordance with the U.S. Holder’s regular method of accounting for U.S. federal income tax purposes whether paid in cash or Class E shares. To the extent that a distribution exceeds the Bank’s earnings and profits, such distribution will be treated, first, as a nontaxable return of capital to the extent of the U.S. Holder’s tax basis in the Class E shares and will reduce the U.S. Holder’s tax basis in such shares, and thereafter as a capital gain from the sale or disposition of Class E shares. See Item 10, “Additional Information/Taxation/United States Taxes–Taxation of Capital Gains.” The amount of the distribution will equal the gross amount of the distribution received by the U.S. Holder, including any Panamanian taxes withheld from such distribution.</w:t>
      </w:r>
    </w:p>
    <w:p>
      <w:pPr>
        <w:spacing w:after="0" w:line="197"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Distributions made with respect to Class E shares out of earnings and profits generally will be treated as dividend income from sources outside the United States. U.S. Holders that are corporations will not be entitled to the “dividends received deduction” under Section 243 of the Code with respect to such dividends. Dividends may be eligible for special rates applicable to “qualified dividend income” received by an individual, provided, that (1) the Bank is not a “passive foreign investment company” (“PFIC”) in the year in which the dividend is paid nor in the immediately preceding year, (2) the class of stock with respect to which the dividend is paid is readily tradable on an established securities market in the United States, and (3) the U.S. Holder held his shares for more than 60 days during the 121-day period beginning 60 days prior to the ex-dividend date and meets other holding period requirements. Subject to certain conditions and limitations, Panamanian tax withheld from dividends will be treated as a foreign income tax eligible for deduction from taxable income or as a credit against a U.S. Holder’s U.S. federal income tax liability. Distributions of dividend income made with respect to Class E shares generally will be treated as “passive” income or, in the case of certain U.S. Holders, “general category income,” for purposes of computing a U.S. Holder’s U.S. foreign tax credit.</w:t>
      </w:r>
    </w:p>
    <w:p>
      <w:pPr>
        <w:spacing w:after="0" w:line="167"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Less than 25% of the Bank’s gross income is effectively connected with the conduct of a trade or business in the United States, and the Bank expects this to remain true. If this remains the case, a holder of Class E shares that is not a U.S. Holder (“non-U.S. Holder”) generally will not be subject to U.S. federal income tax or withholding tax on distributions received on Class E shares that are treated as dividend income for U.S. federal income tax purposes. Special rules may apply in the case of non-U.S. Holders (1) that are engaged in a U.S. trade or business, (2) that are former citizens or long-term residents of the United States, “controlled foreign corporations,” corporations that accumulate earnings to avoid U.S. federal income tax, and certain foreign charitable organizations, each within the meaning of the Code, or (3) certain non-resident alien individuals who are present in the United States for 183 days or more during a taxable year. Such persons should consult their own tax advisors as to the U.S. federal income or other tax consequences of the ownership and disposition of Class E shares.</w:t>
      </w:r>
    </w:p>
    <w:p>
      <w:pPr>
        <w:spacing w:after="0" w:line="200" w:lineRule="exact"/>
        <w:rPr>
          <w:sz w:val="20"/>
          <w:szCs w:val="20"/>
          <w:color w:val="auto"/>
        </w:rPr>
      </w:pPr>
    </w:p>
    <w:p>
      <w:pPr>
        <w:spacing w:after="0" w:line="20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4" w:name="page105"/>
    <w:bookmarkEnd w:id="104"/>
    <w:p>
      <w:pPr>
        <w:spacing w:after="0"/>
        <w:rPr>
          <w:sz w:val="20"/>
          <w:szCs w:val="20"/>
          <w:color w:val="auto"/>
        </w:rPr>
      </w:pPr>
      <w:r>
        <w:rPr>
          <w:rFonts w:ascii="Arial" w:cs="Arial" w:eastAsia="Arial" w:hAnsi="Arial"/>
          <w:sz w:val="18"/>
          <w:szCs w:val="18"/>
          <w:i w:val="1"/>
          <w:iCs w:val="1"/>
          <w:color w:val="auto"/>
        </w:rPr>
        <w:t>Taxation of Capital Gains</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Subject to the “Passive Foreign Investment Company Status” discussion below, gain or loss realized by a U.S. Holder on the sale or other disposition of Class E shares generally will be subject to U.S. federal income tax as capital gain or loss in an amount equal to the difference between the U.S. Holder’s tax basis in the Class E shares and the amount realized on the disposition. Such gain will be treated as long-term capital gain if the Class E shares are held by the U.S. Holder for more than one year at the time of the sale or other disposition. Otherwise, the gain will be treated as a short-term capital gain. Gain realized by a U.S. Holder on the sale or other disposition of Class E shares generally will be treated as U.S. source income for U.S. foreign tax credit purposes, unless the gain is attributable to an office or fixed place of business maintained by the U.S. Holder outside the United States or is recognized by an individual whose tax home is outside the United States, and certain other conditions are met. For U.S. federal income tax purposes, capital losses are subject to limitations on deductibility. As a general rule, U.S. Holders that are corporations can use capital losses for a taxable year only to offset capital gains in that year. A corporation may be entitled to carry back unused capital losses to the three preceding tax years and to carry over losses to the five following tax years. In the case of non-corporate U.S. Holders, capital losses in a taxable year are deductible to the extent of any capital gains plus ordinary income of up to $3,000. Unused capital losses of non-corporate U.S. Holders may be carried over indefinitely.</w:t>
      </w:r>
    </w:p>
    <w:p>
      <w:pPr>
        <w:spacing w:after="0" w:line="183"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 non-U.S. Holder of Class E shares will generally not be subject to U.S. federal income tax or withholding tax on gain realized on the sale or other disposition of Class E shares. However, special rules may apply in the case of non-U.S. Holders (1) that are engaged in a U.S. trade or business, (2) that are former citizens or long-term residents of the United States, “controlled foreign corporations,” corporations which accumulate earnings to avoid U.S. federal income tax, and certain foreign charitable organizations, each within the meaning of the Code, or (3) certain non-resident alien individuals who are present in the United States for 183 days or more during a taxable year. Such persons should consult their own tax advisors as to the United States or other tax consequences of the purchase, ownership and disposition of the Class E shares.</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Passive Foreign Investment Company Status</w:t>
      </w:r>
    </w:p>
    <w:p>
      <w:pPr>
        <w:spacing w:after="0" w:line="225"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Under the Code, certain rules apply to an entity classified as a PFIC. A PFIC is defined as any foreign (i.e., non-U.S.) corporation if either (1) 75% or more of its gross income for the taxable year is passive income (generally including, among other types of income, dividends, interest and gains from the sale of stock and securities) or (2) 50% or more of its assets (by value) produce, or are held for the production of, passive income. The application of the PFIC rules to banks is not entirely clear under present U.S. federal income tax law. Banks generally derive a substantial part of their income from assets that are interest bearing or that otherwise could be considered passive under the PFIC rules. The Internal Revenue Service (“IRS”) issued a notice in 1989 (the “Notice”), and has proposed regulations (the “Proposed Regulations”), that exclude from passive income any income derived in the active conduct of a banking business by a qualifying foreign bank, or the “active bank exception”. The Notice and the Proposed Regulations have different requirements for qualifying as an active foreign bank, and for determining the banking income that may be excluded from passive income under the active bank exception. Moreover, the Proposed Regulations have been outstanding since 1994 and will not be effective unless finalized.</w:t>
      </w:r>
    </w:p>
    <w:p>
      <w:pPr>
        <w:spacing w:after="0" w:line="182"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While the Bank conducts, and intends to continue to conduct, a significant banking business, there can be no assurance that the Bank will satisfy the specific requirements for the active bank exception under either the Notice or the Proposed Regulations. Based on estimates of our current and projected gross income and gross assets, we do not believe that we will be classified as a PFIC for our current or future taxable years. The determination of whether we are a PFIC, however, is made annually and is based upon the composition of our income and assets (including income and assets of entities in which we hold at least a 25% interest), and the nature of our activities.</w:t>
      </w:r>
    </w:p>
    <w:p>
      <w:pPr>
        <w:spacing w:after="0" w:line="18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Because final regulations have not been issued and because the notice and the proposed regulations are inconsistent, our status under the PFIC rules is subject to uncertainty. While we conduct, and intend to continue to conduct, a significant banking business, there can be no assurance that we will satisfy the specific requirements for the active bank exception under either the IRS notice or the proposed regulations. Accordingly, U.S. Holders could be subject to U.S. federal income tax under the rules described below.</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5" w:name="page106"/>
    <w:bookmarkEnd w:id="105"/>
    <w:p>
      <w:pPr>
        <w:jc w:val="both"/>
        <w:spacing w:after="0" w:line="289" w:lineRule="auto"/>
        <w:rPr>
          <w:sz w:val="20"/>
          <w:szCs w:val="20"/>
          <w:color w:val="auto"/>
        </w:rPr>
      </w:pPr>
      <w:r>
        <w:rPr>
          <w:rFonts w:ascii="Arial" w:cs="Arial" w:eastAsia="Arial" w:hAnsi="Arial"/>
          <w:sz w:val="16"/>
          <w:szCs w:val="16"/>
          <w:color w:val="auto"/>
        </w:rPr>
        <w:t>If the Bank were to become a PFIC for purposes of the Code, unless a U.S. Holder makes one of the elections described below, a U.S. Holder generally will be subject to a special tax charge with respect to (a) any gain realized on the sale or other disposition of Class E shares and (b) any “excess distribution” by the Bank to the U.S. Holder (generally, any distributions including return of capital distributions, received by the U.S. Holder on the Class E shares in a taxable year that are greater than 125% of the average annual distributions received by the U.S. Holder in the three preceding taxable years, or, if shorter, the U.S. Holder’s holding period). Under these rules (1) the gain or excess distribution would be allocated ratably over the U.S. Holder’s holding period for the Class E shares, (2) the amount allocated to the current taxable year would be treated as ordinary income, (3) the amount allocated to each prior taxable year generally would be subject to tax at the highest rate in effect for that year, and (4) an interest charge at the rate generally applicable to underpayments of tax would be imposed with respect to the resulting tax attributable to each such prior taxable year. For purposes of the foregoing rules, a U.S. Holder of Class E shares that uses such stock as security for a loan will be treated as having disposed of such stock.</w:t>
      </w:r>
    </w:p>
    <w:p>
      <w:pPr>
        <w:spacing w:after="0" w:line="167"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If the Bank were to become a PFIC, U.S. Holders of interests in a holder of Class E shares may be treated as indirect holders of their proportionate share of the Class E shares and may be taxed on their proportionate share of any excess distributions or gain attributable to the Class E shares. An indirect holder also must treat an appropriate portion of its gain on the sale or disposition of its interest in the actual holder as gain on the sale of Class E shares.</w:t>
      </w:r>
    </w:p>
    <w:p>
      <w:pPr>
        <w:spacing w:after="0" w:line="14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If the Bank were to become a PFIC, a U.S. Holder could make an election, provided the Bank complies with certain reporting requirements, to have the Bank treated, with respect to such U.S. Holder, as a “qualified electing fund”, hereinafter referred to as a QEF election, in which case, the electing U.S. Holder would be required to include annually in gross income the U.S. Holder’s proportionate share of the Bank’s ordinary earnings and net capital gains, whether or not such amounts are actually distributed. If the Bank were to become a PFIC, the Bank intends to so notify each U.S. Holder and to comply with all reporting requirements necessary for a U.S. Holder to make a QEF election and will provide to record U.S. Holders of Class E shares such information as may be required to make such QEF election.</w:t>
      </w:r>
    </w:p>
    <w:p>
      <w:pPr>
        <w:spacing w:after="0" w:line="193"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If the Bank were to become a PFIC in any year, a U.S. Holder that beneficially owns Class E shares during such year must make an annual return on IRS Form 8621, which describes the income received (or deemed to be received if a QEF election is in effect) from the Bank. The Bank will, if applicable, provide all information necessary for a U.S. Holder of record to make an annual return on IRS Form 8621.</w:t>
      </w:r>
    </w:p>
    <w:p>
      <w:pPr>
        <w:spacing w:after="0" w:line="181"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A U.S. Holder that owns certain “marketable stock” in a PFIC may elect to mark-to-market such stock and, subject to certain exceptions, include in income any gain (increases in market value) or loss (decreases in market value to the extent of prior gains recognized) realized as ordinary income or loss to avoid the adverse consequences described above. U.S. Holders of Class E shares are urged to consult their own tax advisors as to the consequences of owning stock in a PFIC and whether such U.S. Holder would be eligible to make either of the aforementioned elections to mitigate the adverse effects of such consequences.</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Information Reporting and Backup Withholding</w:t>
      </w:r>
    </w:p>
    <w:p>
      <w:pPr>
        <w:spacing w:after="0" w:line="225"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Each U.S. payor making payments in respect of Class E shares will generally be required to provide the IRS with certain information, including the name, address and taxpayer identification number of the beneficial owner of Class E shares, and the aggregate amount of dividends paid to such beneficial owner during the calendar year. Under the backup withholding rules, a holder may be subject to backup withholding at a current rate of 24% with respect to proceeds received on the sale or exchange of Class E shares within the United States by non-corporate U.S. Holders and to dividends paid, unless such holder (1) is a corporation or comes within certain other exempt categories (including securities broker-dealers, other financial institutions, tax-exempt organizations, qualified pension and profit sharing trusts and individual retirement accounts), and, when required, demonstrates this fact or (2) provides a taxpayer identification number, certifies as to no loss of exemption and otherwise complies with the applicable requirements of the backup withholding rules. Non-U.S. Holders generally are exempt from information reporting and backup withholding, but may be required to provide a properly completed IRS Form W-8BEN or W-8BEN-E (or other similar form) or otherwise comply with applicable certification and identification procedures in order to prove their exemption. Backup withholding is not an additional tax and any amounts withheld from a payment to a holder of Class E shares will be refunded (or credited against such holder’s U.S. federal income tax liability, if any) provided that the required information is timely furnished to the IRS.</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6" w:name="page107"/>
    <w:bookmarkEnd w:id="106"/>
    <w:p>
      <w:pPr>
        <w:spacing w:after="0"/>
        <w:rPr>
          <w:sz w:val="20"/>
          <w:szCs w:val="20"/>
          <w:color w:val="auto"/>
        </w:rPr>
      </w:pPr>
      <w:r>
        <w:rPr>
          <w:rFonts w:ascii="Arial" w:cs="Arial" w:eastAsia="Arial" w:hAnsi="Arial"/>
          <w:sz w:val="18"/>
          <w:szCs w:val="18"/>
          <w:color w:val="auto"/>
        </w:rPr>
        <w:t>There is no income tax treaty between Panama and the United States.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3.8% Medicare Tax On “Net Investment Income”</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Certain U.S. Holders who are individuals, estates or trusts may be required to pay an additional 3.8% tax on, among other things, dividends and capital gains from the sale or other disposition of Class E shares.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Foreign Asset Reporting</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Certain U.S. Holders who are individuals are required to report information relating to an interest in the Bank’s Class E shares, subject to certain exceptions (including an exception for Class E shares held in custodial accounts maintained by United States financial institutions) by filing IRS Form 8938 with their annual U.S. federal income tax return. U.S. Holders are urged to consult their tax advisors regarding their information reporting obligations with respect to their ownership and disposition of the Class E shares.</w:t>
      </w:r>
    </w:p>
    <w:p>
      <w:pPr>
        <w:spacing w:after="0" w:line="18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above description is not intended to constitute a complete analysis of all tax consequences relating to the acquisition, ownership and disposition of the Class E shares. Prospective purchasers should consult their own tax advisors to determine the tax consequences of their particular situations.</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Panamanian Taxes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following is a summary of the principal Panamanian tax consequences arising in connection with the ownership and disposition of the Bank’s Class E shares. This summary is based upon the laws and regulations of Panama, as well as court precedents and interpretative rulings, in effect as of the date of this Annual Report, all of which are subject to prospective and retroactive change.</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 Principle</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 is exempt from income tax in Panama under a special exemption granted to the Bank pursuant to Contract Law 103-78 of July 25, 1978 between Panama and Bladex. In addition, under general rules of income tax in Panama, only income that is deemed to be Panamanian source income is subject to taxation in Panama. Accordingly, since the Bank’s income is derived primarily from sources outside of Panama and is not deemed to be Panamanian source income, even in the absence of the special exemption, the Bank would have limited income tax liability in Panama.</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Distributions</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Dividends, whether cash or in kind, paid by the Bank in respect of its shares are also exempt from dividend tax or other withholding under the special exemption described above. In the absence of this special exemption, there would be a 10% withholding tax on dividends or distributions paid in respect of the Bank’s registered shares to the extent the dividends were paid from income derived by the Bank from Panamanian sources, and a 5% withholding tax on dividends or distributions paid from income derived by the Bank from non-Panamanian sources.</w:t>
      </w:r>
    </w:p>
    <w:p>
      <w:pPr>
        <w:spacing w:after="0" w:line="3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107" w:name="page108"/>
    <w:bookmarkEnd w:id="107"/>
    <w:p>
      <w:pPr>
        <w:spacing w:after="0"/>
        <w:rPr>
          <w:sz w:val="20"/>
          <w:szCs w:val="20"/>
          <w:color w:val="auto"/>
        </w:rPr>
      </w:pPr>
      <w:r>
        <w:rPr>
          <w:rFonts w:ascii="Arial" w:cs="Arial" w:eastAsia="Arial" w:hAnsi="Arial"/>
          <w:sz w:val="18"/>
          <w:szCs w:val="18"/>
          <w:i w:val="1"/>
          <w:iCs w:val="1"/>
          <w:color w:val="auto"/>
        </w:rPr>
        <w:t>Taxation of Capital Gains</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Since the Class E shares are listed on the NYSE, any capital gains realized by an individual or a corporation, regardless of its nationality or residency, on the sale or other disposition of such shares on the NYSE would be exempted from capital gains taxes in Panama.</w:t>
      </w:r>
    </w:p>
    <w:p>
      <w:pPr>
        <w:spacing w:after="0" w:line="166" w:lineRule="exact"/>
        <w:rPr>
          <w:sz w:val="20"/>
          <w:szCs w:val="20"/>
          <w:color w:val="auto"/>
        </w:rPr>
      </w:pPr>
    </w:p>
    <w:p>
      <w:pPr>
        <w:ind w:left="660" w:right="8220" w:hanging="652"/>
        <w:spacing w:after="0" w:line="563" w:lineRule="auto"/>
        <w:tabs>
          <w:tab w:leader="none" w:pos="660" w:val="left"/>
        </w:tabs>
        <w:numPr>
          <w:ilvl w:val="0"/>
          <w:numId w:val="8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Dividends and Paying Agents </w:t>
      </w:r>
      <w:r>
        <w:rPr>
          <w:rFonts w:ascii="Arial" w:cs="Arial" w:eastAsia="Arial" w:hAnsi="Arial"/>
          <w:sz w:val="16"/>
          <w:szCs w:val="16"/>
          <w:color w:val="auto"/>
        </w:rPr>
        <w:t>Not required in this Annual Report.</w:t>
      </w:r>
    </w:p>
    <w:p>
      <w:pPr>
        <w:spacing w:after="0" w:line="1" w:lineRule="exact"/>
        <w:rPr>
          <w:rFonts w:ascii="Arial" w:cs="Arial" w:eastAsia="Arial" w:hAnsi="Arial"/>
          <w:sz w:val="16"/>
          <w:szCs w:val="16"/>
          <w:b w:val="1"/>
          <w:bCs w:val="1"/>
          <w:color w:val="auto"/>
        </w:rPr>
      </w:pPr>
    </w:p>
    <w:p>
      <w:pPr>
        <w:ind w:left="660" w:hanging="652"/>
        <w:spacing w:after="0"/>
        <w:tabs>
          <w:tab w:leader="none" w:pos="660" w:val="left"/>
        </w:tabs>
        <w:numPr>
          <w:ilvl w:val="0"/>
          <w:numId w:val="83"/>
        </w:numPr>
        <w:rPr>
          <w:rFonts w:ascii="Arial" w:cs="Arial" w:eastAsia="Arial" w:hAnsi="Arial"/>
          <w:sz w:val="18"/>
          <w:szCs w:val="18"/>
          <w:b w:val="1"/>
          <w:bCs w:val="1"/>
          <w:color w:val="auto"/>
        </w:rPr>
      </w:pPr>
      <w:r>
        <w:rPr>
          <w:rFonts w:ascii="Arial" w:cs="Arial" w:eastAsia="Arial" w:hAnsi="Arial"/>
          <w:sz w:val="18"/>
          <w:szCs w:val="18"/>
          <w:b w:val="1"/>
          <w:bCs w:val="1"/>
          <w:color w:val="auto"/>
        </w:rPr>
        <w:t>Statement by Experts</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Not required in this Annual Report.</w:t>
      </w:r>
    </w:p>
    <w:p>
      <w:pPr>
        <w:spacing w:after="0" w:line="221" w:lineRule="exact"/>
        <w:rPr>
          <w:rFonts w:ascii="Arial" w:cs="Arial" w:eastAsia="Arial" w:hAnsi="Arial"/>
          <w:sz w:val="18"/>
          <w:szCs w:val="18"/>
          <w:b w:val="1"/>
          <w:bCs w:val="1"/>
          <w:color w:val="auto"/>
        </w:rPr>
      </w:pPr>
    </w:p>
    <w:p>
      <w:pPr>
        <w:ind w:left="660" w:hanging="652"/>
        <w:spacing w:after="0"/>
        <w:tabs>
          <w:tab w:leader="none" w:pos="660" w:val="left"/>
        </w:tabs>
        <w:numPr>
          <w:ilvl w:val="0"/>
          <w:numId w:val="83"/>
        </w:numPr>
        <w:rPr>
          <w:rFonts w:ascii="Arial" w:cs="Arial" w:eastAsia="Arial" w:hAnsi="Arial"/>
          <w:sz w:val="18"/>
          <w:szCs w:val="18"/>
          <w:b w:val="1"/>
          <w:bCs w:val="1"/>
          <w:color w:val="auto"/>
        </w:rPr>
      </w:pPr>
      <w:r>
        <w:rPr>
          <w:rFonts w:ascii="Arial" w:cs="Arial" w:eastAsia="Arial" w:hAnsi="Arial"/>
          <w:sz w:val="18"/>
          <w:szCs w:val="18"/>
          <w:b w:val="1"/>
          <w:bCs w:val="1"/>
          <w:color w:val="auto"/>
        </w:rPr>
        <w:t>Documents on Display</w:t>
      </w:r>
    </w:p>
    <w:p>
      <w:pPr>
        <w:spacing w:after="0" w:line="229"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Mrs. Ana Graciela de Méndez, Chief Financial Officer, Bladex, as follows: (1) if by regular mail, to P.O. Box 0819-08730, Panama City, Republic of Panama, and (2) if by courier, to Torre V, Business Park, Avenida La Rotonda, Urb. Costa del Este, Panama City, Republic of Panama. Telephone requests may be directed to Mrs. de Méndez at +507 210-8563. Written requests may also be sent via e-mail to Mrs. de Méndez at amendez@bladex.com. Information is also available on the Bank’s website at: http://www.bladex.com.</w:t>
      </w:r>
    </w:p>
    <w:p>
      <w:pPr>
        <w:spacing w:after="0" w:line="161" w:lineRule="exact"/>
        <w:rPr>
          <w:sz w:val="20"/>
          <w:szCs w:val="20"/>
          <w:color w:val="auto"/>
        </w:rPr>
      </w:pPr>
    </w:p>
    <w:p>
      <w:pPr>
        <w:ind w:left="660" w:hanging="652"/>
        <w:spacing w:after="0"/>
        <w:tabs>
          <w:tab w:leader="none" w:pos="660" w:val="left"/>
        </w:tabs>
        <w:numPr>
          <w:ilvl w:val="0"/>
          <w:numId w:val="84"/>
        </w:numPr>
        <w:rPr>
          <w:rFonts w:ascii="Arial" w:cs="Arial" w:eastAsia="Arial" w:hAnsi="Arial"/>
          <w:sz w:val="18"/>
          <w:szCs w:val="18"/>
          <w:b w:val="1"/>
          <w:bCs w:val="1"/>
          <w:color w:val="auto"/>
        </w:rPr>
      </w:pPr>
      <w:r>
        <w:rPr>
          <w:rFonts w:ascii="Arial" w:cs="Arial" w:eastAsia="Arial" w:hAnsi="Arial"/>
          <w:sz w:val="18"/>
          <w:szCs w:val="18"/>
          <w:b w:val="1"/>
          <w:bCs w:val="1"/>
          <w:color w:val="auto"/>
        </w:rPr>
        <w:t>Subsidiary Information</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11.</w:t>
      </w:r>
      <w:r>
        <w:rPr>
          <w:sz w:val="20"/>
          <w:szCs w:val="20"/>
          <w:color w:val="auto"/>
        </w:rPr>
        <w:tab/>
      </w:r>
      <w:r>
        <w:rPr>
          <w:rFonts w:ascii="Arial" w:cs="Arial" w:eastAsia="Arial" w:hAnsi="Arial"/>
          <w:sz w:val="16"/>
          <w:szCs w:val="16"/>
          <w:b w:val="1"/>
          <w:bCs w:val="1"/>
          <w:color w:val="auto"/>
        </w:rPr>
        <w:t>Quantitative and Qualitative Disclosure About Market Risk</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risk management policies, as approved by the Board from time to time, are designed to identify and control the Bank’s credit and market risks by establishing and monitoring appropriate limits on the Bank’s credit and market exposures. Certain members of the Board constitute the Finance and Business Committee, which meets on a regular basis and monitors and controls the risks in each specific area. At the management level, the Bank has a Risk Management Department that measures and controls overall risk management of the Bank (credit, operational and market risk).</w:t>
      </w:r>
    </w:p>
    <w:p>
      <w:pPr>
        <w:spacing w:after="0" w:line="17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businesses are subject to market risk. The components of this market risk are interest rate risk inherent in the Bank’s financial position, foreign exchange risk, and the price risk in the Bank’s Investment Securities Portfolio.</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quantitative information relating to the Bank’s interest rate risk and information relating to the Bank’s management of interest rate risk, see Item 5, “Operating and Financial Review and Prospects–Liquidity and Capital Resources.”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8" w:name="page109"/>
    <w:bookmarkEnd w:id="108"/>
    <w:p>
      <w:pPr>
        <w:jc w:val="both"/>
        <w:spacing w:after="0" w:line="308" w:lineRule="auto"/>
        <w:rPr>
          <w:sz w:val="20"/>
          <w:szCs w:val="20"/>
          <w:color w:val="auto"/>
        </w:rPr>
      </w:pPr>
      <w:r>
        <w:rPr>
          <w:rFonts w:ascii="Arial" w:cs="Arial" w:eastAsia="Arial" w:hAnsi="Arial"/>
          <w:sz w:val="17"/>
          <w:szCs w:val="17"/>
          <w:color w:val="auto"/>
        </w:rPr>
        <w:t>For information regarding derivative financial instruments, see Item 18, “Financial Statements,” notes 3.7, 5.6, 5.7 and 18. For information regarding financial instruments, see Item 4, “Information on the Company/Business Overview–Financial instruments,” and Item 18, “Financial Statements,” note 5.</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Interest Rate Risk Management and Sensitivity</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tables below list the notional amounts and weighted interest rates, as of December 31, 2017 and 2016, for derivative financial instruments and other financial instruments that are sensitive to changes in interest rates, including the Bank’s investment securities, loans, borrowings and placements, interest rate swaps, cross currency swaps and forward currency exchange agreements.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2017:</w:t>
      </w: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4"/>
          <w:szCs w:val="14"/>
          <w:b w:val="1"/>
          <w:bCs w:val="1"/>
          <w:color w:val="auto"/>
        </w:rPr>
        <w:t>Expected maturity date</w:t>
      </w:r>
    </w:p>
    <w:p>
      <w:pPr>
        <w:spacing w:after="0" w:line="10" w:lineRule="exact"/>
        <w:rPr>
          <w:sz w:val="20"/>
          <w:szCs w:val="20"/>
          <w:color w:val="auto"/>
        </w:rPr>
      </w:pPr>
    </w:p>
    <w:tbl>
      <w:tblPr>
        <w:tblLayout w:type="fixed"/>
        <w:tblInd w:w="0" w:type="dxa"/>
        <w:tblCellMar>
          <w:top w:w="0" w:type="dxa"/>
          <w:left w:w="0" w:type="dxa"/>
          <w:bottom w:w="0" w:type="dxa"/>
          <w:right w:w="0" w:type="dxa"/>
        </w:tblCellMar>
      </w:tblPr>
      <w:tr>
        <w:trPr>
          <w:trHeight w:val="119"/>
        </w:trPr>
        <w:tc>
          <w:tcPr>
            <w:tcW w:w="20" w:type="dxa"/>
            <w:vAlign w:val="bottom"/>
          </w:tcPr>
          <w:p>
            <w:pPr>
              <w:spacing w:after="0"/>
              <w:rPr>
                <w:sz w:val="10"/>
                <w:szCs w:val="10"/>
                <w:color w:val="auto"/>
              </w:rPr>
            </w:pPr>
          </w:p>
        </w:tc>
        <w:tc>
          <w:tcPr>
            <w:tcW w:w="386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5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vMerge w:val="restart"/>
          </w:tcPr>
          <w:p>
            <w:pPr>
              <w:jc w:val="right"/>
              <w:ind w:right="180"/>
              <w:spacing w:after="0"/>
              <w:rPr>
                <w:sz w:val="20"/>
                <w:szCs w:val="20"/>
                <w:color w:val="auto"/>
              </w:rPr>
            </w:pPr>
            <w:r>
              <w:rPr>
                <w:rFonts w:ascii="Arial" w:cs="Arial" w:eastAsia="Arial" w:hAnsi="Arial"/>
                <w:sz w:val="14"/>
                <w:szCs w:val="14"/>
                <w:b w:val="1"/>
                <w:bCs w:val="1"/>
                <w:color w:val="auto"/>
              </w:rPr>
              <w:t>There-</w:t>
            </w:r>
          </w:p>
        </w:tc>
        <w:tc>
          <w:tcPr>
            <w:tcW w:w="780" w:type="dxa"/>
            <w:vAlign w:val="bottom"/>
            <w:tcBorders>
              <w:top w:val="single" w:sz="8" w:color="auto"/>
            </w:tcBorders>
            <w:gridSpan w:val="2"/>
            <w:vMerge w:val="restart"/>
          </w:tcPr>
          <w:p>
            <w:pPr>
              <w:jc w:val="right"/>
              <w:ind w:right="140"/>
              <w:spacing w:after="0"/>
              <w:rPr>
                <w:sz w:val="20"/>
                <w:szCs w:val="20"/>
                <w:color w:val="auto"/>
              </w:rPr>
            </w:pPr>
            <w:r>
              <w:rPr>
                <w:rFonts w:ascii="Arial" w:cs="Arial" w:eastAsia="Arial" w:hAnsi="Arial"/>
                <w:sz w:val="14"/>
                <w:szCs w:val="14"/>
                <w:b w:val="1"/>
                <w:bCs w:val="1"/>
                <w:color w:val="auto"/>
              </w:rPr>
              <w:t>Without</w:t>
            </w:r>
          </w:p>
        </w:tc>
        <w:tc>
          <w:tcPr>
            <w:tcW w:w="920" w:type="dxa"/>
            <w:vAlign w:val="bottom"/>
            <w:tcBorders>
              <w:top w:val="single" w:sz="8" w:color="auto"/>
            </w:tcBorders>
            <w:gridSpan w:val="2"/>
            <w:vMerge w:val="restart"/>
          </w:tcPr>
          <w:p>
            <w:pPr>
              <w:jc w:val="right"/>
              <w:ind w:right="320"/>
              <w:spacing w:after="0"/>
              <w:rPr>
                <w:sz w:val="20"/>
                <w:szCs w:val="20"/>
                <w:color w:val="auto"/>
              </w:rPr>
            </w:pPr>
            <w:r>
              <w:rPr>
                <w:rFonts w:ascii="Arial" w:cs="Arial" w:eastAsia="Arial" w:hAnsi="Arial"/>
                <w:sz w:val="14"/>
                <w:szCs w:val="14"/>
                <w:b w:val="1"/>
                <w:bCs w:val="1"/>
                <w:color w:val="auto"/>
              </w:rPr>
              <w:t>Total</w:t>
            </w:r>
          </w:p>
        </w:tc>
        <w:tc>
          <w:tcPr>
            <w:tcW w:w="900" w:type="dxa"/>
            <w:vAlign w:val="bottom"/>
            <w:tcBorders>
              <w:top w:val="single" w:sz="8" w:color="auto"/>
            </w:tcBorders>
            <w:gridSpan w:val="2"/>
          </w:tcPr>
          <w:p>
            <w:pPr>
              <w:jc w:val="center"/>
              <w:spacing w:after="0" w:line="119" w:lineRule="exact"/>
              <w:rPr>
                <w:sz w:val="20"/>
                <w:szCs w:val="20"/>
                <w:color w:val="auto"/>
              </w:rPr>
            </w:pPr>
            <w:r>
              <w:rPr>
                <w:rFonts w:ascii="Arial" w:cs="Arial" w:eastAsia="Arial" w:hAnsi="Arial"/>
                <w:sz w:val="13"/>
                <w:szCs w:val="13"/>
                <w:b w:val="1"/>
                <w:bCs w:val="1"/>
                <w:color w:val="auto"/>
              </w:rPr>
              <w:t>Fair</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spacing w:after="0"/>
              <w:rPr>
                <w:sz w:val="12"/>
                <w:szCs w:val="12"/>
                <w:color w:val="auto"/>
              </w:rPr>
            </w:pPr>
          </w:p>
        </w:tc>
        <w:tc>
          <w:tcPr>
            <w:tcW w:w="800" w:type="dxa"/>
            <w:vAlign w:val="bottom"/>
            <w:vMerge w:val="restart"/>
          </w:tcPr>
          <w:p>
            <w:pPr>
              <w:jc w:val="right"/>
              <w:ind w:right="128"/>
              <w:spacing w:after="0"/>
              <w:rPr>
                <w:sz w:val="20"/>
                <w:szCs w:val="20"/>
                <w:color w:val="auto"/>
              </w:rPr>
            </w:pPr>
            <w:r>
              <w:rPr>
                <w:rFonts w:ascii="Arial" w:cs="Arial" w:eastAsia="Arial" w:hAnsi="Arial"/>
                <w:sz w:val="14"/>
                <w:szCs w:val="14"/>
                <w:b w:val="1"/>
                <w:bCs w:val="1"/>
                <w:color w:val="auto"/>
              </w:rPr>
              <w:t>2018</w:t>
            </w:r>
          </w:p>
        </w:tc>
        <w:tc>
          <w:tcPr>
            <w:tcW w:w="120" w:type="dxa"/>
            <w:vAlign w:val="bottom"/>
          </w:tcPr>
          <w:p>
            <w:pPr>
              <w:spacing w:after="0"/>
              <w:rPr>
                <w:sz w:val="12"/>
                <w:szCs w:val="12"/>
                <w:color w:val="auto"/>
              </w:rPr>
            </w:pPr>
          </w:p>
        </w:tc>
        <w:tc>
          <w:tcPr>
            <w:tcW w:w="70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rPr>
              <w:t>2019</w:t>
            </w:r>
          </w:p>
        </w:tc>
        <w:tc>
          <w:tcPr>
            <w:tcW w:w="120" w:type="dxa"/>
            <w:vAlign w:val="bottom"/>
          </w:tcPr>
          <w:p>
            <w:pPr>
              <w:spacing w:after="0"/>
              <w:rPr>
                <w:sz w:val="12"/>
                <w:szCs w:val="12"/>
                <w:color w:val="auto"/>
              </w:rPr>
            </w:pPr>
          </w:p>
        </w:tc>
        <w:tc>
          <w:tcPr>
            <w:tcW w:w="68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2020</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2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rPr>
              <w:t>2021</w:t>
            </w:r>
          </w:p>
        </w:tc>
        <w:tc>
          <w:tcPr>
            <w:tcW w:w="120" w:type="dxa"/>
            <w:vAlign w:val="bottom"/>
          </w:tcPr>
          <w:p>
            <w:pPr>
              <w:spacing w:after="0"/>
              <w:rPr>
                <w:sz w:val="12"/>
                <w:szCs w:val="12"/>
                <w:color w:val="auto"/>
              </w:rPr>
            </w:pPr>
          </w:p>
        </w:tc>
        <w:tc>
          <w:tcPr>
            <w:tcW w:w="68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2022</w:t>
            </w:r>
          </w:p>
        </w:tc>
        <w:tc>
          <w:tcPr>
            <w:tcW w:w="120" w:type="dxa"/>
            <w:vAlign w:val="bottom"/>
          </w:tcPr>
          <w:p>
            <w:pPr>
              <w:spacing w:after="0"/>
              <w:rPr>
                <w:sz w:val="12"/>
                <w:szCs w:val="12"/>
                <w:color w:val="auto"/>
              </w:rPr>
            </w:pPr>
          </w:p>
        </w:tc>
        <w:tc>
          <w:tcPr>
            <w:tcW w:w="780" w:type="dxa"/>
            <w:vAlign w:val="bottom"/>
            <w:gridSpan w:val="2"/>
            <w:vMerge w:val="continue"/>
          </w:tcPr>
          <w:p>
            <w:pPr>
              <w:spacing w:after="0"/>
              <w:rPr>
                <w:sz w:val="12"/>
                <w:szCs w:val="12"/>
                <w:color w:val="auto"/>
              </w:rPr>
            </w:pPr>
          </w:p>
        </w:tc>
        <w:tc>
          <w:tcPr>
            <w:tcW w:w="780" w:type="dxa"/>
            <w:vAlign w:val="bottom"/>
            <w:gridSpan w:val="2"/>
            <w:vMerge w:val="continue"/>
          </w:tcPr>
          <w:p>
            <w:pPr>
              <w:spacing w:after="0"/>
              <w:rPr>
                <w:sz w:val="12"/>
                <w:szCs w:val="12"/>
                <w:color w:val="auto"/>
              </w:rPr>
            </w:pPr>
          </w:p>
        </w:tc>
        <w:tc>
          <w:tcPr>
            <w:tcW w:w="920" w:type="dxa"/>
            <w:vAlign w:val="bottom"/>
            <w:gridSpan w:val="2"/>
            <w:vMerge w:val="continue"/>
          </w:tcPr>
          <w:p>
            <w:pPr>
              <w:spacing w:after="0"/>
              <w:rPr>
                <w:sz w:val="12"/>
                <w:szCs w:val="12"/>
                <w:color w:val="auto"/>
              </w:rPr>
            </w:pPr>
          </w:p>
        </w:tc>
        <w:tc>
          <w:tcPr>
            <w:tcW w:w="90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94"/>
              </w:rPr>
              <w:t>value</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3860" w:type="dxa"/>
            <w:vAlign w:val="bottom"/>
          </w:tcPr>
          <w:p>
            <w:pPr>
              <w:spacing w:after="0"/>
              <w:rPr>
                <w:sz w:val="14"/>
                <w:szCs w:val="14"/>
                <w:color w:val="auto"/>
              </w:rPr>
            </w:pPr>
          </w:p>
        </w:tc>
        <w:tc>
          <w:tcPr>
            <w:tcW w:w="80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70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52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tcPr>
          <w:p>
            <w:pPr>
              <w:jc w:val="right"/>
              <w:ind w:right="48"/>
              <w:spacing w:after="0"/>
              <w:rPr>
                <w:sz w:val="20"/>
                <w:szCs w:val="20"/>
                <w:color w:val="auto"/>
              </w:rPr>
            </w:pPr>
            <w:r>
              <w:rPr>
                <w:rFonts w:ascii="Arial" w:cs="Arial" w:eastAsia="Arial" w:hAnsi="Arial"/>
                <w:sz w:val="14"/>
                <w:szCs w:val="14"/>
                <w:b w:val="1"/>
                <w:bCs w:val="1"/>
                <w:color w:val="auto"/>
              </w:rPr>
              <w:t>after</w:t>
            </w:r>
          </w:p>
        </w:tc>
        <w:tc>
          <w:tcPr>
            <w:tcW w:w="12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maturity</w:t>
            </w:r>
          </w:p>
        </w:tc>
        <w:tc>
          <w:tcPr>
            <w:tcW w:w="800" w:type="dxa"/>
            <w:vAlign w:val="bottom"/>
          </w:tcPr>
          <w:p>
            <w:pPr>
              <w:jc w:val="right"/>
              <w:ind w:right="128"/>
              <w:spacing w:after="0"/>
              <w:rPr>
                <w:sz w:val="20"/>
                <w:szCs w:val="20"/>
                <w:color w:val="auto"/>
              </w:rPr>
            </w:pPr>
            <w:r>
              <w:rPr>
                <w:rFonts w:ascii="Arial" w:cs="Arial" w:eastAsia="Arial" w:hAnsi="Arial"/>
                <w:sz w:val="14"/>
                <w:szCs w:val="14"/>
                <w:b w:val="1"/>
                <w:bCs w:val="1"/>
                <w:color w:val="auto"/>
              </w:rPr>
              <w:t>2017</w:t>
            </w:r>
          </w:p>
        </w:tc>
        <w:tc>
          <w:tcPr>
            <w:tcW w:w="120" w:type="dxa"/>
            <w:vAlign w:val="bottom"/>
          </w:tcPr>
          <w:p>
            <w:pPr>
              <w:spacing w:after="0"/>
              <w:rPr>
                <w:sz w:val="14"/>
                <w:szCs w:val="14"/>
                <w:color w:val="auto"/>
              </w:rPr>
            </w:pPr>
          </w:p>
        </w:tc>
        <w:tc>
          <w:tcPr>
            <w:tcW w:w="800" w:type="dxa"/>
            <w:vAlign w:val="bottom"/>
          </w:tcPr>
          <w:p>
            <w:pPr>
              <w:jc w:val="center"/>
              <w:ind w:left="28"/>
              <w:spacing w:after="0"/>
              <w:rPr>
                <w:sz w:val="20"/>
                <w:szCs w:val="20"/>
                <w:color w:val="auto"/>
              </w:rPr>
            </w:pPr>
            <w:r>
              <w:rPr>
                <w:rFonts w:ascii="Arial" w:cs="Arial" w:eastAsia="Arial" w:hAnsi="Arial"/>
                <w:sz w:val="14"/>
                <w:szCs w:val="14"/>
                <w:b w:val="1"/>
                <w:bCs w:val="1"/>
                <w:color w:val="auto"/>
                <w:w w:val="96"/>
              </w:rPr>
              <w:t>2017</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86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5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tcPr>
          <w:p>
            <w:pPr>
              <w:spacing w:after="0"/>
              <w:rPr>
                <w:sz w:val="11"/>
                <w:szCs w:val="11"/>
                <w:color w:val="auto"/>
              </w:rPr>
            </w:pPr>
          </w:p>
        </w:tc>
        <w:tc>
          <w:tcPr>
            <w:tcW w:w="38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20" w:type="dxa"/>
            <w:vAlign w:val="bottom"/>
            <w:gridSpan w:val="2"/>
          </w:tcPr>
          <w:p>
            <w:pPr>
              <w:jc w:val="right"/>
              <w:spacing w:after="0" w:line="129" w:lineRule="exact"/>
              <w:rPr>
                <w:sz w:val="20"/>
                <w:szCs w:val="20"/>
                <w:color w:val="auto"/>
              </w:rPr>
            </w:pPr>
            <w:r>
              <w:rPr>
                <w:rFonts w:ascii="Arial" w:cs="Arial" w:eastAsia="Arial" w:hAnsi="Arial"/>
                <w:sz w:val="14"/>
                <w:szCs w:val="14"/>
                <w:b w:val="1"/>
                <w:bCs w:val="1"/>
                <w:color w:val="auto"/>
                <w:w w:val="91"/>
              </w:rPr>
              <w:t>($ Equivalent</w:t>
            </w:r>
          </w:p>
        </w:tc>
        <w:tc>
          <w:tcPr>
            <w:tcW w:w="800" w:type="dxa"/>
            <w:vAlign w:val="bottom"/>
            <w:gridSpan w:val="2"/>
          </w:tcPr>
          <w:p>
            <w:pPr>
              <w:jc w:val="right"/>
              <w:spacing w:after="0" w:line="129" w:lineRule="exact"/>
              <w:rPr>
                <w:sz w:val="20"/>
                <w:szCs w:val="20"/>
                <w:color w:val="auto"/>
              </w:rPr>
            </w:pPr>
            <w:r>
              <w:rPr>
                <w:rFonts w:ascii="Arial" w:cs="Arial" w:eastAsia="Arial" w:hAnsi="Arial"/>
                <w:sz w:val="14"/>
                <w:szCs w:val="14"/>
                <w:b w:val="1"/>
                <w:bCs w:val="1"/>
                <w:color w:val="auto"/>
                <w:w w:val="84"/>
              </w:rPr>
              <w:t>in thousands)</w:t>
            </w:r>
          </w:p>
        </w:tc>
        <w:tc>
          <w:tcPr>
            <w:tcW w:w="18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ASSETS:</w:t>
            </w: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spacing w:after="0" w:line="149" w:lineRule="exact"/>
              <w:rPr>
                <w:sz w:val="20"/>
                <w:szCs w:val="20"/>
                <w:color w:val="auto"/>
              </w:rPr>
            </w:pPr>
            <w:r>
              <w:rPr>
                <w:rFonts w:ascii="Arial" w:cs="Arial" w:eastAsia="Arial" w:hAnsi="Arial"/>
                <w:sz w:val="14"/>
                <w:szCs w:val="14"/>
                <w:b w:val="1"/>
                <w:bCs w:val="1"/>
                <w:color w:val="auto"/>
              </w:rPr>
              <w:t>Investment Securities</w:t>
            </w: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Fixed rate</w:t>
            </w: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U.S. Dollars</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7,978</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23,875</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9,943</w:t>
            </w:r>
          </w:p>
        </w:tc>
        <w:tc>
          <w:tcPr>
            <w:tcW w:w="18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35,876</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8,191</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85,863</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85,739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3.80%</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7.52%</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4.79%</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4.27%</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3.63%</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5.13%</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8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8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Loans</w:t>
            </w: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spacing w:after="0" w:line="149" w:lineRule="exact"/>
              <w:rPr>
                <w:sz w:val="20"/>
                <w:szCs w:val="20"/>
                <w:color w:val="auto"/>
              </w:rPr>
            </w:pPr>
            <w:r>
              <w:rPr>
                <w:rFonts w:ascii="Arial" w:cs="Arial" w:eastAsia="Arial" w:hAnsi="Arial"/>
                <w:sz w:val="14"/>
                <w:szCs w:val="14"/>
                <w:color w:val="auto"/>
              </w:rPr>
              <w:t>Fixed rate</w:t>
            </w: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2,225,408</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22,200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4,132</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10,593</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2,262,333</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2,268,201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3.04%</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4.15%</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7.27%</w:t>
            </w:r>
          </w:p>
        </w:tc>
        <w:tc>
          <w:tcPr>
            <w:tcW w:w="18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4.00%</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3.06%</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Mexican Peso</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94,020</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9,764</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7,984</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3,875</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533</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116,176</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130,667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9.44%</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8.43%</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8.22%</w:t>
            </w:r>
          </w:p>
        </w:tc>
        <w:tc>
          <w:tcPr>
            <w:tcW w:w="180" w:type="dxa"/>
            <w:vAlign w:val="bottom"/>
          </w:tcPr>
          <w:p>
            <w:pPr>
              <w:spacing w:after="0"/>
              <w:rPr>
                <w:sz w:val="12"/>
                <w:szCs w:val="12"/>
                <w:color w:val="auto"/>
              </w:rPr>
            </w:pPr>
          </w:p>
        </w:tc>
        <w:tc>
          <w:tcPr>
            <w:tcW w:w="6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9.14%</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11.65%</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9.27%</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Floating rate</w:t>
            </w: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U.S. Dollars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2,014,535</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535,568</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239,474</w:t>
            </w:r>
          </w:p>
        </w:tc>
        <w:tc>
          <w:tcPr>
            <w:tcW w:w="18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8"/>
              </w:rPr>
              <w:t>117,753</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106,524</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12,835</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3,026,689</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3,103,544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floating rate</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3.62%</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4.90%</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4.87%</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5.68%</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4.24%</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5.12%</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4.06%</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Mexican Peso</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46,555</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15,295</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18,346</w:t>
            </w:r>
          </w:p>
        </w:tc>
        <w:tc>
          <w:tcPr>
            <w:tcW w:w="18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14,344</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3,447</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2,473</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100,460</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105,161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floating rate</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9.68%</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10.95%</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10.79%</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10.85%</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10.87%</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7.99%</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10.24%</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8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8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3860" w:type="dxa"/>
            <w:vAlign w:val="bottom"/>
          </w:tcPr>
          <w:p>
            <w:pPr>
              <w:spacing w:after="0" w:line="189" w:lineRule="exact"/>
              <w:rPr>
                <w:sz w:val="20"/>
                <w:szCs w:val="20"/>
                <w:color w:val="auto"/>
              </w:rPr>
            </w:pPr>
            <w:r>
              <w:rPr>
                <w:rFonts w:ascii="Arial" w:cs="Arial" w:eastAsia="Arial" w:hAnsi="Arial"/>
                <w:sz w:val="13"/>
                <w:szCs w:val="13"/>
                <w:b w:val="1"/>
                <w:bCs w:val="1"/>
                <w:color w:val="auto"/>
              </w:rPr>
              <w:t xml:space="preserve">Borrowings and Placements </w:t>
            </w:r>
            <w:r>
              <w:rPr>
                <w:rFonts w:ascii="Arial" w:cs="Arial" w:eastAsia="Arial" w:hAnsi="Arial"/>
                <w:sz w:val="21"/>
                <w:szCs w:val="21"/>
                <w:b w:val="1"/>
                <w:bCs w:val="1"/>
                <w:color w:val="auto"/>
                <w:vertAlign w:val="superscript"/>
              </w:rPr>
              <w:t>(1)</w:t>
            </w:r>
          </w:p>
        </w:tc>
        <w:tc>
          <w:tcPr>
            <w:tcW w:w="8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Fixed rate</w:t>
            </w: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U.S. Dollars</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429,461</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345,199</w:t>
            </w:r>
          </w:p>
        </w:tc>
        <w:tc>
          <w:tcPr>
            <w:tcW w:w="18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4,819</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794,479</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799,196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1.77%</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2.25%</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3.30%</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2.96%</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2.45%</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Mexican Peso</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20,715</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8,447</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6,957</w:t>
            </w:r>
          </w:p>
        </w:tc>
        <w:tc>
          <w:tcPr>
            <w:tcW w:w="18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2,912</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50</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39,081</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42,546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7.04%</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6.54%</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6.96%</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8.22%</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8.99%</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7.01%</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Euro Dollar</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8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60,178</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60,178</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61,434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3.74%</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3.74%</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Japanese Yen</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26,362</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72,349</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8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98,711</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96,663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0.71%</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0.45%</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0.52%</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Australian Dollar</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23,436</w:t>
            </w:r>
          </w:p>
        </w:tc>
        <w:tc>
          <w:tcPr>
            <w:tcW w:w="18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23,436</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23,818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3.33%</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3.33%</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spacing w:after="0" w:line="149" w:lineRule="exact"/>
              <w:rPr>
                <w:sz w:val="20"/>
                <w:szCs w:val="20"/>
                <w:color w:val="auto"/>
              </w:rPr>
            </w:pPr>
            <w:r>
              <w:rPr>
                <w:rFonts w:ascii="Arial" w:cs="Arial" w:eastAsia="Arial" w:hAnsi="Arial"/>
                <w:sz w:val="14"/>
                <w:szCs w:val="14"/>
                <w:color w:val="auto"/>
              </w:rPr>
              <w:t>Floating rate</w:t>
            </w: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615,000</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186,000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8"/>
              </w:rPr>
              <w:t>193,000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10,000</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1,004,000</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1,011,309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tcPr>
          <w:p>
            <w:pPr>
              <w:ind w:left="160"/>
              <w:spacing w:after="0" w:line="149" w:lineRule="exact"/>
              <w:rPr>
                <w:sz w:val="20"/>
                <w:szCs w:val="20"/>
                <w:color w:val="auto"/>
              </w:rPr>
            </w:pPr>
            <w:r>
              <w:rPr>
                <w:rFonts w:ascii="Arial" w:cs="Arial" w:eastAsia="Arial" w:hAnsi="Arial"/>
                <w:sz w:val="14"/>
                <w:szCs w:val="14"/>
                <w:color w:val="auto"/>
              </w:rPr>
              <w:t>Average floating rate</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1.89%</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2.68%</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80" w:type="dxa"/>
            <w:vAlign w:val="bottom"/>
          </w:tcPr>
          <w:p>
            <w:pPr>
              <w:spacing w:after="0"/>
              <w:rPr>
                <w:sz w:val="12"/>
                <w:szCs w:val="12"/>
                <w:color w:val="auto"/>
              </w:rPr>
            </w:pPr>
          </w:p>
        </w:tc>
        <w:tc>
          <w:tcPr>
            <w:tcW w:w="6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2.96%</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2.93%</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2.25%</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8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Mexican Peso</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120,255</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75,638</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195,893</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196,081</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3860" w:type="dxa"/>
            <w:vAlign w:val="bottom"/>
          </w:tcPr>
          <w:p>
            <w:pPr>
              <w:ind w:left="160"/>
              <w:spacing w:after="0"/>
              <w:rPr>
                <w:sz w:val="20"/>
                <w:szCs w:val="20"/>
                <w:color w:val="auto"/>
              </w:rPr>
            </w:pPr>
            <w:r>
              <w:rPr>
                <w:rFonts w:ascii="Arial" w:cs="Arial" w:eastAsia="Arial" w:hAnsi="Arial"/>
                <w:sz w:val="14"/>
                <w:szCs w:val="14"/>
                <w:color w:val="auto"/>
              </w:rPr>
              <w:t>Average floating rate</w:t>
            </w:r>
          </w:p>
        </w:tc>
        <w:tc>
          <w:tcPr>
            <w:tcW w:w="920" w:type="dxa"/>
            <w:vAlign w:val="bottom"/>
            <w:gridSpan w:val="2"/>
          </w:tcPr>
          <w:p>
            <w:pPr>
              <w:jc w:val="right"/>
              <w:spacing w:after="0"/>
              <w:rPr>
                <w:sz w:val="20"/>
                <w:szCs w:val="20"/>
                <w:color w:val="auto"/>
              </w:rPr>
            </w:pPr>
            <w:r>
              <w:rPr>
                <w:rFonts w:ascii="Arial" w:cs="Arial" w:eastAsia="Arial" w:hAnsi="Arial"/>
                <w:sz w:val="14"/>
                <w:szCs w:val="14"/>
                <w:color w:val="auto"/>
              </w:rPr>
              <w:t>7.94%</w:t>
            </w:r>
          </w:p>
        </w:tc>
        <w:tc>
          <w:tcPr>
            <w:tcW w:w="820" w:type="dxa"/>
            <w:vAlign w:val="bottom"/>
            <w:gridSpan w:val="2"/>
          </w:tcPr>
          <w:p>
            <w:pPr>
              <w:jc w:val="right"/>
              <w:spacing w:after="0"/>
              <w:rPr>
                <w:sz w:val="20"/>
                <w:szCs w:val="20"/>
                <w:color w:val="auto"/>
              </w:rPr>
            </w:pPr>
            <w:r>
              <w:rPr>
                <w:rFonts w:ascii="Arial" w:cs="Arial" w:eastAsia="Arial" w:hAnsi="Arial"/>
                <w:sz w:val="14"/>
                <w:szCs w:val="14"/>
                <w:color w:val="auto"/>
              </w:rPr>
              <w:t>8.06%</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5"/>
                <w:szCs w:val="15"/>
                <w:color w:val="auto"/>
              </w:rPr>
            </w:pPr>
          </w:p>
        </w:tc>
        <w:tc>
          <w:tcPr>
            <w:tcW w:w="64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5"/>
                <w:szCs w:val="15"/>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rPr>
                <w:sz w:val="20"/>
                <w:szCs w:val="20"/>
                <w:color w:val="auto"/>
              </w:rPr>
            </w:pPr>
            <w:r>
              <w:rPr>
                <w:rFonts w:ascii="Arial" w:cs="Arial" w:eastAsia="Arial" w:hAnsi="Arial"/>
                <w:sz w:val="14"/>
                <w:szCs w:val="14"/>
                <w:color w:val="auto"/>
              </w:rPr>
              <w:t>7.98%</w:t>
            </w: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38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9" w:name="page110"/>
    <w:bookmarkEnd w:id="109"/>
    <w:p>
      <w:pPr>
        <w:jc w:val="center"/>
        <w:spacing w:after="0"/>
        <w:rPr>
          <w:sz w:val="20"/>
          <w:szCs w:val="20"/>
          <w:color w:val="auto"/>
        </w:rPr>
      </w:pPr>
      <w:r>
        <w:rPr>
          <w:rFonts w:ascii="Arial" w:cs="Arial" w:eastAsia="Arial" w:hAnsi="Arial"/>
          <w:sz w:val="14"/>
          <w:szCs w:val="14"/>
          <w:b w:val="1"/>
          <w:bCs w:val="1"/>
          <w:color w:val="auto"/>
        </w:rPr>
        <w:t>Expected maturity date</w:t>
      </w:r>
    </w:p>
    <w:p>
      <w:pPr>
        <w:spacing w:after="0" w:line="10" w:lineRule="exact"/>
        <w:rPr>
          <w:sz w:val="20"/>
          <w:szCs w:val="20"/>
          <w:color w:val="auto"/>
        </w:rPr>
      </w:pPr>
    </w:p>
    <w:tbl>
      <w:tblPr>
        <w:tblLayout w:type="fixed"/>
        <w:tblInd w:w="0" w:type="dxa"/>
        <w:tblCellMar>
          <w:top w:w="0" w:type="dxa"/>
          <w:left w:w="0" w:type="dxa"/>
          <w:bottom w:w="0" w:type="dxa"/>
          <w:right w:w="0" w:type="dxa"/>
        </w:tblCellMar>
      </w:tblPr>
      <w:tr>
        <w:trPr>
          <w:trHeight w:val="119"/>
        </w:trPr>
        <w:tc>
          <w:tcPr>
            <w:tcW w:w="20" w:type="dxa"/>
            <w:vAlign w:val="bottom"/>
          </w:tcPr>
          <w:p>
            <w:pPr>
              <w:spacing w:after="0"/>
              <w:rPr>
                <w:sz w:val="10"/>
                <w:szCs w:val="10"/>
                <w:color w:val="auto"/>
              </w:rPr>
            </w:pPr>
          </w:p>
        </w:tc>
        <w:tc>
          <w:tcPr>
            <w:tcW w:w="4220" w:type="dxa"/>
            <w:vAlign w:val="bottom"/>
            <w:tcBorders>
              <w:top w:val="single" w:sz="8" w:color="auto"/>
            </w:tcBorders>
          </w:tcPr>
          <w:p>
            <w:pPr>
              <w:spacing w:after="0"/>
              <w:rPr>
                <w:sz w:val="10"/>
                <w:szCs w:val="10"/>
                <w:color w:val="auto"/>
              </w:rPr>
            </w:pPr>
          </w:p>
        </w:tc>
        <w:tc>
          <w:tcPr>
            <w:tcW w:w="7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vMerge w:val="restart"/>
          </w:tcPr>
          <w:p>
            <w:pPr>
              <w:jc w:val="center"/>
              <w:spacing w:after="0"/>
              <w:rPr>
                <w:sz w:val="20"/>
                <w:szCs w:val="20"/>
                <w:color w:val="auto"/>
              </w:rPr>
            </w:pPr>
            <w:r>
              <w:rPr>
                <w:rFonts w:ascii="Arial" w:cs="Arial" w:eastAsia="Arial" w:hAnsi="Arial"/>
                <w:sz w:val="14"/>
                <w:szCs w:val="14"/>
                <w:b w:val="1"/>
                <w:bCs w:val="1"/>
                <w:color w:val="auto"/>
                <w:w w:val="98"/>
              </w:rPr>
              <w:t>There-</w:t>
            </w:r>
          </w:p>
        </w:tc>
        <w:tc>
          <w:tcPr>
            <w:tcW w:w="780" w:type="dxa"/>
            <w:vAlign w:val="bottom"/>
            <w:tcBorders>
              <w:top w:val="single" w:sz="8" w:color="auto"/>
            </w:tcBorders>
            <w:gridSpan w:val="2"/>
            <w:vMerge w:val="restart"/>
          </w:tcPr>
          <w:p>
            <w:pPr>
              <w:jc w:val="right"/>
              <w:ind w:right="140"/>
              <w:spacing w:after="0"/>
              <w:rPr>
                <w:sz w:val="20"/>
                <w:szCs w:val="20"/>
                <w:color w:val="auto"/>
              </w:rPr>
            </w:pPr>
            <w:r>
              <w:rPr>
                <w:rFonts w:ascii="Arial" w:cs="Arial" w:eastAsia="Arial" w:hAnsi="Arial"/>
                <w:sz w:val="14"/>
                <w:szCs w:val="14"/>
                <w:b w:val="1"/>
                <w:bCs w:val="1"/>
                <w:color w:val="auto"/>
              </w:rPr>
              <w:t>Without</w:t>
            </w:r>
          </w:p>
        </w:tc>
        <w:tc>
          <w:tcPr>
            <w:tcW w:w="800" w:type="dxa"/>
            <w:vAlign w:val="bottom"/>
            <w:tcBorders>
              <w:top w:val="single" w:sz="8" w:color="auto"/>
            </w:tcBorders>
            <w:gridSpan w:val="2"/>
            <w:vMerge w:val="restart"/>
          </w:tcPr>
          <w:p>
            <w:pPr>
              <w:jc w:val="right"/>
              <w:ind w:right="260"/>
              <w:spacing w:after="0"/>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tcBorders>
            <w:gridSpan w:val="2"/>
          </w:tcPr>
          <w:p>
            <w:pPr>
              <w:jc w:val="center"/>
              <w:spacing w:after="0" w:line="119" w:lineRule="exact"/>
              <w:rPr>
                <w:sz w:val="20"/>
                <w:szCs w:val="20"/>
                <w:color w:val="auto"/>
              </w:rPr>
            </w:pPr>
            <w:r>
              <w:rPr>
                <w:rFonts w:ascii="Arial" w:cs="Arial" w:eastAsia="Arial" w:hAnsi="Arial"/>
                <w:sz w:val="13"/>
                <w:szCs w:val="13"/>
                <w:b w:val="1"/>
                <w:bCs w:val="1"/>
                <w:color w:val="auto"/>
              </w:rPr>
              <w:t>Fair</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rPr>
                <w:sz w:val="12"/>
                <w:szCs w:val="12"/>
                <w:color w:val="auto"/>
              </w:rPr>
            </w:pPr>
          </w:p>
        </w:tc>
        <w:tc>
          <w:tcPr>
            <w:tcW w:w="72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rPr>
              <w:t>2018</w:t>
            </w:r>
          </w:p>
        </w:tc>
        <w:tc>
          <w:tcPr>
            <w:tcW w:w="120" w:type="dxa"/>
            <w:vAlign w:val="bottom"/>
          </w:tcPr>
          <w:p>
            <w:pPr>
              <w:spacing w:after="0"/>
              <w:rPr>
                <w:sz w:val="12"/>
                <w:szCs w:val="12"/>
                <w:color w:val="auto"/>
              </w:rPr>
            </w:pPr>
          </w:p>
        </w:tc>
        <w:tc>
          <w:tcPr>
            <w:tcW w:w="68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2019</w:t>
            </w:r>
          </w:p>
        </w:tc>
        <w:tc>
          <w:tcPr>
            <w:tcW w:w="120" w:type="dxa"/>
            <w:vAlign w:val="bottom"/>
          </w:tcPr>
          <w:p>
            <w:pPr>
              <w:spacing w:after="0"/>
              <w:rPr>
                <w:sz w:val="12"/>
                <w:szCs w:val="12"/>
                <w:color w:val="auto"/>
              </w:rPr>
            </w:pPr>
          </w:p>
        </w:tc>
        <w:tc>
          <w:tcPr>
            <w:tcW w:w="70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rPr>
              <w:t>2020</w:t>
            </w:r>
          </w:p>
        </w:tc>
        <w:tc>
          <w:tcPr>
            <w:tcW w:w="120" w:type="dxa"/>
            <w:vAlign w:val="bottom"/>
          </w:tcPr>
          <w:p>
            <w:pPr>
              <w:spacing w:after="0"/>
              <w:rPr>
                <w:sz w:val="12"/>
                <w:szCs w:val="12"/>
                <w:color w:val="auto"/>
              </w:rPr>
            </w:pPr>
          </w:p>
        </w:tc>
        <w:tc>
          <w:tcPr>
            <w:tcW w:w="66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2021</w:t>
            </w:r>
          </w:p>
        </w:tc>
        <w:tc>
          <w:tcPr>
            <w:tcW w:w="120" w:type="dxa"/>
            <w:vAlign w:val="bottom"/>
          </w:tcPr>
          <w:p>
            <w:pPr>
              <w:spacing w:after="0"/>
              <w:rPr>
                <w:sz w:val="12"/>
                <w:szCs w:val="12"/>
                <w:color w:val="auto"/>
              </w:rPr>
            </w:pPr>
          </w:p>
        </w:tc>
        <w:tc>
          <w:tcPr>
            <w:tcW w:w="66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2022</w:t>
            </w:r>
          </w:p>
        </w:tc>
        <w:tc>
          <w:tcPr>
            <w:tcW w:w="120" w:type="dxa"/>
            <w:vAlign w:val="bottom"/>
          </w:tcPr>
          <w:p>
            <w:pPr>
              <w:spacing w:after="0"/>
              <w:rPr>
                <w:sz w:val="12"/>
                <w:szCs w:val="12"/>
                <w:color w:val="auto"/>
              </w:rPr>
            </w:pPr>
          </w:p>
        </w:tc>
        <w:tc>
          <w:tcPr>
            <w:tcW w:w="780" w:type="dxa"/>
            <w:vAlign w:val="bottom"/>
            <w:gridSpan w:val="2"/>
            <w:vMerge w:val="continue"/>
          </w:tcPr>
          <w:p>
            <w:pPr>
              <w:spacing w:after="0"/>
              <w:rPr>
                <w:sz w:val="12"/>
                <w:szCs w:val="12"/>
                <w:color w:val="auto"/>
              </w:rPr>
            </w:pPr>
          </w:p>
        </w:tc>
        <w:tc>
          <w:tcPr>
            <w:tcW w:w="780" w:type="dxa"/>
            <w:vAlign w:val="bottom"/>
            <w:gridSpan w:val="2"/>
            <w:vMerge w:val="continue"/>
          </w:tcPr>
          <w:p>
            <w:pPr>
              <w:spacing w:after="0"/>
              <w:rPr>
                <w:sz w:val="12"/>
                <w:szCs w:val="12"/>
                <w:color w:val="auto"/>
              </w:rPr>
            </w:pPr>
          </w:p>
        </w:tc>
        <w:tc>
          <w:tcPr>
            <w:tcW w:w="800" w:type="dxa"/>
            <w:vAlign w:val="bottom"/>
            <w:gridSpan w:val="2"/>
            <w:vMerge w:val="continue"/>
          </w:tcPr>
          <w:p>
            <w:pPr>
              <w:spacing w:after="0"/>
              <w:rPr>
                <w:sz w:val="12"/>
                <w:szCs w:val="12"/>
                <w:color w:val="auto"/>
              </w:rPr>
            </w:pPr>
          </w:p>
        </w:tc>
        <w:tc>
          <w:tcPr>
            <w:tcW w:w="80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89"/>
              </w:rPr>
              <w:t>value</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220" w:type="dxa"/>
            <w:vAlign w:val="bottom"/>
          </w:tcPr>
          <w:p>
            <w:pPr>
              <w:spacing w:after="0"/>
              <w:rPr>
                <w:sz w:val="14"/>
                <w:szCs w:val="14"/>
                <w:color w:val="auto"/>
              </w:rPr>
            </w:pPr>
          </w:p>
        </w:tc>
        <w:tc>
          <w:tcPr>
            <w:tcW w:w="720" w:type="dxa"/>
            <w:vAlign w:val="bottom"/>
            <w:tcBorders>
              <w:bottom w:val="single" w:sz="8" w:color="auto"/>
            </w:tcBorders>
            <w:vMerge w:val="continue"/>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Borders>
              <w:bottom w:val="single" w:sz="8" w:color="auto"/>
            </w:tcBorders>
            <w:vMerge w:val="continue"/>
          </w:tcPr>
          <w:p>
            <w:pPr>
              <w:spacing w:after="0"/>
              <w:rPr>
                <w:sz w:val="14"/>
                <w:szCs w:val="14"/>
                <w:color w:val="auto"/>
              </w:rPr>
            </w:pPr>
          </w:p>
        </w:tc>
        <w:tc>
          <w:tcPr>
            <w:tcW w:w="120" w:type="dxa"/>
            <w:vAlign w:val="bottom"/>
            <w:vMerge w:val="restart"/>
          </w:tcPr>
          <w:p>
            <w:pPr>
              <w:jc w:val="right"/>
              <w:spacing w:after="0"/>
              <w:rPr>
                <w:sz w:val="20"/>
                <w:szCs w:val="20"/>
                <w:color w:val="auto"/>
              </w:rPr>
            </w:pPr>
            <w:r>
              <w:rPr>
                <w:rFonts w:ascii="Arial" w:cs="Arial" w:eastAsia="Arial" w:hAnsi="Arial"/>
                <w:sz w:val="12"/>
                <w:szCs w:val="12"/>
                <w:b w:val="1"/>
                <w:bCs w:val="1"/>
                <w:color w:val="auto"/>
                <w:w w:val="74"/>
              </w:rPr>
              <w:t>in</w:t>
            </w:r>
          </w:p>
        </w:tc>
        <w:tc>
          <w:tcPr>
            <w:tcW w:w="700" w:type="dxa"/>
            <w:vAlign w:val="bottom"/>
            <w:tcBorders>
              <w:bottom w:val="single" w:sz="8" w:color="auto"/>
            </w:tcBorders>
            <w:vMerge w:val="continue"/>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tcBorders>
              <w:bottom w:val="single" w:sz="8" w:color="auto"/>
            </w:tcBorders>
            <w:vMerge w:val="continue"/>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tcBorders>
              <w:bottom w:val="single" w:sz="8" w:color="auto"/>
            </w:tcBorders>
            <w:vMerge w:val="continue"/>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tcBorders>
              <w:bottom w:val="single" w:sz="8" w:color="auto"/>
            </w:tcBorders>
          </w:tcPr>
          <w:p>
            <w:pPr>
              <w:jc w:val="center"/>
              <w:ind w:left="48"/>
              <w:spacing w:after="0"/>
              <w:rPr>
                <w:sz w:val="20"/>
                <w:szCs w:val="20"/>
                <w:color w:val="auto"/>
              </w:rPr>
            </w:pPr>
            <w:r>
              <w:rPr>
                <w:rFonts w:ascii="Arial" w:cs="Arial" w:eastAsia="Arial" w:hAnsi="Arial"/>
                <w:sz w:val="14"/>
                <w:szCs w:val="14"/>
                <w:b w:val="1"/>
                <w:bCs w:val="1"/>
                <w:color w:val="auto"/>
                <w:w w:val="98"/>
              </w:rPr>
              <w:t>after</w:t>
            </w:r>
          </w:p>
        </w:tc>
        <w:tc>
          <w:tcPr>
            <w:tcW w:w="120" w:type="dxa"/>
            <w:vAlign w:val="bottom"/>
          </w:tcPr>
          <w:p>
            <w:pPr>
              <w:spacing w:after="0"/>
              <w:rPr>
                <w:sz w:val="14"/>
                <w:szCs w:val="14"/>
                <w:color w:val="auto"/>
              </w:rPr>
            </w:pP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maturity</w:t>
            </w:r>
          </w:p>
        </w:tc>
        <w:tc>
          <w:tcPr>
            <w:tcW w:w="120" w:type="dxa"/>
            <w:vAlign w:val="bottom"/>
          </w:tcPr>
          <w:p>
            <w:pPr>
              <w:spacing w:after="0"/>
              <w:rPr>
                <w:sz w:val="14"/>
                <w:szCs w:val="14"/>
                <w:color w:val="auto"/>
              </w:rPr>
            </w:pPr>
          </w:p>
        </w:tc>
        <w:tc>
          <w:tcPr>
            <w:tcW w:w="680" w:type="dxa"/>
            <w:vAlign w:val="bottom"/>
            <w:tcBorders>
              <w:bottom w:val="single" w:sz="8" w:color="auto"/>
            </w:tcBorders>
          </w:tcPr>
          <w:p>
            <w:pPr>
              <w:jc w:val="right"/>
              <w:ind w:right="68"/>
              <w:spacing w:after="0"/>
              <w:rPr>
                <w:sz w:val="20"/>
                <w:szCs w:val="20"/>
                <w:color w:val="auto"/>
              </w:rPr>
            </w:pPr>
            <w:r>
              <w:rPr>
                <w:rFonts w:ascii="Arial" w:cs="Arial" w:eastAsia="Arial" w:hAnsi="Arial"/>
                <w:sz w:val="14"/>
                <w:szCs w:val="14"/>
                <w:b w:val="1"/>
                <w:bCs w:val="1"/>
                <w:color w:val="auto"/>
              </w:rPr>
              <w:t>2017</w:t>
            </w:r>
          </w:p>
        </w:tc>
        <w:tc>
          <w:tcPr>
            <w:tcW w:w="120" w:type="dxa"/>
            <w:vAlign w:val="bottom"/>
          </w:tcPr>
          <w:p>
            <w:pPr>
              <w:spacing w:after="0"/>
              <w:rPr>
                <w:sz w:val="14"/>
                <w:szCs w:val="14"/>
                <w:color w:val="auto"/>
              </w:rPr>
            </w:pPr>
          </w:p>
        </w:tc>
        <w:tc>
          <w:tcPr>
            <w:tcW w:w="700" w:type="dxa"/>
            <w:vAlign w:val="bottom"/>
            <w:tcBorders>
              <w:bottom w:val="single" w:sz="8" w:color="auto"/>
            </w:tcBorders>
          </w:tcPr>
          <w:p>
            <w:pPr>
              <w:jc w:val="center"/>
              <w:ind w:left="28"/>
              <w:spacing w:after="0"/>
              <w:rPr>
                <w:sz w:val="20"/>
                <w:szCs w:val="20"/>
                <w:color w:val="auto"/>
              </w:rPr>
            </w:pPr>
            <w:r>
              <w:rPr>
                <w:rFonts w:ascii="Arial" w:cs="Arial" w:eastAsia="Arial" w:hAnsi="Arial"/>
                <w:sz w:val="14"/>
                <w:szCs w:val="14"/>
                <w:b w:val="1"/>
                <w:bCs w:val="1"/>
                <w:color w:val="auto"/>
                <w:w w:val="89"/>
              </w:rPr>
              <w:t>2017</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20" w:type="dxa"/>
            <w:vAlign w:val="bottom"/>
          </w:tcPr>
          <w:p>
            <w:pPr>
              <w:spacing w:after="0"/>
              <w:rPr>
                <w:sz w:val="15"/>
                <w:szCs w:val="15"/>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w:t>
            </w:r>
          </w:p>
        </w:tc>
        <w:tc>
          <w:tcPr>
            <w:tcW w:w="680" w:type="dxa"/>
            <w:vAlign w:val="bottom"/>
          </w:tcPr>
          <w:p>
            <w:pPr>
              <w:jc w:val="right"/>
              <w:spacing w:after="0"/>
              <w:rPr>
                <w:sz w:val="20"/>
                <w:szCs w:val="20"/>
                <w:color w:val="auto"/>
              </w:rPr>
            </w:pPr>
            <w:r>
              <w:rPr>
                <w:rFonts w:ascii="Arial" w:cs="Arial" w:eastAsia="Arial" w:hAnsi="Arial"/>
                <w:sz w:val="14"/>
                <w:szCs w:val="14"/>
                <w:b w:val="1"/>
                <w:bCs w:val="1"/>
                <w:color w:val="auto"/>
                <w:w w:val="84"/>
              </w:rPr>
              <w:t>Equivalent</w:t>
            </w:r>
          </w:p>
        </w:tc>
        <w:tc>
          <w:tcPr>
            <w:tcW w:w="120" w:type="dxa"/>
            <w:vAlign w:val="bottom"/>
            <w:vMerge w:val="continue"/>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4"/>
                <w:szCs w:val="14"/>
                <w:b w:val="1"/>
                <w:bCs w:val="1"/>
                <w:color w:val="auto"/>
                <w:w w:val="87"/>
              </w:rPr>
              <w:t>thousands)</w:t>
            </w:r>
          </w:p>
        </w:tc>
        <w:tc>
          <w:tcPr>
            <w:tcW w:w="1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97"/>
        </w:trPr>
        <w:tc>
          <w:tcPr>
            <w:tcW w:w="20" w:type="dxa"/>
            <w:vAlign w:val="bottom"/>
            <w:vMerge w:val="restart"/>
          </w:tcPr>
          <w:p>
            <w:pPr>
              <w:spacing w:after="0"/>
              <w:rPr>
                <w:sz w:val="8"/>
                <w:szCs w:val="8"/>
                <w:color w:val="auto"/>
              </w:rPr>
            </w:pPr>
          </w:p>
        </w:tc>
        <w:tc>
          <w:tcPr>
            <w:tcW w:w="4220" w:type="dxa"/>
            <w:vAlign w:val="bottom"/>
          </w:tcPr>
          <w:p>
            <w:pPr>
              <w:spacing w:after="0"/>
              <w:rPr>
                <w:sz w:val="8"/>
                <w:szCs w:val="8"/>
                <w:color w:val="auto"/>
              </w:rPr>
            </w:pPr>
          </w:p>
        </w:tc>
        <w:tc>
          <w:tcPr>
            <w:tcW w:w="720" w:type="dxa"/>
            <w:vAlign w:val="bottom"/>
          </w:tcPr>
          <w:p>
            <w:pPr>
              <w:spacing w:after="0"/>
              <w:rPr>
                <w:sz w:val="8"/>
                <w:szCs w:val="8"/>
                <w:color w:val="auto"/>
              </w:rPr>
            </w:pPr>
          </w:p>
        </w:tc>
        <w:tc>
          <w:tcPr>
            <w:tcW w:w="120" w:type="dxa"/>
            <w:vAlign w:val="bottom"/>
          </w:tcPr>
          <w:p>
            <w:pPr>
              <w:spacing w:after="0"/>
              <w:rPr>
                <w:sz w:val="8"/>
                <w:szCs w:val="8"/>
                <w:color w:val="auto"/>
              </w:rPr>
            </w:pPr>
          </w:p>
        </w:tc>
        <w:tc>
          <w:tcPr>
            <w:tcW w:w="680" w:type="dxa"/>
            <w:vAlign w:val="bottom"/>
          </w:tcPr>
          <w:p>
            <w:pPr>
              <w:spacing w:after="0"/>
              <w:rPr>
                <w:sz w:val="8"/>
                <w:szCs w:val="8"/>
                <w:color w:val="auto"/>
              </w:rPr>
            </w:pPr>
          </w:p>
        </w:tc>
        <w:tc>
          <w:tcPr>
            <w:tcW w:w="120" w:type="dxa"/>
            <w:vAlign w:val="bottom"/>
          </w:tcPr>
          <w:p>
            <w:pPr>
              <w:spacing w:after="0"/>
              <w:rPr>
                <w:sz w:val="8"/>
                <w:szCs w:val="8"/>
                <w:color w:val="auto"/>
              </w:rPr>
            </w:pPr>
          </w:p>
        </w:tc>
        <w:tc>
          <w:tcPr>
            <w:tcW w:w="700" w:type="dxa"/>
            <w:vAlign w:val="bottom"/>
          </w:tcPr>
          <w:p>
            <w:pPr>
              <w:spacing w:after="0"/>
              <w:rPr>
                <w:sz w:val="8"/>
                <w:szCs w:val="8"/>
                <w:color w:val="auto"/>
              </w:rPr>
            </w:pPr>
          </w:p>
        </w:tc>
        <w:tc>
          <w:tcPr>
            <w:tcW w:w="1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680" w:type="dxa"/>
            <w:vAlign w:val="bottom"/>
          </w:tcPr>
          <w:p>
            <w:pPr>
              <w:spacing w:after="0"/>
              <w:rPr>
                <w:sz w:val="8"/>
                <w:szCs w:val="8"/>
                <w:color w:val="auto"/>
              </w:rPr>
            </w:pPr>
          </w:p>
        </w:tc>
        <w:tc>
          <w:tcPr>
            <w:tcW w:w="120" w:type="dxa"/>
            <w:vAlign w:val="bottom"/>
          </w:tcPr>
          <w:p>
            <w:pPr>
              <w:spacing w:after="0"/>
              <w:rPr>
                <w:sz w:val="8"/>
                <w:szCs w:val="8"/>
                <w:color w:val="auto"/>
              </w:rPr>
            </w:pPr>
          </w:p>
        </w:tc>
        <w:tc>
          <w:tcPr>
            <w:tcW w:w="70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 SWAPS:</w:t>
            </w: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b w:val="1"/>
                <w:bCs w:val="1"/>
                <w:color w:val="auto"/>
              </w:rPr>
              <w:t>Interest Rate Swaps – Investment Securities</w:t>
            </w: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 fixed to floating</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4,500</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5,000</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3,000</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12,500</w:t>
            </w:r>
          </w:p>
        </w:tc>
        <w:tc>
          <w:tcPr>
            <w:tcW w:w="8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12,442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Average pay rate</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9.75%</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3.25%</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3.88%</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5.74%</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receive rate</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9.12%</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1.55%</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2.73%</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4.90%</w:t>
            </w: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b w:val="1"/>
                <w:bCs w:val="1"/>
                <w:color w:val="auto"/>
              </w:rPr>
              <w:t>Interest Rate Swaps – Borrowings</w:t>
            </w: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 fixed to floating</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525,000</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17,000</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13,000</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40,000</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595,000</w:t>
            </w:r>
          </w:p>
        </w:tc>
        <w:tc>
          <w:tcPr>
            <w:tcW w:w="8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594,699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Average pay rate</w:t>
            </w:r>
          </w:p>
        </w:tc>
        <w:tc>
          <w:tcPr>
            <w:tcW w:w="8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1.94%</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1.87%</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2.12%</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2.30%</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1.96%</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receive rate</w:t>
            </w:r>
          </w:p>
        </w:tc>
        <w:tc>
          <w:tcPr>
            <w:tcW w:w="8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1.87%</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1.55%</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1.55%</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1.55%</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1.84%</w:t>
            </w: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b w:val="1"/>
                <w:bCs w:val="1"/>
                <w:color w:val="auto"/>
              </w:rPr>
              <w:t>Interest Rate Swaps – Issuances</w:t>
            </w: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 fixed to floating</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350,000</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5,000</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355,000</w:t>
            </w:r>
          </w:p>
        </w:tc>
        <w:tc>
          <w:tcPr>
            <w:tcW w:w="8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350,699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Average pay rate</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2.83%</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2.89%</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2.84%</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receive rate</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3.25%</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2.85%</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3.24%</w:t>
            </w: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CROSS CURRENCY SWAPS:</w:t>
            </w: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b w:val="1"/>
                <w:bCs w:val="1"/>
                <w:color w:val="auto"/>
              </w:rPr>
              <w:t>Cross Currency Swaps</w:t>
            </w: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U.S. Dollars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13,199</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6,260</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7,282</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26,741</w:t>
            </w:r>
          </w:p>
        </w:tc>
        <w:tc>
          <w:tcPr>
            <w:tcW w:w="8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2,014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U.S. Dollars fixed rate</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4.84%</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4.84%</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 floating rate</w:t>
            </w:r>
          </w:p>
        </w:tc>
        <w:tc>
          <w:tcPr>
            <w:tcW w:w="8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2.14%</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5.24%</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5.43%</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3.47%</w:t>
            </w: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Pay U.S. Dollars</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64,948</w:t>
            </w:r>
          </w:p>
        </w:tc>
        <w:tc>
          <w:tcPr>
            <w:tcW w:w="800" w:type="dxa"/>
            <w:vAlign w:val="bottom"/>
            <w:gridSpan w:val="2"/>
          </w:tcPr>
          <w:p>
            <w:pPr>
              <w:jc w:val="right"/>
              <w:ind w:right="58"/>
              <w:spacing w:after="0" w:line="149" w:lineRule="exact"/>
              <w:rPr>
                <w:sz w:val="20"/>
                <w:szCs w:val="20"/>
                <w:color w:val="auto"/>
              </w:rPr>
            </w:pPr>
            <w:r>
              <w:rPr>
                <w:rFonts w:ascii="Arial" w:cs="Arial" w:eastAsia="Arial" w:hAnsi="Arial"/>
                <w:sz w:val="14"/>
                <w:szCs w:val="14"/>
                <w:color w:val="auto"/>
              </w:rPr>
              <w:t>146,505</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23,025</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68,768</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303,246</w:t>
            </w:r>
          </w:p>
        </w:tc>
        <w:tc>
          <w:tcPr>
            <w:tcW w:w="8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(27,618)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 fixed rate</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2.53%</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2.53%</w:t>
            </w: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U.S. Dollars floating rate</w:t>
            </w:r>
          </w:p>
        </w:tc>
        <w:tc>
          <w:tcPr>
            <w:tcW w:w="8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2.60%</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2.81%</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3.96%</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3.04%</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Mexican Peso</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40,000</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73,312</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113,312</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Mexican Peso floating rate</w:t>
            </w:r>
          </w:p>
        </w:tc>
        <w:tc>
          <w:tcPr>
            <w:tcW w:w="8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8.01%</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7.99%</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8.00%</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Pay Mexican Peso</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13,199</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6,260</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7,282</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26,741</w:t>
            </w: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Mexican Peso floating rate</w:t>
            </w:r>
          </w:p>
        </w:tc>
        <w:tc>
          <w:tcPr>
            <w:tcW w:w="8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7.95%</w:t>
            </w:r>
          </w:p>
        </w:tc>
        <w:tc>
          <w:tcPr>
            <w:tcW w:w="800" w:type="dxa"/>
            <w:vAlign w:val="bottom"/>
            <w:gridSpan w:val="2"/>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10.54%</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10.90%</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9.36%</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Euro Dollar</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68,768</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68,768</w:t>
            </w: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Euro Dollar fixed rate</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3.75%</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3.75%</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Japanese Yen</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24,948</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73,193</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98,141</w:t>
            </w: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Japanese Yen fixed rate</w:t>
            </w:r>
          </w:p>
        </w:tc>
        <w:tc>
          <w:tcPr>
            <w:tcW w:w="8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0.65%</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0.46%</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0.52%</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Australian Dollar</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23,025</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23,025</w:t>
            </w: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Australian Dollar fixed rate</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3.33%</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3.33%</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b w:val="1"/>
                <w:bCs w:val="1"/>
                <w:color w:val="auto"/>
              </w:rPr>
              <w:t>FORWARD CURRENCY EXCHANGE AGREEMENTS:</w:t>
            </w: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U.S. Dollars/ Pay Mexican Pesos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51,416</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51,416</w:t>
            </w:r>
          </w:p>
        </w:tc>
        <w:tc>
          <w:tcPr>
            <w:tcW w:w="8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2,700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Average exchange rate</w:t>
            </w:r>
          </w:p>
        </w:tc>
        <w:tc>
          <w:tcPr>
            <w:tcW w:w="8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18.63%</w:t>
            </w:r>
          </w:p>
        </w:tc>
        <w:tc>
          <w:tcPr>
            <w:tcW w:w="800" w:type="dxa"/>
            <w:vAlign w:val="bottom"/>
            <w:gridSpan w:val="2"/>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18.63%</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U.S. Dollars/ Pay Brazilian Reales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9,243</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9,243</w:t>
            </w:r>
          </w:p>
        </w:tc>
        <w:tc>
          <w:tcPr>
            <w:tcW w:w="8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Average exchange rate</w:t>
            </w:r>
          </w:p>
        </w:tc>
        <w:tc>
          <w:tcPr>
            <w:tcW w:w="8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3.32%</w:t>
            </w:r>
          </w:p>
        </w:tc>
        <w:tc>
          <w:tcPr>
            <w:tcW w:w="800" w:type="dxa"/>
            <w:vAlign w:val="bottom"/>
            <w:gridSpan w:val="2"/>
          </w:tcPr>
          <w:p>
            <w:pPr>
              <w:jc w:val="right"/>
              <w:ind w:right="5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3.32%</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Euro Dollars/ Pay U.S. Dollars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68,952</w:t>
            </w:r>
          </w:p>
        </w:tc>
        <w:tc>
          <w:tcPr>
            <w:tcW w:w="800" w:type="dxa"/>
            <w:vAlign w:val="bottom"/>
            <w:gridSpan w:val="2"/>
            <w:shd w:val="clear" w:color="auto" w:fill="CCEEFF"/>
          </w:tcPr>
          <w:p>
            <w:pPr>
              <w:jc w:val="right"/>
              <w:ind w:right="58"/>
              <w:spacing w:after="0" w:line="149" w:lineRule="exact"/>
              <w:rPr>
                <w:sz w:val="20"/>
                <w:szCs w:val="20"/>
                <w:color w:val="auto"/>
              </w:rPr>
            </w:pPr>
            <w:r>
              <w:rPr>
                <w:rFonts w:ascii="Arial" w:cs="Arial" w:eastAsia="Arial" w:hAnsi="Arial"/>
                <w:sz w:val="14"/>
                <w:szCs w:val="14"/>
                <w:color w:val="auto"/>
              </w:rPr>
              <w:t>105,020</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173,972</w:t>
            </w:r>
          </w:p>
        </w:tc>
        <w:tc>
          <w:tcPr>
            <w:tcW w:w="8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5,910</w:t>
            </w:r>
          </w:p>
        </w:tc>
        <w:tc>
          <w:tcPr>
            <w:tcW w:w="0" w:type="dxa"/>
            <w:vAlign w:val="bottom"/>
          </w:tcPr>
          <w:p>
            <w:pPr>
              <w:spacing w:after="0"/>
              <w:rPr>
                <w:sz w:val="1"/>
                <w:szCs w:val="1"/>
                <w:color w:val="auto"/>
              </w:rPr>
            </w:pPr>
          </w:p>
        </w:tc>
      </w:tr>
      <w:tr>
        <w:trPr>
          <w:trHeight w:val="150"/>
        </w:trPr>
        <w:tc>
          <w:tcPr>
            <w:tcW w:w="20" w:type="dxa"/>
            <w:vAlign w:val="bottom"/>
          </w:tcPr>
          <w:p>
            <w:pPr>
              <w:spacing w:after="0"/>
              <w:rPr>
                <w:sz w:val="13"/>
                <w:szCs w:val="13"/>
                <w:color w:val="auto"/>
              </w:rPr>
            </w:pPr>
          </w:p>
        </w:tc>
        <w:tc>
          <w:tcPr>
            <w:tcW w:w="4220" w:type="dxa"/>
            <w:vAlign w:val="bottom"/>
          </w:tcPr>
          <w:p>
            <w:pPr>
              <w:ind w:left="160"/>
              <w:spacing w:after="0" w:line="150" w:lineRule="exact"/>
              <w:rPr>
                <w:sz w:val="20"/>
                <w:szCs w:val="20"/>
                <w:color w:val="auto"/>
              </w:rPr>
            </w:pPr>
            <w:r>
              <w:rPr>
                <w:rFonts w:ascii="Arial" w:cs="Arial" w:eastAsia="Arial" w:hAnsi="Arial"/>
                <w:sz w:val="14"/>
                <w:szCs w:val="14"/>
                <w:color w:val="auto"/>
              </w:rPr>
              <w:t>Average exchange rate</w:t>
            </w:r>
          </w:p>
        </w:tc>
        <w:tc>
          <w:tcPr>
            <w:tcW w:w="840" w:type="dxa"/>
            <w:vAlign w:val="bottom"/>
            <w:gridSpan w:val="2"/>
          </w:tcPr>
          <w:p>
            <w:pPr>
              <w:jc w:val="right"/>
              <w:spacing w:after="0" w:line="150" w:lineRule="exact"/>
              <w:rPr>
                <w:sz w:val="20"/>
                <w:szCs w:val="20"/>
                <w:color w:val="auto"/>
              </w:rPr>
            </w:pPr>
            <w:r>
              <w:rPr>
                <w:rFonts w:ascii="Arial" w:cs="Arial" w:eastAsia="Arial" w:hAnsi="Arial"/>
                <w:sz w:val="14"/>
                <w:szCs w:val="14"/>
                <w:color w:val="auto"/>
              </w:rPr>
              <w:t>1.14%</w:t>
            </w:r>
          </w:p>
        </w:tc>
        <w:tc>
          <w:tcPr>
            <w:tcW w:w="800" w:type="dxa"/>
            <w:vAlign w:val="bottom"/>
            <w:gridSpan w:val="2"/>
          </w:tcPr>
          <w:p>
            <w:pPr>
              <w:jc w:val="right"/>
              <w:spacing w:after="0" w:line="150" w:lineRule="exact"/>
              <w:rPr>
                <w:sz w:val="20"/>
                <w:szCs w:val="20"/>
                <w:color w:val="auto"/>
              </w:rPr>
            </w:pPr>
            <w:r>
              <w:rPr>
                <w:rFonts w:ascii="Arial" w:cs="Arial" w:eastAsia="Arial" w:hAnsi="Arial"/>
                <w:sz w:val="14"/>
                <w:szCs w:val="14"/>
                <w:color w:val="auto"/>
              </w:rPr>
              <w:t>1.21%</w:t>
            </w:r>
          </w:p>
        </w:tc>
        <w:tc>
          <w:tcPr>
            <w:tcW w:w="820" w:type="dxa"/>
            <w:vAlign w:val="bottom"/>
            <w:gridSpan w:val="2"/>
          </w:tcPr>
          <w:p>
            <w:pPr>
              <w:jc w:val="right"/>
              <w:ind w:right="120"/>
              <w:spacing w:after="0" w:line="150"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50"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50"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50"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50"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spacing w:after="0" w:line="150" w:lineRule="exact"/>
              <w:rPr>
                <w:sz w:val="20"/>
                <w:szCs w:val="20"/>
                <w:color w:val="auto"/>
              </w:rPr>
            </w:pPr>
            <w:r>
              <w:rPr>
                <w:rFonts w:ascii="Arial" w:cs="Arial" w:eastAsia="Arial" w:hAnsi="Arial"/>
                <w:sz w:val="14"/>
                <w:szCs w:val="14"/>
                <w:color w:val="auto"/>
              </w:rPr>
              <w:t>1.18%</w:t>
            </w: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25" w:lineRule="exact"/>
        <w:rPr>
          <w:sz w:val="20"/>
          <w:szCs w:val="20"/>
          <w:color w:val="auto"/>
        </w:rPr>
      </w:pPr>
    </w:p>
    <w:p>
      <w:pPr>
        <w:ind w:left="5580" w:right="3340" w:hanging="5572"/>
        <w:spacing w:after="0" w:line="756" w:lineRule="auto"/>
        <w:tabs>
          <w:tab w:leader="none" w:pos="222" w:val="left"/>
        </w:tabs>
        <w:numPr>
          <w:ilvl w:val="0"/>
          <w:numId w:val="85"/>
        </w:numPr>
        <w:rPr>
          <w:rFonts w:ascii="Arial" w:cs="Arial" w:eastAsia="Arial" w:hAnsi="Arial"/>
          <w:sz w:val="26"/>
          <w:szCs w:val="26"/>
          <w:color w:val="auto"/>
          <w:vertAlign w:val="superscript"/>
        </w:rPr>
      </w:pPr>
      <w:r>
        <w:rPr>
          <w:rFonts w:ascii="Arial" w:cs="Arial" w:eastAsia="Arial" w:hAnsi="Arial"/>
          <w:sz w:val="16"/>
          <w:szCs w:val="16"/>
          <w:color w:val="auto"/>
        </w:rPr>
        <w:t>Borrowings and placements include short and long-term borrowings and debt, gross of prepaid commissions. 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-407670</wp:posOffset>
            </wp:positionV>
            <wp:extent cx="72466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110" w:name="page111"/>
    <w:bookmarkEnd w:id="110"/>
    <w:p>
      <w:pPr>
        <w:spacing w:after="0"/>
        <w:rPr>
          <w:sz w:val="20"/>
          <w:szCs w:val="20"/>
          <w:color w:val="auto"/>
        </w:rPr>
      </w:pPr>
      <w:r>
        <w:rPr>
          <w:rFonts w:ascii="Arial" w:cs="Arial" w:eastAsia="Arial" w:hAnsi="Arial"/>
          <w:sz w:val="18"/>
          <w:szCs w:val="18"/>
          <w:color w:val="auto"/>
        </w:rPr>
        <w:t>As of December 31, 2016:</w:t>
      </w: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4"/>
          <w:szCs w:val="14"/>
          <w:b w:val="1"/>
          <w:bCs w:val="1"/>
          <w:color w:val="auto"/>
        </w:rPr>
        <w:t>Expected maturity date</w:t>
      </w:r>
    </w:p>
    <w:p>
      <w:pPr>
        <w:spacing w:after="0" w:line="10" w:lineRule="exact"/>
        <w:rPr>
          <w:sz w:val="20"/>
          <w:szCs w:val="20"/>
          <w:color w:val="auto"/>
        </w:rPr>
      </w:pPr>
    </w:p>
    <w:tbl>
      <w:tblPr>
        <w:tblLayout w:type="fixed"/>
        <w:tblInd w:w="0" w:type="dxa"/>
        <w:tblCellMar>
          <w:top w:w="0" w:type="dxa"/>
          <w:left w:w="0" w:type="dxa"/>
          <w:bottom w:w="0" w:type="dxa"/>
          <w:right w:w="0" w:type="dxa"/>
        </w:tblCellMar>
      </w:tblPr>
      <w:tr>
        <w:trPr>
          <w:trHeight w:val="119"/>
        </w:trPr>
        <w:tc>
          <w:tcPr>
            <w:tcW w:w="20" w:type="dxa"/>
            <w:vAlign w:val="bottom"/>
          </w:tcPr>
          <w:p>
            <w:pPr>
              <w:spacing w:after="0"/>
              <w:rPr>
                <w:sz w:val="10"/>
                <w:szCs w:val="10"/>
                <w:color w:val="auto"/>
              </w:rPr>
            </w:pPr>
          </w:p>
        </w:tc>
        <w:tc>
          <w:tcPr>
            <w:tcW w:w="390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5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vMerge w:val="restart"/>
          </w:tcPr>
          <w:p>
            <w:pPr>
              <w:jc w:val="right"/>
              <w:ind w:right="180"/>
              <w:spacing w:after="0"/>
              <w:rPr>
                <w:sz w:val="20"/>
                <w:szCs w:val="20"/>
                <w:color w:val="auto"/>
              </w:rPr>
            </w:pPr>
            <w:r>
              <w:rPr>
                <w:rFonts w:ascii="Arial" w:cs="Arial" w:eastAsia="Arial" w:hAnsi="Arial"/>
                <w:sz w:val="14"/>
                <w:szCs w:val="14"/>
                <w:b w:val="1"/>
                <w:bCs w:val="1"/>
                <w:color w:val="auto"/>
              </w:rPr>
              <w:t>There-</w:t>
            </w:r>
          </w:p>
        </w:tc>
        <w:tc>
          <w:tcPr>
            <w:tcW w:w="780" w:type="dxa"/>
            <w:vAlign w:val="bottom"/>
            <w:tcBorders>
              <w:top w:val="single" w:sz="8" w:color="auto"/>
            </w:tcBorders>
            <w:gridSpan w:val="2"/>
            <w:vMerge w:val="restart"/>
          </w:tcPr>
          <w:p>
            <w:pPr>
              <w:jc w:val="right"/>
              <w:ind w:right="140"/>
              <w:spacing w:after="0"/>
              <w:rPr>
                <w:sz w:val="20"/>
                <w:szCs w:val="20"/>
                <w:color w:val="auto"/>
              </w:rPr>
            </w:pPr>
            <w:r>
              <w:rPr>
                <w:rFonts w:ascii="Arial" w:cs="Arial" w:eastAsia="Arial" w:hAnsi="Arial"/>
                <w:sz w:val="14"/>
                <w:szCs w:val="14"/>
                <w:b w:val="1"/>
                <w:bCs w:val="1"/>
                <w:color w:val="auto"/>
              </w:rPr>
              <w:t>Without</w:t>
            </w:r>
          </w:p>
        </w:tc>
        <w:tc>
          <w:tcPr>
            <w:tcW w:w="920" w:type="dxa"/>
            <w:vAlign w:val="bottom"/>
            <w:tcBorders>
              <w:top w:val="single" w:sz="8" w:color="auto"/>
            </w:tcBorders>
            <w:gridSpan w:val="2"/>
            <w:vMerge w:val="restart"/>
          </w:tcPr>
          <w:p>
            <w:pPr>
              <w:jc w:val="right"/>
              <w:ind w:right="320"/>
              <w:spacing w:after="0"/>
              <w:rPr>
                <w:sz w:val="20"/>
                <w:szCs w:val="20"/>
                <w:color w:val="auto"/>
              </w:rPr>
            </w:pPr>
            <w:r>
              <w:rPr>
                <w:rFonts w:ascii="Arial" w:cs="Arial" w:eastAsia="Arial" w:hAnsi="Arial"/>
                <w:sz w:val="14"/>
                <w:szCs w:val="14"/>
                <w:b w:val="1"/>
                <w:bCs w:val="1"/>
                <w:color w:val="auto"/>
              </w:rPr>
              <w:t>Total</w:t>
            </w:r>
          </w:p>
        </w:tc>
        <w:tc>
          <w:tcPr>
            <w:tcW w:w="900" w:type="dxa"/>
            <w:vAlign w:val="bottom"/>
            <w:tcBorders>
              <w:top w:val="single" w:sz="8" w:color="auto"/>
            </w:tcBorders>
            <w:gridSpan w:val="2"/>
          </w:tcPr>
          <w:p>
            <w:pPr>
              <w:jc w:val="center"/>
              <w:spacing w:after="0" w:line="119" w:lineRule="exact"/>
              <w:rPr>
                <w:sz w:val="20"/>
                <w:szCs w:val="20"/>
                <w:color w:val="auto"/>
              </w:rPr>
            </w:pPr>
            <w:r>
              <w:rPr>
                <w:rFonts w:ascii="Arial" w:cs="Arial" w:eastAsia="Arial" w:hAnsi="Arial"/>
                <w:sz w:val="13"/>
                <w:szCs w:val="13"/>
                <w:b w:val="1"/>
                <w:bCs w:val="1"/>
                <w:color w:val="auto"/>
              </w:rPr>
              <w:t>Fair</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rPr>
                <w:sz w:val="12"/>
                <w:szCs w:val="12"/>
                <w:color w:val="auto"/>
              </w:rPr>
            </w:pPr>
          </w:p>
        </w:tc>
        <w:tc>
          <w:tcPr>
            <w:tcW w:w="780" w:type="dxa"/>
            <w:vAlign w:val="bottom"/>
            <w:vMerge w:val="restart"/>
          </w:tcPr>
          <w:p>
            <w:pPr>
              <w:jc w:val="right"/>
              <w:ind w:right="128"/>
              <w:spacing w:after="0"/>
              <w:rPr>
                <w:sz w:val="20"/>
                <w:szCs w:val="20"/>
                <w:color w:val="auto"/>
              </w:rPr>
            </w:pPr>
            <w:r>
              <w:rPr>
                <w:rFonts w:ascii="Arial" w:cs="Arial" w:eastAsia="Arial" w:hAnsi="Arial"/>
                <w:sz w:val="14"/>
                <w:szCs w:val="14"/>
                <w:b w:val="1"/>
                <w:bCs w:val="1"/>
                <w:color w:val="auto"/>
              </w:rPr>
              <w:t>2017</w:t>
            </w:r>
          </w:p>
        </w:tc>
        <w:tc>
          <w:tcPr>
            <w:tcW w:w="120" w:type="dxa"/>
            <w:vAlign w:val="bottom"/>
          </w:tcPr>
          <w:p>
            <w:pPr>
              <w:spacing w:after="0"/>
              <w:rPr>
                <w:sz w:val="12"/>
                <w:szCs w:val="12"/>
                <w:color w:val="auto"/>
              </w:rPr>
            </w:pPr>
          </w:p>
        </w:tc>
        <w:tc>
          <w:tcPr>
            <w:tcW w:w="70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2018</w:t>
            </w:r>
          </w:p>
        </w:tc>
        <w:tc>
          <w:tcPr>
            <w:tcW w:w="120" w:type="dxa"/>
            <w:vAlign w:val="bottom"/>
          </w:tcPr>
          <w:p>
            <w:pPr>
              <w:spacing w:after="0"/>
              <w:rPr>
                <w:sz w:val="12"/>
                <w:szCs w:val="12"/>
                <w:color w:val="auto"/>
              </w:rPr>
            </w:pPr>
          </w:p>
        </w:tc>
        <w:tc>
          <w:tcPr>
            <w:tcW w:w="68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2019</w:t>
            </w: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2020</w:t>
            </w:r>
          </w:p>
        </w:tc>
        <w:tc>
          <w:tcPr>
            <w:tcW w:w="120" w:type="dxa"/>
            <w:vAlign w:val="bottom"/>
          </w:tcPr>
          <w:p>
            <w:pPr>
              <w:spacing w:after="0"/>
              <w:rPr>
                <w:sz w:val="12"/>
                <w:szCs w:val="12"/>
                <w:color w:val="auto"/>
              </w:rPr>
            </w:pPr>
          </w:p>
        </w:tc>
        <w:tc>
          <w:tcPr>
            <w:tcW w:w="66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2021</w:t>
            </w:r>
          </w:p>
        </w:tc>
        <w:tc>
          <w:tcPr>
            <w:tcW w:w="120" w:type="dxa"/>
            <w:vAlign w:val="bottom"/>
          </w:tcPr>
          <w:p>
            <w:pPr>
              <w:spacing w:after="0"/>
              <w:rPr>
                <w:sz w:val="12"/>
                <w:szCs w:val="12"/>
                <w:color w:val="auto"/>
              </w:rPr>
            </w:pPr>
          </w:p>
        </w:tc>
        <w:tc>
          <w:tcPr>
            <w:tcW w:w="780" w:type="dxa"/>
            <w:vAlign w:val="bottom"/>
            <w:gridSpan w:val="2"/>
            <w:vMerge w:val="continue"/>
          </w:tcPr>
          <w:p>
            <w:pPr>
              <w:spacing w:after="0"/>
              <w:rPr>
                <w:sz w:val="12"/>
                <w:szCs w:val="12"/>
                <w:color w:val="auto"/>
              </w:rPr>
            </w:pPr>
          </w:p>
        </w:tc>
        <w:tc>
          <w:tcPr>
            <w:tcW w:w="780" w:type="dxa"/>
            <w:vAlign w:val="bottom"/>
            <w:gridSpan w:val="2"/>
            <w:vMerge w:val="continue"/>
          </w:tcPr>
          <w:p>
            <w:pPr>
              <w:spacing w:after="0"/>
              <w:rPr>
                <w:sz w:val="12"/>
                <w:szCs w:val="12"/>
                <w:color w:val="auto"/>
              </w:rPr>
            </w:pPr>
          </w:p>
        </w:tc>
        <w:tc>
          <w:tcPr>
            <w:tcW w:w="920" w:type="dxa"/>
            <w:vAlign w:val="bottom"/>
            <w:gridSpan w:val="2"/>
            <w:vMerge w:val="continue"/>
          </w:tcPr>
          <w:p>
            <w:pPr>
              <w:spacing w:after="0"/>
              <w:rPr>
                <w:sz w:val="12"/>
                <w:szCs w:val="12"/>
                <w:color w:val="auto"/>
              </w:rPr>
            </w:pPr>
          </w:p>
        </w:tc>
        <w:tc>
          <w:tcPr>
            <w:tcW w:w="90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94"/>
              </w:rPr>
              <w:t>value</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3900" w:type="dxa"/>
            <w:vAlign w:val="bottom"/>
          </w:tcPr>
          <w:p>
            <w:pPr>
              <w:spacing w:after="0"/>
              <w:rPr>
                <w:sz w:val="14"/>
                <w:szCs w:val="14"/>
                <w:color w:val="auto"/>
              </w:rPr>
            </w:pPr>
          </w:p>
        </w:tc>
        <w:tc>
          <w:tcPr>
            <w:tcW w:w="78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70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vMerge w:val="continue"/>
          </w:tcPr>
          <w:p>
            <w:pPr>
              <w:spacing w:after="0"/>
              <w:rPr>
                <w:sz w:val="14"/>
                <w:szCs w:val="14"/>
                <w:color w:val="auto"/>
              </w:rPr>
            </w:pPr>
          </w:p>
        </w:tc>
        <w:tc>
          <w:tcPr>
            <w:tcW w:w="1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2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tcPr>
          <w:p>
            <w:pPr>
              <w:jc w:val="right"/>
              <w:ind w:right="48"/>
              <w:spacing w:after="0"/>
              <w:rPr>
                <w:sz w:val="20"/>
                <w:szCs w:val="20"/>
                <w:color w:val="auto"/>
              </w:rPr>
            </w:pPr>
            <w:r>
              <w:rPr>
                <w:rFonts w:ascii="Arial" w:cs="Arial" w:eastAsia="Arial" w:hAnsi="Arial"/>
                <w:sz w:val="14"/>
                <w:szCs w:val="14"/>
                <w:b w:val="1"/>
                <w:bCs w:val="1"/>
                <w:color w:val="auto"/>
              </w:rPr>
              <w:t>after</w:t>
            </w:r>
          </w:p>
        </w:tc>
        <w:tc>
          <w:tcPr>
            <w:tcW w:w="12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maturity</w:t>
            </w:r>
          </w:p>
        </w:tc>
        <w:tc>
          <w:tcPr>
            <w:tcW w:w="800" w:type="dxa"/>
            <w:vAlign w:val="bottom"/>
          </w:tcPr>
          <w:p>
            <w:pPr>
              <w:jc w:val="right"/>
              <w:ind w:right="128"/>
              <w:spacing w:after="0"/>
              <w:rPr>
                <w:sz w:val="20"/>
                <w:szCs w:val="20"/>
                <w:color w:val="auto"/>
              </w:rPr>
            </w:pPr>
            <w:r>
              <w:rPr>
                <w:rFonts w:ascii="Arial" w:cs="Arial" w:eastAsia="Arial" w:hAnsi="Arial"/>
                <w:sz w:val="14"/>
                <w:szCs w:val="14"/>
                <w:b w:val="1"/>
                <w:bCs w:val="1"/>
                <w:color w:val="auto"/>
              </w:rPr>
              <w:t>2016</w:t>
            </w:r>
          </w:p>
        </w:tc>
        <w:tc>
          <w:tcPr>
            <w:tcW w:w="120" w:type="dxa"/>
            <w:vAlign w:val="bottom"/>
          </w:tcPr>
          <w:p>
            <w:pPr>
              <w:spacing w:after="0"/>
              <w:rPr>
                <w:sz w:val="14"/>
                <w:szCs w:val="14"/>
                <w:color w:val="auto"/>
              </w:rPr>
            </w:pPr>
          </w:p>
        </w:tc>
        <w:tc>
          <w:tcPr>
            <w:tcW w:w="800" w:type="dxa"/>
            <w:vAlign w:val="bottom"/>
          </w:tcPr>
          <w:p>
            <w:pPr>
              <w:jc w:val="center"/>
              <w:ind w:left="28"/>
              <w:spacing w:after="0"/>
              <w:rPr>
                <w:sz w:val="20"/>
                <w:szCs w:val="20"/>
                <w:color w:val="auto"/>
              </w:rPr>
            </w:pPr>
            <w:r>
              <w:rPr>
                <w:rFonts w:ascii="Arial" w:cs="Arial" w:eastAsia="Arial" w:hAnsi="Arial"/>
                <w:sz w:val="14"/>
                <w:szCs w:val="14"/>
                <w:b w:val="1"/>
                <w:bCs w:val="1"/>
                <w:color w:val="auto"/>
                <w:w w:val="96"/>
              </w:rPr>
              <w:t>2016</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90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5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tcPr>
          <w:p>
            <w:pPr>
              <w:spacing w:after="0"/>
              <w:rPr>
                <w:sz w:val="11"/>
                <w:szCs w:val="11"/>
                <w:color w:val="auto"/>
              </w:rPr>
            </w:pPr>
          </w:p>
        </w:tc>
        <w:tc>
          <w:tcPr>
            <w:tcW w:w="39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20" w:type="dxa"/>
            <w:vAlign w:val="bottom"/>
            <w:gridSpan w:val="2"/>
          </w:tcPr>
          <w:p>
            <w:pPr>
              <w:jc w:val="right"/>
              <w:spacing w:after="0" w:line="129" w:lineRule="exact"/>
              <w:rPr>
                <w:sz w:val="20"/>
                <w:szCs w:val="20"/>
                <w:color w:val="auto"/>
              </w:rPr>
            </w:pPr>
            <w:r>
              <w:rPr>
                <w:rFonts w:ascii="Arial" w:cs="Arial" w:eastAsia="Arial" w:hAnsi="Arial"/>
                <w:sz w:val="14"/>
                <w:szCs w:val="14"/>
                <w:b w:val="1"/>
                <w:bCs w:val="1"/>
                <w:color w:val="auto"/>
                <w:w w:val="91"/>
              </w:rPr>
              <w:t>($ Equivalent</w:t>
            </w:r>
          </w:p>
        </w:tc>
        <w:tc>
          <w:tcPr>
            <w:tcW w:w="820" w:type="dxa"/>
            <w:vAlign w:val="bottom"/>
            <w:gridSpan w:val="2"/>
          </w:tcPr>
          <w:p>
            <w:pPr>
              <w:jc w:val="right"/>
              <w:spacing w:after="0" w:line="129" w:lineRule="exact"/>
              <w:rPr>
                <w:sz w:val="20"/>
                <w:szCs w:val="20"/>
                <w:color w:val="auto"/>
              </w:rPr>
            </w:pPr>
            <w:r>
              <w:rPr>
                <w:rFonts w:ascii="Arial" w:cs="Arial" w:eastAsia="Arial" w:hAnsi="Arial"/>
                <w:sz w:val="14"/>
                <w:szCs w:val="14"/>
                <w:b w:val="1"/>
                <w:bCs w:val="1"/>
                <w:color w:val="auto"/>
                <w:w w:val="87"/>
              </w:rPr>
              <w:t>in thousands)</w:t>
            </w: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ASSETS:</w:t>
            </w: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b w:val="1"/>
                <w:bCs w:val="1"/>
                <w:color w:val="auto"/>
              </w:rPr>
              <w:t>Investment Securities</w:t>
            </w: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Fixed rate</w:t>
            </w: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U.S. Dollars</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3,987</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24,772</w:t>
            </w:r>
          </w:p>
        </w:tc>
        <w:tc>
          <w:tcPr>
            <w:tcW w:w="16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10,153</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42,607</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18,905</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100,423</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99,013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3.50%</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8.26%</w:t>
            </w: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5.02%</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4.70%</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4.09%</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5.45%</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color w:val="auto"/>
              </w:rPr>
              <w:t>Floating rate</w:t>
            </w: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8,000</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8,000</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8,000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Average floating rate</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2.37%</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2.37%</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Loans</w:t>
            </w: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color w:val="auto"/>
              </w:rPr>
              <w:t>Fixed rate</w:t>
            </w: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2,487,723</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27,657</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2,147</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397</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2,517,924</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2,522,771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3.18%</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4.01%</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4.95%</w:t>
            </w:r>
          </w:p>
        </w:tc>
        <w:tc>
          <w:tcPr>
            <w:tcW w:w="160" w:type="dxa"/>
            <w:vAlign w:val="bottom"/>
          </w:tcPr>
          <w:p>
            <w:pPr>
              <w:spacing w:after="0"/>
              <w:rPr>
                <w:sz w:val="12"/>
                <w:szCs w:val="12"/>
                <w:color w:val="auto"/>
              </w:rPr>
            </w:pPr>
          </w:p>
        </w:tc>
        <w:tc>
          <w:tcPr>
            <w:tcW w:w="6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5.08%</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3.19%</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Mexican Peso</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165,113</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9,985</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7,919</w:t>
            </w: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6,239</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2,374</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191,631</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196,351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7.68%</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8.00%</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8.11%</w:t>
            </w:r>
          </w:p>
        </w:tc>
        <w:tc>
          <w:tcPr>
            <w:tcW w:w="160" w:type="dxa"/>
            <w:vAlign w:val="bottom"/>
          </w:tcPr>
          <w:p>
            <w:pPr>
              <w:spacing w:after="0"/>
              <w:rPr>
                <w:sz w:val="12"/>
                <w:szCs w:val="12"/>
                <w:color w:val="auto"/>
              </w:rPr>
            </w:pPr>
          </w:p>
        </w:tc>
        <w:tc>
          <w:tcPr>
            <w:tcW w:w="6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7.76%</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8.51%</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7.73%</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Floating rate</w:t>
            </w: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U.S. Dollars</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1,884,275</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685,445</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416,579</w:t>
            </w:r>
          </w:p>
        </w:tc>
        <w:tc>
          <w:tcPr>
            <w:tcW w:w="16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8"/>
              </w:rPr>
              <w:t>152,079</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56,042</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12,807</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3,207,227</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3,304,614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floating rate</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3.56%</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4.43%</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4.66%</w:t>
            </w: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4.64%</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5.20%</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5.42%</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3.98%</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Mexican Peso</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24,367</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32,618</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18,208</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11,728</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11,537</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5,491</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103,949</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110,507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floating rate</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9.47%</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9.29%</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9.17%</w:t>
            </w: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9.11%</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9.00%</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8.99%</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9.24%</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9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3900" w:type="dxa"/>
            <w:vAlign w:val="bottom"/>
          </w:tcPr>
          <w:p>
            <w:pPr>
              <w:spacing w:after="0" w:line="189" w:lineRule="exact"/>
              <w:rPr>
                <w:sz w:val="20"/>
                <w:szCs w:val="20"/>
                <w:color w:val="auto"/>
              </w:rPr>
            </w:pPr>
            <w:r>
              <w:rPr>
                <w:rFonts w:ascii="Arial" w:cs="Arial" w:eastAsia="Arial" w:hAnsi="Arial"/>
                <w:sz w:val="13"/>
                <w:szCs w:val="13"/>
                <w:b w:val="1"/>
                <w:bCs w:val="1"/>
                <w:color w:val="auto"/>
              </w:rPr>
              <w:t xml:space="preserve">Borrowings and Placements </w:t>
            </w:r>
            <w:r>
              <w:rPr>
                <w:rFonts w:ascii="Arial" w:cs="Arial" w:eastAsia="Arial" w:hAnsi="Arial"/>
                <w:sz w:val="21"/>
                <w:szCs w:val="21"/>
                <w:b w:val="1"/>
                <w:bCs w:val="1"/>
                <w:color w:val="auto"/>
                <w:vertAlign w:val="superscript"/>
              </w:rPr>
              <w:t>(1)</w:t>
            </w:r>
          </w:p>
        </w:tc>
        <w:tc>
          <w:tcPr>
            <w:tcW w:w="7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Fixed rate</w:t>
            </w: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U.S. Dollars</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1,237,883</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8"/>
              </w:rPr>
              <w:t>347,238</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4,828</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1,589,949</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1,597,952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2.08%</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3.25%</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2.85%</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2.34%</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Mexican Peso</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10,374</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9,715</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7,581</w:t>
            </w:r>
          </w:p>
        </w:tc>
        <w:tc>
          <w:tcPr>
            <w:tcW w:w="16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6,179</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2,374</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36,223</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41,406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5.94%</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6.10%</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6.40%</w:t>
            </w: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6.83%</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8.12%</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6.37%</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Euro Dollar</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52,574</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52,574</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63,868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3.75%</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3.75%</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Japanese Yen</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25,651</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69,586</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95,238</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91,699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0.70%</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0.46%</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0.53%</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Australian Dollar</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21,717</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21,717</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22,107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fixed rate</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3.33%</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3.33%</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color w:val="auto"/>
              </w:rPr>
              <w:t>Floating rate</w:t>
            </w: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682,045</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405,000</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186,000</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1,273,045</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1,278,544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Average floating rate</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1.35%</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1.94%</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2.19%</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1.66%</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Mexican Peso</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112,773</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70,425</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183,199</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182,698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Average floating rate</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6.49%</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6.19%</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6.38%</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9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b w:val="1"/>
                <w:bCs w:val="1"/>
                <w:color w:val="auto"/>
              </w:rPr>
              <w:t>INTEREST SWAPS:</w:t>
            </w: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 Rate Swaps – Investment Securities</w:t>
            </w: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U.S. Dollars fixed to floating</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4,500</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5,000</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13,200</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22,700</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22,428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pay rate</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9.75%</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3.25%</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4.26%</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5.13%</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Average receive rate</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8.87%</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2.21%</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3.06%</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4.02%</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 Rate Swaps – Loans</w:t>
            </w: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U.S. Dollars fixed to floating</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18,487</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18,487</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18,524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pay rate</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3.80%</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3.80%</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Average receive rate</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3.41%</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3.41%</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 Rate Swaps – Borrowings</w:t>
            </w: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U.S. Dollars fixed to floating</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632,000</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50,000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17,000</w:t>
            </w:r>
          </w:p>
        </w:tc>
        <w:tc>
          <w:tcPr>
            <w:tcW w:w="16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13,000</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40,000</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752,000</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750,704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pay rate</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1.31%</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1.91%</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1.87%</w:t>
            </w: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2.12%</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2.30%</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1.43%</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Average receive rate</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1.30%</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1.64%</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0.58%</w:t>
            </w:r>
          </w:p>
        </w:tc>
        <w:tc>
          <w:tcPr>
            <w:tcW w:w="160" w:type="dxa"/>
            <w:vAlign w:val="bottom"/>
          </w:tcPr>
          <w:p>
            <w:pPr>
              <w:spacing w:after="0"/>
              <w:rPr>
                <w:sz w:val="12"/>
                <w:szCs w:val="12"/>
                <w:color w:val="auto"/>
              </w:rPr>
            </w:pPr>
          </w:p>
        </w:tc>
        <w:tc>
          <w:tcPr>
            <w:tcW w:w="6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0.59%</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0.58%</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1.25%</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 Rate Swaps – Issuances</w:t>
            </w: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ind w:left="160"/>
              <w:spacing w:after="0" w:line="149" w:lineRule="exact"/>
              <w:rPr>
                <w:sz w:val="20"/>
                <w:szCs w:val="20"/>
                <w:color w:val="auto"/>
              </w:rPr>
            </w:pPr>
            <w:r>
              <w:rPr>
                <w:rFonts w:ascii="Arial" w:cs="Arial" w:eastAsia="Arial" w:hAnsi="Arial"/>
                <w:sz w:val="14"/>
                <w:szCs w:val="14"/>
                <w:color w:val="auto"/>
              </w:rPr>
              <w:t>U.S. Dollars fixed to floating</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400,000</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6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8"/>
              </w:rPr>
              <w:t>350,000</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5,000</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755,000</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753,285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Average pay rate</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3.68%</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2.54%</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2.62%</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3.14%</w:t>
            </w: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3900" w:type="dxa"/>
            <w:vAlign w:val="bottom"/>
          </w:tcPr>
          <w:p>
            <w:pPr>
              <w:ind w:left="160"/>
              <w:spacing w:after="0"/>
              <w:rPr>
                <w:sz w:val="20"/>
                <w:szCs w:val="20"/>
                <w:color w:val="auto"/>
              </w:rPr>
            </w:pPr>
            <w:r>
              <w:rPr>
                <w:rFonts w:ascii="Arial" w:cs="Arial" w:eastAsia="Arial" w:hAnsi="Arial"/>
                <w:sz w:val="14"/>
                <w:szCs w:val="14"/>
                <w:color w:val="auto"/>
              </w:rPr>
              <w:t>Average receive rate</w:t>
            </w:r>
          </w:p>
        </w:tc>
        <w:tc>
          <w:tcPr>
            <w:tcW w:w="900" w:type="dxa"/>
            <w:vAlign w:val="bottom"/>
            <w:gridSpan w:val="2"/>
          </w:tcPr>
          <w:p>
            <w:pPr>
              <w:jc w:val="right"/>
              <w:spacing w:after="0"/>
              <w:rPr>
                <w:sz w:val="20"/>
                <w:szCs w:val="20"/>
                <w:color w:val="auto"/>
              </w:rPr>
            </w:pPr>
            <w:r>
              <w:rPr>
                <w:rFonts w:ascii="Arial" w:cs="Arial" w:eastAsia="Arial" w:hAnsi="Arial"/>
                <w:sz w:val="14"/>
                <w:szCs w:val="14"/>
                <w:color w:val="auto"/>
              </w:rPr>
              <w:t>3.75%</w:t>
            </w:r>
          </w:p>
        </w:tc>
        <w:tc>
          <w:tcPr>
            <w:tcW w:w="82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60" w:type="dxa"/>
            <w:vAlign w:val="bottom"/>
          </w:tcPr>
          <w:p>
            <w:pPr>
              <w:spacing w:after="0"/>
              <w:rPr>
                <w:sz w:val="15"/>
                <w:szCs w:val="15"/>
                <w:color w:val="auto"/>
              </w:rPr>
            </w:pPr>
          </w:p>
        </w:tc>
        <w:tc>
          <w:tcPr>
            <w:tcW w:w="640" w:type="dxa"/>
            <w:vAlign w:val="bottom"/>
            <w:gridSpan w:val="2"/>
          </w:tcPr>
          <w:p>
            <w:pPr>
              <w:jc w:val="right"/>
              <w:spacing w:after="0"/>
              <w:rPr>
                <w:sz w:val="20"/>
                <w:szCs w:val="20"/>
                <w:color w:val="auto"/>
              </w:rPr>
            </w:pPr>
            <w:r>
              <w:rPr>
                <w:rFonts w:ascii="Arial" w:cs="Arial" w:eastAsia="Arial" w:hAnsi="Arial"/>
                <w:sz w:val="14"/>
                <w:szCs w:val="14"/>
                <w:color w:val="auto"/>
              </w:rPr>
              <w:t>3.25%</w:t>
            </w:r>
          </w:p>
        </w:tc>
        <w:tc>
          <w:tcPr>
            <w:tcW w:w="780" w:type="dxa"/>
            <w:vAlign w:val="bottom"/>
            <w:gridSpan w:val="2"/>
          </w:tcPr>
          <w:p>
            <w:pPr>
              <w:jc w:val="right"/>
              <w:spacing w:after="0"/>
              <w:rPr>
                <w:sz w:val="20"/>
                <w:szCs w:val="20"/>
                <w:color w:val="auto"/>
              </w:rPr>
            </w:pPr>
            <w:r>
              <w:rPr>
                <w:rFonts w:ascii="Arial" w:cs="Arial" w:eastAsia="Arial" w:hAnsi="Arial"/>
                <w:sz w:val="14"/>
                <w:szCs w:val="14"/>
                <w:color w:val="auto"/>
              </w:rPr>
              <w:t>2.85%</w:t>
            </w:r>
          </w:p>
        </w:tc>
        <w:tc>
          <w:tcPr>
            <w:tcW w:w="66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5"/>
                <w:szCs w:val="15"/>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rPr>
                <w:sz w:val="20"/>
                <w:szCs w:val="20"/>
                <w:color w:val="auto"/>
              </w:rPr>
            </w:pPr>
            <w:r>
              <w:rPr>
                <w:rFonts w:ascii="Arial" w:cs="Arial" w:eastAsia="Arial" w:hAnsi="Arial"/>
                <w:sz w:val="14"/>
                <w:szCs w:val="14"/>
                <w:color w:val="auto"/>
              </w:rPr>
              <w:t>3.51%</w:t>
            </w: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38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1" w:name="page112"/>
    <w:bookmarkEnd w:id="111"/>
    <w:p>
      <w:pPr>
        <w:jc w:val="center"/>
        <w:spacing w:after="0"/>
        <w:rPr>
          <w:sz w:val="20"/>
          <w:szCs w:val="20"/>
          <w:color w:val="auto"/>
        </w:rPr>
      </w:pPr>
      <w:r>
        <w:rPr>
          <w:rFonts w:ascii="Arial" w:cs="Arial" w:eastAsia="Arial" w:hAnsi="Arial"/>
          <w:sz w:val="14"/>
          <w:szCs w:val="14"/>
          <w:b w:val="1"/>
          <w:bCs w:val="1"/>
          <w:color w:val="auto"/>
        </w:rPr>
        <w:t>Expected maturity date</w:t>
      </w:r>
    </w:p>
    <w:p>
      <w:pPr>
        <w:spacing w:after="0" w:line="10" w:lineRule="exact"/>
        <w:rPr>
          <w:sz w:val="20"/>
          <w:szCs w:val="20"/>
          <w:color w:val="auto"/>
        </w:rPr>
      </w:pPr>
    </w:p>
    <w:tbl>
      <w:tblPr>
        <w:tblLayout w:type="fixed"/>
        <w:tblInd w:w="0" w:type="dxa"/>
        <w:tblCellMar>
          <w:top w:w="0" w:type="dxa"/>
          <w:left w:w="0" w:type="dxa"/>
          <w:bottom w:w="0" w:type="dxa"/>
          <w:right w:w="0" w:type="dxa"/>
        </w:tblCellMar>
      </w:tblPr>
      <w:tr>
        <w:trPr>
          <w:trHeight w:val="119"/>
        </w:trPr>
        <w:tc>
          <w:tcPr>
            <w:tcW w:w="20" w:type="dxa"/>
            <w:vAlign w:val="bottom"/>
          </w:tcPr>
          <w:p>
            <w:pPr>
              <w:spacing w:after="0"/>
              <w:rPr>
                <w:sz w:val="10"/>
                <w:szCs w:val="10"/>
                <w:color w:val="auto"/>
              </w:rPr>
            </w:pPr>
          </w:p>
        </w:tc>
        <w:tc>
          <w:tcPr>
            <w:tcW w:w="4220" w:type="dxa"/>
            <w:vAlign w:val="bottom"/>
            <w:tcBorders>
              <w:top w:val="single" w:sz="8" w:color="auto"/>
            </w:tcBorders>
          </w:tcPr>
          <w:p>
            <w:pPr>
              <w:spacing w:after="0"/>
              <w:rPr>
                <w:sz w:val="10"/>
                <w:szCs w:val="10"/>
                <w:color w:val="auto"/>
              </w:rPr>
            </w:pPr>
          </w:p>
        </w:tc>
        <w:tc>
          <w:tcPr>
            <w:tcW w:w="720" w:type="dxa"/>
            <w:vAlign w:val="bottom"/>
            <w:tcBorders>
              <w:top w:val="single" w:sz="8" w:color="auto"/>
            </w:tcBorders>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gridSpan w:val="2"/>
            <w:vMerge w:val="restart"/>
          </w:tcPr>
          <w:p>
            <w:pPr>
              <w:jc w:val="center"/>
              <w:ind w:right="20"/>
              <w:spacing w:after="0"/>
              <w:rPr>
                <w:sz w:val="20"/>
                <w:szCs w:val="20"/>
                <w:color w:val="auto"/>
              </w:rPr>
            </w:pPr>
            <w:r>
              <w:rPr>
                <w:rFonts w:ascii="Arial" w:cs="Arial" w:eastAsia="Arial" w:hAnsi="Arial"/>
                <w:sz w:val="14"/>
                <w:szCs w:val="14"/>
                <w:b w:val="1"/>
                <w:bCs w:val="1"/>
                <w:color w:val="auto"/>
                <w:w w:val="98"/>
              </w:rPr>
              <w:t>There-</w:t>
            </w:r>
          </w:p>
        </w:tc>
        <w:tc>
          <w:tcPr>
            <w:tcW w:w="760" w:type="dxa"/>
            <w:vAlign w:val="bottom"/>
            <w:tcBorders>
              <w:top w:val="single" w:sz="8" w:color="auto"/>
            </w:tcBorders>
            <w:gridSpan w:val="2"/>
            <w:vMerge w:val="restart"/>
          </w:tcPr>
          <w:p>
            <w:pPr>
              <w:ind w:left="120"/>
              <w:spacing w:after="0"/>
              <w:rPr>
                <w:sz w:val="20"/>
                <w:szCs w:val="20"/>
                <w:color w:val="auto"/>
              </w:rPr>
            </w:pPr>
            <w:r>
              <w:rPr>
                <w:rFonts w:ascii="Arial" w:cs="Arial" w:eastAsia="Arial" w:hAnsi="Arial"/>
                <w:sz w:val="14"/>
                <w:szCs w:val="14"/>
                <w:b w:val="1"/>
                <w:bCs w:val="1"/>
                <w:color w:val="auto"/>
              </w:rPr>
              <w:t>Without</w:t>
            </w:r>
          </w:p>
        </w:tc>
        <w:tc>
          <w:tcPr>
            <w:tcW w:w="820" w:type="dxa"/>
            <w:vAlign w:val="bottom"/>
            <w:tcBorders>
              <w:top w:val="single" w:sz="8" w:color="auto"/>
            </w:tcBorders>
            <w:gridSpan w:val="2"/>
            <w:vMerge w:val="restart"/>
          </w:tcPr>
          <w:p>
            <w:pPr>
              <w:jc w:val="right"/>
              <w:ind w:right="260"/>
              <w:spacing w:after="0"/>
              <w:rPr>
                <w:sz w:val="20"/>
                <w:szCs w:val="20"/>
                <w:color w:val="auto"/>
              </w:rPr>
            </w:pPr>
            <w:r>
              <w:rPr>
                <w:rFonts w:ascii="Arial" w:cs="Arial" w:eastAsia="Arial" w:hAnsi="Arial"/>
                <w:sz w:val="14"/>
                <w:szCs w:val="14"/>
                <w:b w:val="1"/>
                <w:bCs w:val="1"/>
                <w:color w:val="auto"/>
              </w:rPr>
              <w:t>Total</w:t>
            </w:r>
          </w:p>
        </w:tc>
        <w:tc>
          <w:tcPr>
            <w:tcW w:w="760" w:type="dxa"/>
            <w:vAlign w:val="bottom"/>
            <w:tcBorders>
              <w:top w:val="single" w:sz="8" w:color="auto"/>
            </w:tcBorders>
            <w:gridSpan w:val="2"/>
          </w:tcPr>
          <w:p>
            <w:pPr>
              <w:jc w:val="center"/>
              <w:ind w:right="20"/>
              <w:spacing w:after="0" w:line="119" w:lineRule="exact"/>
              <w:rPr>
                <w:sz w:val="20"/>
                <w:szCs w:val="20"/>
                <w:color w:val="auto"/>
              </w:rPr>
            </w:pPr>
            <w:r>
              <w:rPr>
                <w:rFonts w:ascii="Arial" w:cs="Arial" w:eastAsia="Arial" w:hAnsi="Arial"/>
                <w:sz w:val="13"/>
                <w:szCs w:val="13"/>
                <w:b w:val="1"/>
                <w:bCs w:val="1"/>
                <w:color w:val="auto"/>
              </w:rPr>
              <w:t>Fair</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rPr>
                <w:sz w:val="12"/>
                <w:szCs w:val="12"/>
                <w:color w:val="auto"/>
              </w:rPr>
            </w:pPr>
          </w:p>
        </w:tc>
        <w:tc>
          <w:tcPr>
            <w:tcW w:w="72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rPr>
              <w:t>2017</w:t>
            </w:r>
          </w:p>
        </w:tc>
        <w:tc>
          <w:tcPr>
            <w:tcW w:w="140" w:type="dxa"/>
            <w:vAlign w:val="bottom"/>
          </w:tcPr>
          <w:p>
            <w:pPr>
              <w:spacing w:after="0"/>
              <w:rPr>
                <w:sz w:val="12"/>
                <w:szCs w:val="12"/>
                <w:color w:val="auto"/>
              </w:rPr>
            </w:pPr>
          </w:p>
        </w:tc>
        <w:tc>
          <w:tcPr>
            <w:tcW w:w="70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2018</w:t>
            </w:r>
          </w:p>
        </w:tc>
        <w:tc>
          <w:tcPr>
            <w:tcW w:w="120" w:type="dxa"/>
            <w:vAlign w:val="bottom"/>
          </w:tcPr>
          <w:p>
            <w:pPr>
              <w:spacing w:after="0"/>
              <w:rPr>
                <w:sz w:val="12"/>
                <w:szCs w:val="12"/>
                <w:color w:val="auto"/>
              </w:rPr>
            </w:pPr>
          </w:p>
        </w:tc>
        <w:tc>
          <w:tcPr>
            <w:tcW w:w="70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rPr>
              <w:t>2019</w:t>
            </w:r>
          </w:p>
        </w:tc>
        <w:tc>
          <w:tcPr>
            <w:tcW w:w="120" w:type="dxa"/>
            <w:vAlign w:val="bottom"/>
          </w:tcPr>
          <w:p>
            <w:pPr>
              <w:spacing w:after="0"/>
              <w:rPr>
                <w:sz w:val="12"/>
                <w:szCs w:val="12"/>
                <w:color w:val="auto"/>
              </w:rPr>
            </w:pPr>
          </w:p>
        </w:tc>
        <w:tc>
          <w:tcPr>
            <w:tcW w:w="66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2020</w:t>
            </w:r>
          </w:p>
        </w:tc>
        <w:tc>
          <w:tcPr>
            <w:tcW w:w="120" w:type="dxa"/>
            <w:vAlign w:val="bottom"/>
          </w:tcPr>
          <w:p>
            <w:pPr>
              <w:spacing w:after="0"/>
              <w:rPr>
                <w:sz w:val="12"/>
                <w:szCs w:val="12"/>
                <w:color w:val="auto"/>
              </w:rPr>
            </w:pPr>
          </w:p>
        </w:tc>
        <w:tc>
          <w:tcPr>
            <w:tcW w:w="660" w:type="dxa"/>
            <w:vAlign w:val="bottom"/>
            <w:vMerge w:val="restart"/>
          </w:tcPr>
          <w:p>
            <w:pPr>
              <w:jc w:val="right"/>
              <w:ind w:right="68"/>
              <w:spacing w:after="0"/>
              <w:rPr>
                <w:sz w:val="20"/>
                <w:szCs w:val="20"/>
                <w:color w:val="auto"/>
              </w:rPr>
            </w:pPr>
            <w:r>
              <w:rPr>
                <w:rFonts w:ascii="Arial" w:cs="Arial" w:eastAsia="Arial" w:hAnsi="Arial"/>
                <w:sz w:val="14"/>
                <w:szCs w:val="14"/>
                <w:b w:val="1"/>
                <w:bCs w:val="1"/>
                <w:color w:val="auto"/>
              </w:rPr>
              <w:t>2021</w:t>
            </w:r>
          </w:p>
        </w:tc>
        <w:tc>
          <w:tcPr>
            <w:tcW w:w="100" w:type="dxa"/>
            <w:vAlign w:val="bottom"/>
          </w:tcPr>
          <w:p>
            <w:pPr>
              <w:spacing w:after="0"/>
              <w:rPr>
                <w:sz w:val="12"/>
                <w:szCs w:val="12"/>
                <w:color w:val="auto"/>
              </w:rPr>
            </w:pPr>
          </w:p>
        </w:tc>
        <w:tc>
          <w:tcPr>
            <w:tcW w:w="800" w:type="dxa"/>
            <w:vAlign w:val="bottom"/>
            <w:gridSpan w:val="2"/>
            <w:vMerge w:val="continue"/>
          </w:tcPr>
          <w:p>
            <w:pPr>
              <w:spacing w:after="0"/>
              <w:rPr>
                <w:sz w:val="12"/>
                <w:szCs w:val="12"/>
                <w:color w:val="auto"/>
              </w:rPr>
            </w:pPr>
          </w:p>
        </w:tc>
        <w:tc>
          <w:tcPr>
            <w:tcW w:w="760" w:type="dxa"/>
            <w:vAlign w:val="bottom"/>
            <w:gridSpan w:val="2"/>
            <w:vMerge w:val="continue"/>
          </w:tcPr>
          <w:p>
            <w:pPr>
              <w:spacing w:after="0"/>
              <w:rPr>
                <w:sz w:val="12"/>
                <w:szCs w:val="12"/>
                <w:color w:val="auto"/>
              </w:rPr>
            </w:pPr>
          </w:p>
        </w:tc>
        <w:tc>
          <w:tcPr>
            <w:tcW w:w="820" w:type="dxa"/>
            <w:vAlign w:val="bottom"/>
            <w:gridSpan w:val="2"/>
            <w:vMerge w:val="continue"/>
          </w:tcPr>
          <w:p>
            <w:pPr>
              <w:spacing w:after="0"/>
              <w:rPr>
                <w:sz w:val="12"/>
                <w:szCs w:val="12"/>
                <w:color w:val="auto"/>
              </w:rPr>
            </w:pPr>
          </w:p>
        </w:tc>
        <w:tc>
          <w:tcPr>
            <w:tcW w:w="76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89"/>
              </w:rPr>
              <w:t>value</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220" w:type="dxa"/>
            <w:vAlign w:val="bottom"/>
          </w:tcPr>
          <w:p>
            <w:pPr>
              <w:spacing w:after="0"/>
              <w:rPr>
                <w:sz w:val="14"/>
                <w:szCs w:val="14"/>
                <w:color w:val="auto"/>
              </w:rPr>
            </w:pPr>
          </w:p>
        </w:tc>
        <w:tc>
          <w:tcPr>
            <w:tcW w:w="720" w:type="dxa"/>
            <w:vAlign w:val="bottom"/>
            <w:tcBorders>
              <w:bottom w:val="single" w:sz="8" w:color="auto"/>
            </w:tcBorders>
            <w:vMerge w:val="continue"/>
          </w:tcPr>
          <w:p>
            <w:pPr>
              <w:spacing w:after="0"/>
              <w:rPr>
                <w:sz w:val="14"/>
                <w:szCs w:val="14"/>
                <w:color w:val="auto"/>
              </w:rPr>
            </w:pPr>
          </w:p>
        </w:tc>
        <w:tc>
          <w:tcPr>
            <w:tcW w:w="140" w:type="dxa"/>
            <w:vAlign w:val="bottom"/>
          </w:tcPr>
          <w:p>
            <w:pPr>
              <w:spacing w:after="0"/>
              <w:rPr>
                <w:sz w:val="14"/>
                <w:szCs w:val="14"/>
                <w:color w:val="auto"/>
              </w:rPr>
            </w:pPr>
          </w:p>
        </w:tc>
        <w:tc>
          <w:tcPr>
            <w:tcW w:w="700" w:type="dxa"/>
            <w:vAlign w:val="bottom"/>
            <w:tcBorders>
              <w:bottom w:val="single" w:sz="8" w:color="auto"/>
            </w:tcBorders>
            <w:vMerge w:val="continue"/>
          </w:tcPr>
          <w:p>
            <w:pPr>
              <w:spacing w:after="0"/>
              <w:rPr>
                <w:sz w:val="14"/>
                <w:szCs w:val="14"/>
                <w:color w:val="auto"/>
              </w:rPr>
            </w:pPr>
          </w:p>
        </w:tc>
        <w:tc>
          <w:tcPr>
            <w:tcW w:w="120" w:type="dxa"/>
            <w:vAlign w:val="bottom"/>
          </w:tcPr>
          <w:p>
            <w:pPr>
              <w:spacing w:after="0"/>
              <w:rPr>
                <w:sz w:val="14"/>
                <w:szCs w:val="14"/>
                <w:color w:val="auto"/>
              </w:rPr>
            </w:pPr>
          </w:p>
        </w:tc>
        <w:tc>
          <w:tcPr>
            <w:tcW w:w="700" w:type="dxa"/>
            <w:vAlign w:val="bottom"/>
            <w:tcBorders>
              <w:bottom w:val="single" w:sz="8" w:color="auto"/>
            </w:tcBorders>
            <w:vMerge w:val="continue"/>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tcBorders>
              <w:bottom w:val="single" w:sz="8" w:color="auto"/>
            </w:tcBorders>
            <w:vMerge w:val="continue"/>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tcBorders>
              <w:bottom w:val="single" w:sz="8" w:color="auto"/>
            </w:tcBorders>
            <w:vMerge w:val="continue"/>
          </w:tcPr>
          <w:p>
            <w:pPr>
              <w:spacing w:after="0"/>
              <w:rPr>
                <w:sz w:val="14"/>
                <w:szCs w:val="14"/>
                <w:color w:val="auto"/>
              </w:rPr>
            </w:pPr>
          </w:p>
        </w:tc>
        <w:tc>
          <w:tcPr>
            <w:tcW w:w="100" w:type="dxa"/>
            <w:vAlign w:val="bottom"/>
          </w:tcPr>
          <w:p>
            <w:pPr>
              <w:spacing w:after="0"/>
              <w:rPr>
                <w:sz w:val="14"/>
                <w:szCs w:val="14"/>
                <w:color w:val="auto"/>
              </w:rPr>
            </w:pPr>
          </w:p>
        </w:tc>
        <w:tc>
          <w:tcPr>
            <w:tcW w:w="660" w:type="dxa"/>
            <w:vAlign w:val="bottom"/>
            <w:tcBorders>
              <w:bottom w:val="single" w:sz="8" w:color="auto"/>
            </w:tcBorders>
          </w:tcPr>
          <w:p>
            <w:pPr>
              <w:jc w:val="center"/>
              <w:ind w:left="48"/>
              <w:spacing w:after="0"/>
              <w:rPr>
                <w:sz w:val="20"/>
                <w:szCs w:val="20"/>
                <w:color w:val="auto"/>
              </w:rPr>
            </w:pPr>
            <w:r>
              <w:rPr>
                <w:rFonts w:ascii="Arial" w:cs="Arial" w:eastAsia="Arial" w:hAnsi="Arial"/>
                <w:sz w:val="14"/>
                <w:szCs w:val="14"/>
                <w:b w:val="1"/>
                <w:bCs w:val="1"/>
                <w:color w:val="auto"/>
                <w:w w:val="98"/>
              </w:rPr>
              <w:t>after</w:t>
            </w:r>
          </w:p>
        </w:tc>
        <w:tc>
          <w:tcPr>
            <w:tcW w:w="140" w:type="dxa"/>
            <w:vAlign w:val="bottom"/>
          </w:tcPr>
          <w:p>
            <w:pPr>
              <w:spacing w:after="0"/>
              <w:rPr>
                <w:sz w:val="14"/>
                <w:szCs w:val="14"/>
                <w:color w:val="auto"/>
              </w:rPr>
            </w:pP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maturity</w:t>
            </w:r>
          </w:p>
        </w:tc>
        <w:tc>
          <w:tcPr>
            <w:tcW w:w="100" w:type="dxa"/>
            <w:vAlign w:val="bottom"/>
          </w:tcPr>
          <w:p>
            <w:pPr>
              <w:spacing w:after="0"/>
              <w:rPr>
                <w:sz w:val="14"/>
                <w:szCs w:val="14"/>
                <w:color w:val="auto"/>
              </w:rPr>
            </w:pPr>
          </w:p>
        </w:tc>
        <w:tc>
          <w:tcPr>
            <w:tcW w:w="680" w:type="dxa"/>
            <w:vAlign w:val="bottom"/>
            <w:tcBorders>
              <w:bottom w:val="single" w:sz="8" w:color="auto"/>
            </w:tcBorders>
          </w:tcPr>
          <w:p>
            <w:pPr>
              <w:jc w:val="right"/>
              <w:ind w:right="68"/>
              <w:spacing w:after="0"/>
              <w:rPr>
                <w:sz w:val="20"/>
                <w:szCs w:val="20"/>
                <w:color w:val="auto"/>
              </w:rPr>
            </w:pPr>
            <w:r>
              <w:rPr>
                <w:rFonts w:ascii="Arial" w:cs="Arial" w:eastAsia="Arial" w:hAnsi="Arial"/>
                <w:sz w:val="14"/>
                <w:szCs w:val="14"/>
                <w:b w:val="1"/>
                <w:bCs w:val="1"/>
                <w:color w:val="auto"/>
              </w:rPr>
              <w:t>2016</w:t>
            </w:r>
          </w:p>
        </w:tc>
        <w:tc>
          <w:tcPr>
            <w:tcW w:w="140" w:type="dxa"/>
            <w:vAlign w:val="bottom"/>
          </w:tcPr>
          <w:p>
            <w:pPr>
              <w:spacing w:after="0"/>
              <w:rPr>
                <w:sz w:val="14"/>
                <w:szCs w:val="14"/>
                <w:color w:val="auto"/>
              </w:rPr>
            </w:pPr>
          </w:p>
        </w:tc>
        <w:tc>
          <w:tcPr>
            <w:tcW w:w="660" w:type="dxa"/>
            <w:vAlign w:val="bottom"/>
            <w:tcBorders>
              <w:bottom w:val="single" w:sz="8" w:color="auto"/>
            </w:tcBorders>
          </w:tcPr>
          <w:p>
            <w:pPr>
              <w:jc w:val="center"/>
              <w:ind w:left="29"/>
              <w:spacing w:after="0"/>
              <w:rPr>
                <w:sz w:val="20"/>
                <w:szCs w:val="20"/>
                <w:color w:val="auto"/>
              </w:rPr>
            </w:pPr>
            <w:r>
              <w:rPr>
                <w:rFonts w:ascii="Arial" w:cs="Arial" w:eastAsia="Arial" w:hAnsi="Arial"/>
                <w:sz w:val="14"/>
                <w:szCs w:val="14"/>
                <w:b w:val="1"/>
                <w:bCs w:val="1"/>
                <w:color w:val="auto"/>
                <w:w w:val="89"/>
              </w:rPr>
              <w:t>2016</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20" w:type="dxa"/>
            <w:vAlign w:val="bottom"/>
          </w:tcPr>
          <w:p>
            <w:pPr>
              <w:spacing w:after="0"/>
              <w:rPr>
                <w:sz w:val="15"/>
                <w:szCs w:val="15"/>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w:t>
            </w:r>
          </w:p>
        </w:tc>
        <w:tc>
          <w:tcPr>
            <w:tcW w:w="820" w:type="dxa"/>
            <w:vAlign w:val="bottom"/>
            <w:gridSpan w:val="2"/>
          </w:tcPr>
          <w:p>
            <w:pPr>
              <w:jc w:val="right"/>
              <w:ind w:right="60"/>
              <w:spacing w:after="0"/>
              <w:rPr>
                <w:sz w:val="20"/>
                <w:szCs w:val="20"/>
                <w:color w:val="auto"/>
              </w:rPr>
            </w:pPr>
            <w:r>
              <w:rPr>
                <w:rFonts w:ascii="Arial" w:cs="Arial" w:eastAsia="Arial" w:hAnsi="Arial"/>
                <w:sz w:val="14"/>
                <w:szCs w:val="14"/>
                <w:b w:val="1"/>
                <w:bCs w:val="1"/>
                <w:color w:val="auto"/>
                <w:w w:val="84"/>
              </w:rPr>
              <w:t>Equivalent in</w:t>
            </w:r>
          </w:p>
        </w:tc>
        <w:tc>
          <w:tcPr>
            <w:tcW w:w="700" w:type="dxa"/>
            <w:vAlign w:val="bottom"/>
          </w:tcPr>
          <w:p>
            <w:pPr>
              <w:jc w:val="right"/>
              <w:spacing w:after="0"/>
              <w:rPr>
                <w:sz w:val="20"/>
                <w:szCs w:val="20"/>
                <w:color w:val="auto"/>
              </w:rPr>
            </w:pPr>
            <w:r>
              <w:rPr>
                <w:rFonts w:ascii="Arial" w:cs="Arial" w:eastAsia="Arial" w:hAnsi="Arial"/>
                <w:sz w:val="14"/>
                <w:szCs w:val="14"/>
                <w:b w:val="1"/>
                <w:bCs w:val="1"/>
                <w:color w:val="auto"/>
                <w:w w:val="82"/>
              </w:rPr>
              <w:t>thousands)</w:t>
            </w:r>
          </w:p>
        </w:tc>
        <w:tc>
          <w:tcPr>
            <w:tcW w:w="1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97"/>
        </w:trPr>
        <w:tc>
          <w:tcPr>
            <w:tcW w:w="20" w:type="dxa"/>
            <w:vAlign w:val="bottom"/>
            <w:vMerge w:val="restart"/>
          </w:tcPr>
          <w:p>
            <w:pPr>
              <w:spacing w:after="0"/>
              <w:rPr>
                <w:sz w:val="8"/>
                <w:szCs w:val="8"/>
                <w:color w:val="auto"/>
              </w:rPr>
            </w:pPr>
          </w:p>
        </w:tc>
        <w:tc>
          <w:tcPr>
            <w:tcW w:w="4220" w:type="dxa"/>
            <w:vAlign w:val="bottom"/>
          </w:tcPr>
          <w:p>
            <w:pPr>
              <w:spacing w:after="0"/>
              <w:rPr>
                <w:sz w:val="8"/>
                <w:szCs w:val="8"/>
                <w:color w:val="auto"/>
              </w:rPr>
            </w:pPr>
          </w:p>
        </w:tc>
        <w:tc>
          <w:tcPr>
            <w:tcW w:w="720" w:type="dxa"/>
            <w:vAlign w:val="bottom"/>
          </w:tcPr>
          <w:p>
            <w:pPr>
              <w:spacing w:after="0"/>
              <w:rPr>
                <w:sz w:val="8"/>
                <w:szCs w:val="8"/>
                <w:color w:val="auto"/>
              </w:rPr>
            </w:pPr>
          </w:p>
        </w:tc>
        <w:tc>
          <w:tcPr>
            <w:tcW w:w="140" w:type="dxa"/>
            <w:vAlign w:val="bottom"/>
          </w:tcPr>
          <w:p>
            <w:pPr>
              <w:spacing w:after="0"/>
              <w:rPr>
                <w:sz w:val="8"/>
                <w:szCs w:val="8"/>
                <w:color w:val="auto"/>
              </w:rPr>
            </w:pPr>
          </w:p>
        </w:tc>
        <w:tc>
          <w:tcPr>
            <w:tcW w:w="700" w:type="dxa"/>
            <w:vAlign w:val="bottom"/>
          </w:tcPr>
          <w:p>
            <w:pPr>
              <w:spacing w:after="0"/>
              <w:rPr>
                <w:sz w:val="8"/>
                <w:szCs w:val="8"/>
                <w:color w:val="auto"/>
              </w:rPr>
            </w:pPr>
          </w:p>
        </w:tc>
        <w:tc>
          <w:tcPr>
            <w:tcW w:w="120" w:type="dxa"/>
            <w:vAlign w:val="bottom"/>
          </w:tcPr>
          <w:p>
            <w:pPr>
              <w:spacing w:after="0"/>
              <w:rPr>
                <w:sz w:val="8"/>
                <w:szCs w:val="8"/>
                <w:color w:val="auto"/>
              </w:rPr>
            </w:pPr>
          </w:p>
        </w:tc>
        <w:tc>
          <w:tcPr>
            <w:tcW w:w="700" w:type="dxa"/>
            <w:vAlign w:val="bottom"/>
          </w:tcPr>
          <w:p>
            <w:pPr>
              <w:spacing w:after="0"/>
              <w:rPr>
                <w:sz w:val="8"/>
                <w:szCs w:val="8"/>
                <w:color w:val="auto"/>
              </w:rPr>
            </w:pPr>
          </w:p>
        </w:tc>
        <w:tc>
          <w:tcPr>
            <w:tcW w:w="1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00" w:type="dxa"/>
            <w:vAlign w:val="bottom"/>
          </w:tcPr>
          <w:p>
            <w:pPr>
              <w:spacing w:after="0"/>
              <w:rPr>
                <w:sz w:val="8"/>
                <w:szCs w:val="8"/>
                <w:color w:val="auto"/>
              </w:rPr>
            </w:pPr>
          </w:p>
        </w:tc>
        <w:tc>
          <w:tcPr>
            <w:tcW w:w="660" w:type="dxa"/>
            <w:vAlign w:val="bottom"/>
          </w:tcPr>
          <w:p>
            <w:pPr>
              <w:spacing w:after="0"/>
              <w:rPr>
                <w:sz w:val="8"/>
                <w:szCs w:val="8"/>
                <w:color w:val="auto"/>
              </w:rPr>
            </w:pPr>
          </w:p>
        </w:tc>
        <w:tc>
          <w:tcPr>
            <w:tcW w:w="140" w:type="dxa"/>
            <w:vAlign w:val="bottom"/>
          </w:tcPr>
          <w:p>
            <w:pPr>
              <w:spacing w:after="0"/>
              <w:rPr>
                <w:sz w:val="8"/>
                <w:szCs w:val="8"/>
                <w:color w:val="auto"/>
              </w:rPr>
            </w:pPr>
          </w:p>
        </w:tc>
        <w:tc>
          <w:tcPr>
            <w:tcW w:w="660" w:type="dxa"/>
            <w:vAlign w:val="bottom"/>
          </w:tcPr>
          <w:p>
            <w:pPr>
              <w:spacing w:after="0"/>
              <w:rPr>
                <w:sz w:val="8"/>
                <w:szCs w:val="8"/>
                <w:color w:val="auto"/>
              </w:rPr>
            </w:pPr>
          </w:p>
        </w:tc>
        <w:tc>
          <w:tcPr>
            <w:tcW w:w="100" w:type="dxa"/>
            <w:vAlign w:val="bottom"/>
          </w:tcPr>
          <w:p>
            <w:pPr>
              <w:spacing w:after="0"/>
              <w:rPr>
                <w:sz w:val="8"/>
                <w:szCs w:val="8"/>
                <w:color w:val="auto"/>
              </w:rPr>
            </w:pPr>
          </w:p>
        </w:tc>
        <w:tc>
          <w:tcPr>
            <w:tcW w:w="680" w:type="dxa"/>
            <w:vAlign w:val="bottom"/>
          </w:tcPr>
          <w:p>
            <w:pPr>
              <w:spacing w:after="0"/>
              <w:rPr>
                <w:sz w:val="8"/>
                <w:szCs w:val="8"/>
                <w:color w:val="auto"/>
              </w:rPr>
            </w:pPr>
          </w:p>
        </w:tc>
        <w:tc>
          <w:tcPr>
            <w:tcW w:w="140" w:type="dxa"/>
            <w:vAlign w:val="bottom"/>
          </w:tcPr>
          <w:p>
            <w:pPr>
              <w:spacing w:after="0"/>
              <w:rPr>
                <w:sz w:val="8"/>
                <w:szCs w:val="8"/>
                <w:color w:val="auto"/>
              </w:rPr>
            </w:pPr>
          </w:p>
        </w:tc>
        <w:tc>
          <w:tcPr>
            <w:tcW w:w="66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CROSS CURRENCY SWAPS:</w:t>
            </w:r>
          </w:p>
        </w:tc>
        <w:tc>
          <w:tcPr>
            <w:tcW w:w="7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b w:val="1"/>
                <w:bCs w:val="1"/>
                <w:color w:val="auto"/>
              </w:rPr>
              <w:t>Cross Currency Swaps</w:t>
            </w:r>
          </w:p>
        </w:tc>
        <w:tc>
          <w:tcPr>
            <w:tcW w:w="7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U.S. Dollars</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367</w:t>
            </w: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8,350</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8,718</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1,279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U.S. Dollars fixed rate</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 floating rate</w:t>
            </w:r>
          </w:p>
        </w:tc>
        <w:tc>
          <w:tcPr>
            <w:tcW w:w="8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4.40%</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4.68%</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4.67%</w:t>
            </w: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Pay U.S. Dollars</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64,948</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146,505</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23,025</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70,895</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305,373</w:t>
            </w:r>
          </w:p>
        </w:tc>
        <w:tc>
          <w:tcPr>
            <w:tcW w:w="7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(44,915)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U.S. Dollars fixed rate</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2.53%</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2.53%</w:t>
            </w: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U.S. Dollars floating rate</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2.10%</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2.28%</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3.90%</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2.65%</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Mexican Peso</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40,000</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73,312</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2,128</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115,439</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Mexican Peso floating rate</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6.49%</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6.19%</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4.49%</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6.26%</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Pay Mexican Peso</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367</w:t>
            </w: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8,350</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8,718</w:t>
            </w: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Mexican Peso floating rate</w:t>
            </w:r>
          </w:p>
        </w:tc>
        <w:tc>
          <w:tcPr>
            <w:tcW w:w="8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8.08%</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9.10%</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9.06%</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Euro Dollar</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68,768</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68,768</w:t>
            </w: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Euro Dollar fixed rate</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1.85%</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1.85%</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Japanese Yen</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24,948</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73,193</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98,141</w:t>
            </w: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Japanese Yen fixed rate</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0.65%</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0.46%</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0.51%</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Australian Dollar</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23,025</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23,025</w:t>
            </w: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Australian Dollar fixed rate</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1.42%</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1.42%</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b w:val="1"/>
                <w:bCs w:val="1"/>
                <w:color w:val="auto"/>
              </w:rPr>
              <w:t>FORWARD CURRENCY EXCHANGE AGREEMENTS:</w:t>
            </w:r>
          </w:p>
        </w:tc>
        <w:tc>
          <w:tcPr>
            <w:tcW w:w="7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U.S. Dollars/ Pay Mexican Pesos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166,102</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166,102</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6,339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Average exchange rate</w:t>
            </w:r>
          </w:p>
        </w:tc>
        <w:tc>
          <w:tcPr>
            <w:tcW w:w="8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19.76%</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19.76%</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U.S. Dollars/ Pay Brazilian Reales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3,780</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3,780</w:t>
            </w:r>
          </w:p>
        </w:tc>
        <w:tc>
          <w:tcPr>
            <w:tcW w:w="7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Average exchange rate</w:t>
            </w:r>
          </w:p>
        </w:tc>
        <w:tc>
          <w:tcPr>
            <w:tcW w:w="8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3.39%</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3.39%</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Euro Dollars/ Pay U.S. Dollars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119,203</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45,027</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164,230</w:t>
            </w:r>
          </w:p>
        </w:tc>
        <w:tc>
          <w:tcPr>
            <w:tcW w:w="7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(9,564)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Average exchange rate</w:t>
            </w:r>
          </w:p>
        </w:tc>
        <w:tc>
          <w:tcPr>
            <w:tcW w:w="8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1.11%</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1.16%</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1.12%</w:t>
            </w: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Receive Mexican Peso/ Pay U.S. Dollars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25,946</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25,946</w:t>
            </w:r>
          </w:p>
        </w:tc>
        <w:tc>
          <w:tcPr>
            <w:tcW w:w="7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(24,181)</w:t>
            </w:r>
          </w:p>
        </w:tc>
        <w:tc>
          <w:tcPr>
            <w:tcW w:w="0" w:type="dxa"/>
            <w:vAlign w:val="bottom"/>
          </w:tcPr>
          <w:p>
            <w:pPr>
              <w:spacing w:after="0"/>
              <w:rPr>
                <w:sz w:val="1"/>
                <w:szCs w:val="1"/>
                <w:color w:val="auto"/>
              </w:rPr>
            </w:pPr>
          </w:p>
        </w:tc>
      </w:tr>
      <w:tr>
        <w:trPr>
          <w:trHeight w:val="150"/>
        </w:trPr>
        <w:tc>
          <w:tcPr>
            <w:tcW w:w="20" w:type="dxa"/>
            <w:vAlign w:val="bottom"/>
          </w:tcPr>
          <w:p>
            <w:pPr>
              <w:spacing w:after="0"/>
              <w:rPr>
                <w:sz w:val="13"/>
                <w:szCs w:val="13"/>
                <w:color w:val="auto"/>
              </w:rPr>
            </w:pPr>
          </w:p>
        </w:tc>
        <w:tc>
          <w:tcPr>
            <w:tcW w:w="4220" w:type="dxa"/>
            <w:vAlign w:val="bottom"/>
          </w:tcPr>
          <w:p>
            <w:pPr>
              <w:ind w:left="160"/>
              <w:spacing w:after="0" w:line="150" w:lineRule="exact"/>
              <w:rPr>
                <w:sz w:val="20"/>
                <w:szCs w:val="20"/>
                <w:color w:val="auto"/>
              </w:rPr>
            </w:pPr>
            <w:r>
              <w:rPr>
                <w:rFonts w:ascii="Arial" w:cs="Arial" w:eastAsia="Arial" w:hAnsi="Arial"/>
                <w:sz w:val="14"/>
                <w:szCs w:val="14"/>
                <w:color w:val="auto"/>
              </w:rPr>
              <w:t>Average exchange rate</w:t>
            </w:r>
          </w:p>
        </w:tc>
        <w:tc>
          <w:tcPr>
            <w:tcW w:w="860" w:type="dxa"/>
            <w:vAlign w:val="bottom"/>
            <w:gridSpan w:val="2"/>
          </w:tcPr>
          <w:p>
            <w:pPr>
              <w:jc w:val="right"/>
              <w:ind w:right="20"/>
              <w:spacing w:after="0" w:line="150" w:lineRule="exact"/>
              <w:rPr>
                <w:sz w:val="20"/>
                <w:szCs w:val="20"/>
                <w:color w:val="auto"/>
              </w:rPr>
            </w:pPr>
            <w:r>
              <w:rPr>
                <w:rFonts w:ascii="Arial" w:cs="Arial" w:eastAsia="Arial" w:hAnsi="Arial"/>
                <w:sz w:val="14"/>
                <w:szCs w:val="14"/>
                <w:color w:val="auto"/>
              </w:rPr>
              <w:t>20.37%</w:t>
            </w:r>
          </w:p>
        </w:tc>
        <w:tc>
          <w:tcPr>
            <w:tcW w:w="820" w:type="dxa"/>
            <w:vAlign w:val="bottom"/>
            <w:gridSpan w:val="2"/>
          </w:tcPr>
          <w:p>
            <w:pPr>
              <w:jc w:val="right"/>
              <w:ind w:right="120"/>
              <w:spacing w:after="0" w:line="150"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20"/>
              <w:spacing w:after="0" w:line="150"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50"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3"/>
                <w:szCs w:val="13"/>
                <w:color w:val="auto"/>
              </w:rPr>
            </w:pPr>
          </w:p>
        </w:tc>
        <w:tc>
          <w:tcPr>
            <w:tcW w:w="760" w:type="dxa"/>
            <w:vAlign w:val="bottom"/>
            <w:gridSpan w:val="2"/>
          </w:tcPr>
          <w:p>
            <w:pPr>
              <w:jc w:val="right"/>
              <w:ind w:right="100"/>
              <w:spacing w:after="0" w:line="150"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50"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50"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3"/>
                <w:szCs w:val="13"/>
                <w:color w:val="auto"/>
              </w:rPr>
            </w:pPr>
          </w:p>
        </w:tc>
        <w:tc>
          <w:tcPr>
            <w:tcW w:w="820" w:type="dxa"/>
            <w:vAlign w:val="bottom"/>
            <w:gridSpan w:val="2"/>
          </w:tcPr>
          <w:p>
            <w:pPr>
              <w:jc w:val="right"/>
              <w:ind w:right="20"/>
              <w:spacing w:after="0" w:line="150" w:lineRule="exact"/>
              <w:rPr>
                <w:sz w:val="20"/>
                <w:szCs w:val="20"/>
                <w:color w:val="auto"/>
              </w:rPr>
            </w:pPr>
            <w:r>
              <w:rPr>
                <w:rFonts w:ascii="Arial" w:cs="Arial" w:eastAsia="Arial" w:hAnsi="Arial"/>
                <w:sz w:val="14"/>
                <w:szCs w:val="14"/>
                <w:color w:val="auto"/>
              </w:rPr>
              <w:t>20.37%</w:t>
            </w:r>
          </w:p>
        </w:tc>
        <w:tc>
          <w:tcPr>
            <w:tcW w:w="6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bl>
    <w:p>
      <w:pPr>
        <w:ind w:left="220" w:hanging="212"/>
        <w:spacing w:after="0" w:line="204" w:lineRule="auto"/>
        <w:tabs>
          <w:tab w:leader="none" w:pos="220" w:val="left"/>
        </w:tabs>
        <w:numPr>
          <w:ilvl w:val="0"/>
          <w:numId w:val="86"/>
        </w:numPr>
        <w:rPr>
          <w:rFonts w:ascii="Arial" w:cs="Arial" w:eastAsia="Arial" w:hAnsi="Arial"/>
          <w:sz w:val="26"/>
          <w:szCs w:val="26"/>
          <w:color w:val="auto"/>
          <w:vertAlign w:val="superscript"/>
        </w:rPr>
      </w:pPr>
      <w:r>
        <w:rPr>
          <w:rFonts w:ascii="Arial" w:cs="Arial" w:eastAsia="Arial" w:hAnsi="Arial"/>
          <w:sz w:val="16"/>
          <w:szCs w:val="16"/>
          <w:color w:val="auto"/>
        </w:rPr>
        <w:t>Borrowings and placements include short and long-term borrowings and debt, gross of prepaid commissions.</w:t>
      </w:r>
    </w:p>
    <w:p>
      <w:pPr>
        <w:spacing w:after="0" w:line="20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Although certain assets and liabilities may have similar maturities or periods of re-pricing, they may be impacted in varying degrees by changes in market interest rates. The maturity of certain types of assets and liabilities may fluctuate in advance of changes in market rates, while the maturity of other types of assets and liabilities may lag behind changes in market rates. In the event of a change in interest rates, prepayment and early withdrawal levels could deviate significantly from the maturities assumed in calculating the table above.</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For information regarding the fair value disclosure of financial instruments, see Item 18, “Financial Statements,” note 18.</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Foreign Exchange Risk Management and Sensitivity</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accepts deposits and raises funds principally in U.S. dollars, and makes loans mostly in U.S. dollars. Currency exchange risk arises when the Bank accepts deposits or raises funds in one currency and lends or invests the proceeds in another. In general, foreign currency-denominated assets are funded with liability instruments denominated in the same currency. In those cases where assets are funded in different currencies, forward foreign exchange or cross-currency swap contracts are used to fully hedge the risk resulting from this cross currency funding, which, though economically hedged, might give rise to some accounting volatility.</w:t>
      </w:r>
    </w:p>
    <w:p>
      <w:pPr>
        <w:spacing w:after="0" w:line="18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does not run any foreign exchange trading business nor does it maintain open positions in any currencies beyond the minimum operational balances required to run the business of its representative offices.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Most of the Bank’s assets and most of its liabilities are denominated in U.S. dollars and, therefore, the Bank has no material foreign exchange risk, nor does it hold significant open foreign exchange positions. As of December 31, 2017, the Bank had an equivalent of US$144.0 million in non-U.S. dollar financial assets and US$143.7 million of non-U.S. dollar financial liabilities, reflecting a minimal net currency position.</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112" w:name="page113"/>
    <w:bookmarkEnd w:id="112"/>
    <w:p>
      <w:pPr>
        <w:jc w:val="both"/>
        <w:ind w:right="20"/>
        <w:spacing w:after="0" w:line="277" w:lineRule="auto"/>
        <w:rPr>
          <w:sz w:val="20"/>
          <w:szCs w:val="20"/>
          <w:color w:val="auto"/>
        </w:rPr>
      </w:pPr>
      <w:r>
        <w:rPr>
          <w:rFonts w:ascii="Arial" w:cs="Arial" w:eastAsia="Arial" w:hAnsi="Arial"/>
          <w:sz w:val="18"/>
          <w:szCs w:val="18"/>
          <w:color w:val="auto"/>
        </w:rPr>
        <w:t>The Bank maintains a Mexican pesos loan book, which as of December 31, 2017 amounted to the equivalent of US$143 million. This book is entirely funded with liabilities denominated in the same currency in order to avoid any currency mismatch.</w:t>
      </w:r>
    </w:p>
    <w:p>
      <w:pPr>
        <w:spacing w:after="0" w:line="170" w:lineRule="exact"/>
        <w:rPr>
          <w:sz w:val="20"/>
          <w:szCs w:val="20"/>
          <w:color w:val="auto"/>
        </w:rPr>
      </w:pPr>
    </w:p>
    <w:p>
      <w:pPr>
        <w:spacing w:after="0"/>
        <w:rPr>
          <w:sz w:val="20"/>
          <w:szCs w:val="20"/>
          <w:color w:val="auto"/>
        </w:rPr>
      </w:pPr>
      <w:r>
        <w:rPr>
          <w:rFonts w:ascii="Arial" w:cs="Arial" w:eastAsia="Arial" w:hAnsi="Arial"/>
          <w:sz w:val="17"/>
          <w:szCs w:val="17"/>
          <w:color w:val="auto"/>
        </w:rPr>
        <w:t>For more information regarding the Risk Management, Market Risk, and Currency Risk, see Item 18, “Financial Statements,” notes 27 and 27.3.</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Price Risk Management and Sensitivity</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Price risk corresponds to the risk that arises from the volatility in the price of the financial instruments held by the Bank, which may result from observed transaction prices that fluctuate freely according to supply and demand or from changes in the risk factors used for determining prices (interest rates, exchange rates, credit risk spreads, etc.).</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table below lists the carrying amount and fair value of the Investment Securities Portfolio and the interest rate swaps associated with this portfolio as of the dates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440" w:type="dxa"/>
            <w:vAlign w:val="bottom"/>
          </w:tcPr>
          <w:p>
            <w:pPr>
              <w:spacing w:after="0"/>
              <w:rPr>
                <w:sz w:val="20"/>
                <w:szCs w:val="20"/>
                <w:color w:val="auto"/>
              </w:rPr>
            </w:pPr>
          </w:p>
        </w:tc>
        <w:tc>
          <w:tcPr>
            <w:tcW w:w="2960" w:type="dxa"/>
            <w:vAlign w:val="bottom"/>
            <w:gridSpan w:val="3"/>
          </w:tcPr>
          <w:p>
            <w:pPr>
              <w:jc w:val="right"/>
              <w:ind w:right="600"/>
              <w:spacing w:after="0"/>
              <w:rPr>
                <w:sz w:val="20"/>
                <w:szCs w:val="20"/>
                <w:color w:val="auto"/>
              </w:rPr>
            </w:pPr>
            <w:r>
              <w:rPr>
                <w:rFonts w:ascii="Arial" w:cs="Arial" w:eastAsia="Arial" w:hAnsi="Arial"/>
                <w:sz w:val="18"/>
                <w:szCs w:val="18"/>
                <w:b w:val="1"/>
                <w:bCs w:val="1"/>
                <w:color w:val="auto"/>
              </w:rPr>
              <w:t>As of December 31, 2017</w:t>
            </w:r>
          </w:p>
        </w:tc>
        <w:tc>
          <w:tcPr>
            <w:tcW w:w="80" w:type="dxa"/>
            <w:vAlign w:val="bottom"/>
          </w:tcPr>
          <w:p>
            <w:pPr>
              <w:spacing w:after="0"/>
              <w:rPr>
                <w:sz w:val="20"/>
                <w:szCs w:val="20"/>
                <w:color w:val="auto"/>
              </w:rPr>
            </w:pPr>
          </w:p>
        </w:tc>
        <w:tc>
          <w:tcPr>
            <w:tcW w:w="2940" w:type="dxa"/>
            <w:vAlign w:val="bottom"/>
            <w:gridSpan w:val="3"/>
          </w:tcPr>
          <w:p>
            <w:pPr>
              <w:jc w:val="right"/>
              <w:ind w:right="580"/>
              <w:spacing w:after="0"/>
              <w:rPr>
                <w:sz w:val="20"/>
                <w:szCs w:val="20"/>
                <w:color w:val="auto"/>
              </w:rPr>
            </w:pPr>
            <w:r>
              <w:rPr>
                <w:rFonts w:ascii="Arial" w:cs="Arial" w:eastAsia="Arial" w:hAnsi="Arial"/>
                <w:sz w:val="18"/>
                <w:szCs w:val="18"/>
                <w:b w:val="1"/>
                <w:bCs w:val="1"/>
                <w:color w:val="auto"/>
              </w:rPr>
              <w:t>As of December 31, 2016</w:t>
            </w:r>
          </w:p>
        </w:tc>
      </w:tr>
      <w:tr>
        <w:trPr>
          <w:trHeight w:val="223"/>
        </w:trPr>
        <w:tc>
          <w:tcPr>
            <w:tcW w:w="5440" w:type="dxa"/>
            <w:vAlign w:val="bottom"/>
          </w:tcPr>
          <w:p>
            <w:pPr>
              <w:spacing w:after="0"/>
              <w:rPr>
                <w:sz w:val="19"/>
                <w:szCs w:val="19"/>
                <w:color w:val="auto"/>
              </w:rPr>
            </w:pPr>
          </w:p>
        </w:tc>
        <w:tc>
          <w:tcPr>
            <w:tcW w:w="1620" w:type="dxa"/>
            <w:vAlign w:val="bottom"/>
            <w:tcBorders>
              <w:top w:val="single" w:sz="8" w:color="auto"/>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w w:val="92"/>
              </w:rPr>
              <w:t>Carrying Amount</w:t>
            </w:r>
          </w:p>
        </w:tc>
        <w:tc>
          <w:tcPr>
            <w:tcW w:w="1200" w:type="dxa"/>
            <w:vAlign w:val="bottom"/>
            <w:tcBorders>
              <w:top w:val="single" w:sz="8" w:color="auto"/>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Fair Value</w:t>
            </w:r>
          </w:p>
        </w:tc>
        <w:tc>
          <w:tcPr>
            <w:tcW w:w="1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620" w:type="dxa"/>
            <w:vAlign w:val="bottom"/>
            <w:tcBorders>
              <w:top w:val="single" w:sz="8" w:color="auto"/>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w w:val="92"/>
              </w:rPr>
              <w:t>Carrying Amount</w:t>
            </w:r>
          </w:p>
        </w:tc>
        <w:tc>
          <w:tcPr>
            <w:tcW w:w="1220" w:type="dxa"/>
            <w:vAlign w:val="bottom"/>
            <w:tcBorders>
              <w:top w:val="single" w:sz="8" w:color="auto"/>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Fair Value</w:t>
            </w:r>
          </w:p>
        </w:tc>
        <w:tc>
          <w:tcPr>
            <w:tcW w:w="100" w:type="dxa"/>
            <w:vAlign w:val="bottom"/>
          </w:tcPr>
          <w:p>
            <w:pPr>
              <w:spacing w:after="0"/>
              <w:rPr>
                <w:sz w:val="19"/>
                <w:szCs w:val="19"/>
                <w:color w:val="auto"/>
              </w:rPr>
            </w:pPr>
          </w:p>
        </w:tc>
      </w:tr>
      <w:tr>
        <w:trPr>
          <w:trHeight w:val="210"/>
        </w:trPr>
        <w:tc>
          <w:tcPr>
            <w:tcW w:w="544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3040" w:type="dxa"/>
            <w:vAlign w:val="bottom"/>
            <w:gridSpan w:val="4"/>
          </w:tcPr>
          <w:p>
            <w:pPr>
              <w:jc w:val="right"/>
              <w:ind w:right="1030"/>
              <w:spacing w:after="0"/>
              <w:rPr>
                <w:sz w:val="20"/>
                <w:szCs w:val="20"/>
                <w:color w:val="auto"/>
              </w:rPr>
            </w:pPr>
            <w:r>
              <w:rPr>
                <w:rFonts w:ascii="Arial" w:cs="Arial" w:eastAsia="Arial" w:hAnsi="Arial"/>
                <w:sz w:val="18"/>
                <w:szCs w:val="18"/>
                <w:b w:val="1"/>
                <w:bCs w:val="1"/>
                <w:color w:val="auto"/>
              </w:rPr>
              <w:t>(in $ thousands)</w:t>
            </w: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INVESTMENT SECURITIES</w:t>
            </w:r>
          </w:p>
        </w:tc>
        <w:tc>
          <w:tcPr>
            <w:tcW w:w="16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440" w:type="dxa"/>
            <w:vAlign w:val="bottom"/>
          </w:tcPr>
          <w:p>
            <w:pPr>
              <w:ind w:left="260"/>
              <w:spacing w:after="0"/>
              <w:rPr>
                <w:sz w:val="20"/>
                <w:szCs w:val="20"/>
                <w:color w:val="auto"/>
              </w:rPr>
            </w:pPr>
            <w:r>
              <w:rPr>
                <w:rFonts w:ascii="Arial" w:cs="Arial" w:eastAsia="Arial" w:hAnsi="Arial"/>
                <w:sz w:val="18"/>
                <w:szCs w:val="18"/>
                <w:color w:val="auto"/>
              </w:rPr>
              <w:t>Financial instruments at FVOCI</w:t>
            </w:r>
          </w:p>
        </w:tc>
        <w:tc>
          <w:tcPr>
            <w:tcW w:w="1620" w:type="dxa"/>
            <w:vAlign w:val="bottom"/>
          </w:tcPr>
          <w:p>
            <w:pPr>
              <w:jc w:val="right"/>
              <w:ind w:right="150"/>
              <w:spacing w:after="0"/>
              <w:rPr>
                <w:sz w:val="20"/>
                <w:szCs w:val="20"/>
                <w:color w:val="auto"/>
              </w:rPr>
            </w:pPr>
            <w:r>
              <w:rPr>
                <w:rFonts w:ascii="Arial" w:cs="Arial" w:eastAsia="Arial" w:hAnsi="Arial"/>
                <w:sz w:val="18"/>
                <w:szCs w:val="18"/>
                <w:color w:val="auto"/>
              </w:rPr>
              <w:t>25,135</w:t>
            </w:r>
          </w:p>
        </w:tc>
        <w:tc>
          <w:tcPr>
            <w:tcW w:w="1340" w:type="dxa"/>
            <w:vAlign w:val="bottom"/>
            <w:gridSpan w:val="2"/>
          </w:tcPr>
          <w:p>
            <w:pPr>
              <w:jc w:val="right"/>
              <w:ind w:right="140"/>
              <w:spacing w:after="0"/>
              <w:rPr>
                <w:sz w:val="20"/>
                <w:szCs w:val="20"/>
                <w:color w:val="auto"/>
              </w:rPr>
            </w:pPr>
            <w:r>
              <w:rPr>
                <w:rFonts w:ascii="Arial" w:cs="Arial" w:eastAsia="Arial" w:hAnsi="Arial"/>
                <w:sz w:val="18"/>
                <w:szCs w:val="18"/>
                <w:color w:val="auto"/>
              </w:rPr>
              <w:t>25,135</w:t>
            </w:r>
          </w:p>
        </w:tc>
        <w:tc>
          <w:tcPr>
            <w:tcW w:w="1700" w:type="dxa"/>
            <w:vAlign w:val="bottom"/>
            <w:gridSpan w:val="2"/>
          </w:tcPr>
          <w:p>
            <w:pPr>
              <w:jc w:val="right"/>
              <w:ind w:right="150"/>
              <w:spacing w:after="0"/>
              <w:rPr>
                <w:sz w:val="20"/>
                <w:szCs w:val="20"/>
                <w:color w:val="auto"/>
              </w:rPr>
            </w:pPr>
            <w:r>
              <w:rPr>
                <w:rFonts w:ascii="Arial" w:cs="Arial" w:eastAsia="Arial" w:hAnsi="Arial"/>
                <w:sz w:val="18"/>
                <w:szCs w:val="18"/>
                <w:color w:val="auto"/>
              </w:rPr>
              <w:t>30,607</w:t>
            </w: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30,607</w:t>
            </w:r>
          </w:p>
        </w:tc>
      </w:tr>
      <w:tr>
        <w:trPr>
          <w:trHeight w:val="257"/>
        </w:trPr>
        <w:tc>
          <w:tcPr>
            <w:tcW w:w="5440" w:type="dxa"/>
            <w:vAlign w:val="bottom"/>
            <w:shd w:val="clear" w:color="auto" w:fill="CCEEFF"/>
          </w:tcPr>
          <w:p>
            <w:pPr>
              <w:ind w:left="260"/>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62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69,130</w:t>
            </w:r>
          </w:p>
        </w:tc>
        <w:tc>
          <w:tcPr>
            <w:tcW w:w="13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69,006</w:t>
            </w:r>
          </w:p>
        </w:tc>
        <w:tc>
          <w:tcPr>
            <w:tcW w:w="17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77,816</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76,406</w:t>
            </w:r>
          </w:p>
        </w:tc>
      </w:tr>
      <w:tr>
        <w:trPr>
          <w:trHeight w:val="258"/>
        </w:trPr>
        <w:tc>
          <w:tcPr>
            <w:tcW w:w="5440" w:type="dxa"/>
            <w:vAlign w:val="bottom"/>
          </w:tcPr>
          <w:p>
            <w:pPr>
              <w:ind w:left="260"/>
              <w:spacing w:after="0" w:line="258" w:lineRule="exact"/>
              <w:rPr>
                <w:sz w:val="20"/>
                <w:szCs w:val="20"/>
                <w:color w:val="auto"/>
              </w:rPr>
            </w:pPr>
            <w:r>
              <w:rPr>
                <w:rFonts w:ascii="Arial" w:cs="Arial" w:eastAsia="Arial" w:hAnsi="Arial"/>
                <w:sz w:val="18"/>
                <w:szCs w:val="18"/>
                <w:color w:val="auto"/>
              </w:rPr>
              <w:t xml:space="preserve">Interest rate swaps </w:t>
            </w:r>
            <w:r>
              <w:rPr>
                <w:rFonts w:ascii="Arial" w:cs="Arial" w:eastAsia="Arial" w:hAnsi="Arial"/>
                <w:sz w:val="29"/>
                <w:szCs w:val="29"/>
                <w:color w:val="auto"/>
                <w:vertAlign w:val="superscript"/>
              </w:rPr>
              <w:t>(2)</w:t>
            </w:r>
          </w:p>
        </w:tc>
        <w:tc>
          <w:tcPr>
            <w:tcW w:w="1620" w:type="dxa"/>
            <w:vAlign w:val="bottom"/>
          </w:tcPr>
          <w:p>
            <w:pPr>
              <w:jc w:val="right"/>
              <w:ind w:right="90"/>
              <w:spacing w:after="0"/>
              <w:rPr>
                <w:sz w:val="20"/>
                <w:szCs w:val="20"/>
                <w:color w:val="auto"/>
              </w:rPr>
            </w:pPr>
            <w:r>
              <w:rPr>
                <w:rFonts w:ascii="Arial" w:cs="Arial" w:eastAsia="Arial" w:hAnsi="Arial"/>
                <w:sz w:val="18"/>
                <w:szCs w:val="18"/>
                <w:color w:val="auto"/>
              </w:rPr>
              <w:t>(58)</w:t>
            </w:r>
          </w:p>
        </w:tc>
        <w:tc>
          <w:tcPr>
            <w:tcW w:w="1340" w:type="dxa"/>
            <w:vAlign w:val="bottom"/>
            <w:gridSpan w:val="2"/>
          </w:tcPr>
          <w:p>
            <w:pPr>
              <w:jc w:val="right"/>
              <w:ind w:right="80"/>
              <w:spacing w:after="0"/>
              <w:rPr>
                <w:sz w:val="20"/>
                <w:szCs w:val="20"/>
                <w:color w:val="auto"/>
              </w:rPr>
            </w:pPr>
            <w:r>
              <w:rPr>
                <w:rFonts w:ascii="Arial" w:cs="Arial" w:eastAsia="Arial" w:hAnsi="Arial"/>
                <w:sz w:val="18"/>
                <w:szCs w:val="18"/>
                <w:color w:val="auto"/>
              </w:rPr>
              <w:t>(58)</w:t>
            </w:r>
          </w:p>
        </w:tc>
        <w:tc>
          <w:tcPr>
            <w:tcW w:w="1700" w:type="dxa"/>
            <w:vAlign w:val="bottom"/>
            <w:gridSpan w:val="2"/>
          </w:tcPr>
          <w:p>
            <w:pPr>
              <w:jc w:val="right"/>
              <w:ind w:right="90"/>
              <w:spacing w:after="0"/>
              <w:rPr>
                <w:sz w:val="20"/>
                <w:szCs w:val="20"/>
                <w:color w:val="auto"/>
              </w:rPr>
            </w:pPr>
            <w:r>
              <w:rPr>
                <w:rFonts w:ascii="Arial" w:cs="Arial" w:eastAsia="Arial" w:hAnsi="Arial"/>
                <w:sz w:val="18"/>
                <w:szCs w:val="18"/>
                <w:color w:val="auto"/>
              </w:rPr>
              <w:t>(272)</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(272)</w:t>
            </w:r>
          </w:p>
        </w:tc>
      </w:tr>
    </w:tbl>
    <w:p>
      <w:pPr>
        <w:ind w:left="260" w:hanging="252"/>
        <w:spacing w:after="0" w:line="186" w:lineRule="auto"/>
        <w:tabs>
          <w:tab w:leader="none" w:pos="260" w:val="left"/>
        </w:tabs>
        <w:numPr>
          <w:ilvl w:val="0"/>
          <w:numId w:val="87"/>
        </w:numPr>
        <w:rPr>
          <w:rFonts w:ascii="Arial" w:cs="Arial" w:eastAsia="Arial" w:hAnsi="Arial"/>
          <w:sz w:val="24"/>
          <w:szCs w:val="24"/>
          <w:color w:val="auto"/>
          <w:vertAlign w:val="superscript"/>
        </w:rPr>
      </w:pPr>
      <w:r>
        <w:rPr>
          <w:rFonts w:ascii="Arial" w:cs="Arial" w:eastAsia="Arial" w:hAnsi="Arial"/>
          <w:sz w:val="15"/>
          <w:szCs w:val="15"/>
          <w:color w:val="auto"/>
        </w:rPr>
        <w:t>Amounts do not include allowance for ECL of $196 thousand, and $602 thousand, as of December 31, 2017 and 2016, respectively.</w:t>
      </w:r>
    </w:p>
    <w:p>
      <w:pPr>
        <w:spacing w:after="0" w:line="2" w:lineRule="exact"/>
        <w:rPr>
          <w:rFonts w:ascii="Arial" w:cs="Arial" w:eastAsia="Arial" w:hAnsi="Arial"/>
          <w:sz w:val="24"/>
          <w:szCs w:val="24"/>
          <w:color w:val="auto"/>
          <w:vertAlign w:val="superscript"/>
        </w:rPr>
      </w:pPr>
    </w:p>
    <w:p>
      <w:pPr>
        <w:ind w:left="260" w:hanging="252"/>
        <w:spacing w:after="0" w:line="186" w:lineRule="auto"/>
        <w:tabs>
          <w:tab w:leader="none" w:pos="260" w:val="left"/>
        </w:tabs>
        <w:numPr>
          <w:ilvl w:val="0"/>
          <w:numId w:val="87"/>
        </w:numPr>
        <w:rPr>
          <w:rFonts w:ascii="Arial" w:cs="Arial" w:eastAsia="Arial" w:hAnsi="Arial"/>
          <w:sz w:val="24"/>
          <w:szCs w:val="24"/>
          <w:color w:val="auto"/>
          <w:vertAlign w:val="superscript"/>
        </w:rPr>
      </w:pPr>
      <w:r>
        <w:rPr>
          <w:rFonts w:ascii="Arial" w:cs="Arial" w:eastAsia="Arial" w:hAnsi="Arial"/>
          <w:sz w:val="15"/>
          <w:szCs w:val="15"/>
          <w:color w:val="auto"/>
        </w:rPr>
        <w:t>As of December 31, 2017 and 2016, includes interest rate swaps that applies for hedge accounting.</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For additional information regarding derivative financial instruments, see Item 18, “Financial Statements,” notes 3.7, 5.6, 5.7 and 18, and for information regarding financial instruments, see Item 18, “Financial Statements,” notes 5.2, 5.3 and 18.</w:t>
      </w:r>
    </w:p>
    <w:p>
      <w:pPr>
        <w:spacing w:after="0" w:line="166"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12.</w:t>
      </w:r>
      <w:r>
        <w:rPr>
          <w:sz w:val="20"/>
          <w:szCs w:val="20"/>
          <w:color w:val="auto"/>
        </w:rPr>
        <w:tab/>
      </w:r>
      <w:r>
        <w:rPr>
          <w:rFonts w:ascii="Arial" w:cs="Arial" w:eastAsia="Arial" w:hAnsi="Arial"/>
          <w:sz w:val="16"/>
          <w:szCs w:val="16"/>
          <w:b w:val="1"/>
          <w:bCs w:val="1"/>
          <w:color w:val="auto"/>
        </w:rPr>
        <w:t>Description of Securities Other than Equity Securities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3" w:name="page114"/>
    <w:bookmarkEnd w:id="113"/>
    <w:p>
      <w:pPr>
        <w:jc w:val="center"/>
        <w:spacing w:after="0"/>
        <w:rPr>
          <w:sz w:val="20"/>
          <w:szCs w:val="20"/>
          <w:color w:val="auto"/>
        </w:rPr>
      </w:pPr>
      <w:r>
        <w:rPr>
          <w:rFonts w:ascii="Arial" w:cs="Arial" w:eastAsia="Arial" w:hAnsi="Arial"/>
          <w:sz w:val="18"/>
          <w:szCs w:val="18"/>
          <w:b w:val="1"/>
          <w:bCs w:val="1"/>
          <w:color w:val="auto"/>
        </w:rPr>
        <w:t>PART II</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13.</w:t>
      </w:r>
      <w:r>
        <w:rPr>
          <w:sz w:val="20"/>
          <w:szCs w:val="20"/>
          <w:color w:val="auto"/>
        </w:rPr>
        <w:tab/>
      </w:r>
      <w:r>
        <w:rPr>
          <w:rFonts w:ascii="Arial" w:cs="Arial" w:eastAsia="Arial" w:hAnsi="Arial"/>
          <w:sz w:val="16"/>
          <w:szCs w:val="16"/>
          <w:b w:val="1"/>
          <w:bCs w:val="1"/>
          <w:color w:val="auto"/>
        </w:rPr>
        <w:t>Defaults, Dividend Arrearages and Delinquencies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14.</w:t>
      </w:r>
      <w:r>
        <w:rPr>
          <w:sz w:val="20"/>
          <w:szCs w:val="20"/>
          <w:color w:val="auto"/>
        </w:rPr>
        <w:tab/>
      </w:r>
      <w:r>
        <w:rPr>
          <w:rFonts w:ascii="Arial" w:cs="Arial" w:eastAsia="Arial" w:hAnsi="Arial"/>
          <w:sz w:val="16"/>
          <w:szCs w:val="16"/>
          <w:b w:val="1"/>
          <w:bCs w:val="1"/>
          <w:color w:val="auto"/>
        </w:rPr>
        <w:t>Material Modifications to the Rights of Security Holders and Use of Proceeds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15.</w:t>
      </w:r>
      <w:r>
        <w:rPr>
          <w:sz w:val="20"/>
          <w:szCs w:val="20"/>
          <w:color w:val="auto"/>
        </w:rPr>
        <w:tab/>
      </w:r>
      <w:r>
        <w:rPr>
          <w:rFonts w:ascii="Arial" w:cs="Arial" w:eastAsia="Arial" w:hAnsi="Arial"/>
          <w:sz w:val="16"/>
          <w:szCs w:val="16"/>
          <w:b w:val="1"/>
          <w:bCs w:val="1"/>
          <w:color w:val="auto"/>
        </w:rPr>
        <w:t>Controls and Procedures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 Disclosure Controls and Procedures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disclosure controls and procedures that are designed to ensure that information required to be disclosed in the reports it files under the Exchange Act is recorded, processed, summarized and reported within the time periods specified in the SEC’s rules and forms. Such controls include those designed to ensure that information for disclosure is accumulated and communicated to the members of the Board and management, as appropriate to allow timely decisions regarding required disclosure.</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Chief Executive Officer (“CEO”) and the Chief Financial Officer (“CFO”) evaluated the effectiveness of the Bank’s disclosure controls and procedures as of December 31, 2017, and concluded that they were effective as of December 31, 2017.</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 Management’s Annual Report on Internal Control Over Financial Reporting</w:t>
      </w:r>
    </w:p>
    <w:p>
      <w:pPr>
        <w:spacing w:after="0" w:line="229" w:lineRule="exact"/>
        <w:rPr>
          <w:sz w:val="20"/>
          <w:szCs w:val="20"/>
          <w:color w:val="auto"/>
        </w:rPr>
      </w:pPr>
    </w:p>
    <w:p>
      <w:pPr>
        <w:jc w:val="both"/>
        <w:ind w:right="20"/>
        <w:spacing w:after="0" w:line="257" w:lineRule="auto"/>
        <w:rPr>
          <w:sz w:val="20"/>
          <w:szCs w:val="20"/>
          <w:color w:val="auto"/>
        </w:rPr>
      </w:pPr>
      <w:r>
        <w:rPr>
          <w:rFonts w:ascii="Arial" w:cs="Arial" w:eastAsia="Arial" w:hAnsi="Arial"/>
          <w:sz w:val="18"/>
          <w:szCs w:val="18"/>
          <w:color w:val="auto"/>
        </w:rPr>
        <w:t>Management is responsible for establishing and maintaining adequate internal control over financial reporting, as defined in Exchange Act Rule 13a-15(f) or 15d-15(f). Management, with the participation and supervision of the Bank’s CEO and CFO, has evaluated the effectiveness of its internal control over financial reporting as of December 31, 2016. Such evaluation included (i) the documentation and understanding of the Bank’s internal control over financial reporting and (ii) a test of the design and the operating effectiveness of internal controls over financial reporting. This evaluation was the basis of management’s conclusions.</w:t>
      </w:r>
    </w:p>
    <w:p>
      <w:pPr>
        <w:spacing w:after="0" w:line="18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Management’s evaluation was based on the criteria set forth by the Internal Control-Integrated Framework 2013 of the Committee of Sponsoring Organizations of the Treadway Commission.</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Internal control over financial reporting is a process designed to provide reasonable assurance regarding the reliability of financial reporting and the preparation of financial statements for external purposes in accordance with generally accepted accounting principles. The Bank’s internal control over financial reporting includes policies and procedures that:</w:t>
      </w:r>
    </w:p>
    <w:p>
      <w:pPr>
        <w:spacing w:after="0" w:line="181" w:lineRule="exact"/>
        <w:rPr>
          <w:sz w:val="20"/>
          <w:szCs w:val="20"/>
          <w:color w:val="auto"/>
        </w:rPr>
      </w:pPr>
    </w:p>
    <w:p>
      <w:pPr>
        <w:ind w:left="920" w:hanging="264"/>
        <w:spacing w:after="0"/>
        <w:tabs>
          <w:tab w:leader="none" w:pos="920" w:val="left"/>
        </w:tabs>
        <w:numPr>
          <w:ilvl w:val="0"/>
          <w:numId w:val="88"/>
        </w:numPr>
        <w:rPr>
          <w:rFonts w:ascii="Arial" w:cs="Arial" w:eastAsia="Arial" w:hAnsi="Arial"/>
          <w:sz w:val="16"/>
          <w:szCs w:val="16"/>
          <w:color w:val="auto"/>
        </w:rPr>
      </w:pPr>
      <w:r>
        <w:rPr>
          <w:rFonts w:ascii="Arial" w:cs="Arial" w:eastAsia="Arial" w:hAnsi="Arial"/>
          <w:sz w:val="16"/>
          <w:szCs w:val="16"/>
          <w:color w:val="auto"/>
        </w:rPr>
        <w:t>pertain to the maintenance of records that, in reasonable detail, accurately and fairly reflect the Bank’s transactions and dispositions of its assets;</w:t>
      </w:r>
    </w:p>
    <w:p>
      <w:pPr>
        <w:spacing w:after="0" w:line="248" w:lineRule="exact"/>
        <w:rPr>
          <w:rFonts w:ascii="Arial" w:cs="Arial" w:eastAsia="Arial" w:hAnsi="Arial"/>
          <w:sz w:val="16"/>
          <w:szCs w:val="16"/>
          <w:color w:val="auto"/>
        </w:rPr>
      </w:pPr>
    </w:p>
    <w:p>
      <w:pPr>
        <w:jc w:val="both"/>
        <w:ind w:left="660" w:hanging="4"/>
        <w:spacing w:after="0" w:line="264" w:lineRule="auto"/>
        <w:tabs>
          <w:tab w:leader="none" w:pos="936" w:val="left"/>
        </w:tabs>
        <w:numPr>
          <w:ilvl w:val="0"/>
          <w:numId w:val="88"/>
        </w:numPr>
        <w:rPr>
          <w:rFonts w:ascii="Arial" w:cs="Arial" w:eastAsia="Arial" w:hAnsi="Arial"/>
          <w:sz w:val="18"/>
          <w:szCs w:val="18"/>
          <w:color w:val="auto"/>
        </w:rPr>
      </w:pPr>
      <w:r>
        <w:rPr>
          <w:rFonts w:ascii="Arial" w:cs="Arial" w:eastAsia="Arial" w:hAnsi="Arial"/>
          <w:sz w:val="18"/>
          <w:szCs w:val="18"/>
          <w:color w:val="auto"/>
        </w:rPr>
        <w:t>provide reasonable assurance that transactions are recorded as necessary to permit the preparation of financial statements in accordance with generally accepted accounting principles, and that the Bank’s receipts and expenditures are being made only in accordance with authorizations of the Bank’s management and the Board; and</w:t>
      </w:r>
    </w:p>
    <w:p>
      <w:pPr>
        <w:spacing w:after="0" w:line="181" w:lineRule="exact"/>
        <w:rPr>
          <w:rFonts w:ascii="Arial" w:cs="Arial" w:eastAsia="Arial" w:hAnsi="Arial"/>
          <w:sz w:val="18"/>
          <w:szCs w:val="18"/>
          <w:color w:val="auto"/>
        </w:rPr>
      </w:pPr>
    </w:p>
    <w:p>
      <w:pPr>
        <w:ind w:left="660" w:hanging="4"/>
        <w:spacing w:after="0" w:line="277" w:lineRule="auto"/>
        <w:tabs>
          <w:tab w:leader="none" w:pos="930" w:val="left"/>
        </w:tabs>
        <w:numPr>
          <w:ilvl w:val="0"/>
          <w:numId w:val="88"/>
        </w:numPr>
        <w:rPr>
          <w:rFonts w:ascii="Arial" w:cs="Arial" w:eastAsia="Arial" w:hAnsi="Arial"/>
          <w:sz w:val="18"/>
          <w:szCs w:val="18"/>
          <w:color w:val="auto"/>
        </w:rPr>
      </w:pPr>
      <w:r>
        <w:rPr>
          <w:rFonts w:ascii="Arial" w:cs="Arial" w:eastAsia="Arial" w:hAnsi="Arial"/>
          <w:sz w:val="18"/>
          <w:szCs w:val="18"/>
          <w:color w:val="auto"/>
        </w:rPr>
        <w:t>provide reasonable assurance regarding prevention or timely detection of unauthorized acquisition, use or disposition of the Bank’s assets that could have a material effect on its financial statements.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4" w:name="page115"/>
    <w:bookmarkEnd w:id="114"/>
    <w:p>
      <w:pPr>
        <w:jc w:val="both"/>
        <w:spacing w:after="0" w:line="259" w:lineRule="auto"/>
        <w:rPr>
          <w:sz w:val="20"/>
          <w:szCs w:val="20"/>
          <w:color w:val="auto"/>
        </w:rPr>
      </w:pPr>
      <w:r>
        <w:rPr>
          <w:rFonts w:ascii="Arial" w:cs="Arial" w:eastAsia="Arial" w:hAnsi="Arial"/>
          <w:sz w:val="18"/>
          <w:szCs w:val="18"/>
          <w:color w:val="auto"/>
        </w:rPr>
        <w:t>Because of its inherent limitations, internal control over financial reporting determined to be effective can provide only reasonable assurance with respect to financial statement preparation and may not prevent or detect all misstatements. Also, projections of any evaluation of the effectiveness to future periods are subject to the risk that controls may become inadequate because of changes in conditions, or that the degree of compliance with the policies or procedures may deteriorate.</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Based on the assessment and criteria described above, the Bank’s management concluded that, as of December 31, 2017, the Bank’s internal control over financial reporting was effective.</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independent registered public accounting firm, Deloitte, has issued an attestation report on the effectiveness of the Bank’s internal control over financial reporting.</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 Attestation Report of the Registered Public Accounting Firm</w:t>
      </w:r>
    </w:p>
    <w:p>
      <w:pPr>
        <w:spacing w:after="0" w:line="200" w:lineRule="exact"/>
        <w:rPr>
          <w:sz w:val="20"/>
          <w:szCs w:val="20"/>
          <w:color w:val="auto"/>
        </w:rPr>
      </w:pPr>
    </w:p>
    <w:p>
      <w:pPr>
        <w:spacing w:after="0" w:line="237" w:lineRule="exact"/>
        <w:rPr>
          <w:sz w:val="20"/>
          <w:szCs w:val="20"/>
          <w:color w:val="auto"/>
        </w:rPr>
      </w:pPr>
    </w:p>
    <w:p>
      <w:pPr>
        <w:ind w:left="8820"/>
        <w:spacing w:after="0"/>
        <w:rPr>
          <w:sz w:val="20"/>
          <w:szCs w:val="20"/>
          <w:color w:val="auto"/>
        </w:rPr>
      </w:pPr>
      <w:r>
        <w:rPr>
          <w:rFonts w:ascii="Arial" w:cs="Arial" w:eastAsia="Arial" w:hAnsi="Arial"/>
          <w:sz w:val="14"/>
          <w:szCs w:val="14"/>
          <w:b w:val="1"/>
          <w:bCs w:val="1"/>
          <w:color w:val="auto"/>
        </w:rPr>
        <w:t>Deloitte, lnc.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-86995</wp:posOffset>
            </wp:positionV>
            <wp:extent cx="1577975" cy="42862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1577975" cy="428625"/>
                    </a:xfrm>
                    <a:prstGeom prst="rect">
                      <a:avLst/>
                    </a:prstGeom>
                    <a:noFill/>
                  </pic:spPr>
                </pic:pic>
              </a:graphicData>
            </a:graphic>
          </wp:anchor>
        </w:drawing>
      </w:r>
    </w:p>
    <w:p>
      <w:pPr>
        <w:ind w:left="8820"/>
        <w:spacing w:after="0" w:line="226" w:lineRule="auto"/>
        <w:rPr>
          <w:sz w:val="20"/>
          <w:szCs w:val="20"/>
          <w:color w:val="auto"/>
        </w:rPr>
      </w:pPr>
      <w:r>
        <w:rPr>
          <w:rFonts w:ascii="Arial" w:cs="Arial" w:eastAsia="Arial" w:hAnsi="Arial"/>
          <w:sz w:val="14"/>
          <w:szCs w:val="14"/>
          <w:color w:val="auto"/>
        </w:rPr>
        <w:t>Contadores Públicos Autorizados</w:t>
      </w:r>
    </w:p>
    <w:p>
      <w:pPr>
        <w:ind w:left="8820"/>
        <w:spacing w:after="0" w:line="222" w:lineRule="auto"/>
        <w:rPr>
          <w:sz w:val="20"/>
          <w:szCs w:val="20"/>
          <w:color w:val="auto"/>
        </w:rPr>
      </w:pPr>
      <w:r>
        <w:rPr>
          <w:rFonts w:ascii="Arial" w:cs="Arial" w:eastAsia="Arial" w:hAnsi="Arial"/>
          <w:sz w:val="14"/>
          <w:szCs w:val="14"/>
          <w:color w:val="auto"/>
        </w:rPr>
        <w:t>RUC 16292-152-155203 D.V. 65</w:t>
      </w:r>
    </w:p>
    <w:p>
      <w:pPr>
        <w:ind w:left="8820"/>
        <w:spacing w:after="0" w:line="221" w:lineRule="auto"/>
        <w:rPr>
          <w:sz w:val="20"/>
          <w:szCs w:val="20"/>
          <w:color w:val="auto"/>
        </w:rPr>
      </w:pPr>
      <w:r>
        <w:rPr>
          <w:rFonts w:ascii="Arial" w:cs="Arial" w:eastAsia="Arial" w:hAnsi="Arial"/>
          <w:sz w:val="14"/>
          <w:szCs w:val="14"/>
          <w:color w:val="auto"/>
        </w:rPr>
        <w:t>Torre Banco Panamá, piso 12</w:t>
      </w:r>
    </w:p>
    <w:p>
      <w:pPr>
        <w:ind w:left="8820"/>
        <w:spacing w:after="0" w:line="222" w:lineRule="auto"/>
        <w:rPr>
          <w:sz w:val="20"/>
          <w:szCs w:val="20"/>
          <w:color w:val="auto"/>
        </w:rPr>
      </w:pPr>
      <w:r>
        <w:rPr>
          <w:rFonts w:ascii="Arial" w:cs="Arial" w:eastAsia="Arial" w:hAnsi="Arial"/>
          <w:sz w:val="14"/>
          <w:szCs w:val="14"/>
          <w:color w:val="auto"/>
        </w:rPr>
        <w:t>Avenida Boulevard y la Rotonda</w:t>
      </w:r>
    </w:p>
    <w:p>
      <w:pPr>
        <w:ind w:left="8820"/>
        <w:spacing w:after="0" w:line="221" w:lineRule="auto"/>
        <w:rPr>
          <w:sz w:val="20"/>
          <w:szCs w:val="20"/>
          <w:color w:val="auto"/>
        </w:rPr>
      </w:pPr>
      <w:r>
        <w:rPr>
          <w:rFonts w:ascii="Arial" w:cs="Arial" w:eastAsia="Arial" w:hAnsi="Arial"/>
          <w:sz w:val="14"/>
          <w:szCs w:val="14"/>
          <w:color w:val="auto"/>
        </w:rPr>
        <w:t>Costa del Este, Panamá</w:t>
      </w:r>
    </w:p>
    <w:p>
      <w:pPr>
        <w:ind w:left="8820"/>
        <w:spacing w:after="0" w:line="222" w:lineRule="auto"/>
        <w:rPr>
          <w:sz w:val="20"/>
          <w:szCs w:val="20"/>
          <w:color w:val="auto"/>
        </w:rPr>
      </w:pPr>
      <w:r>
        <w:rPr>
          <w:rFonts w:ascii="Arial" w:cs="Arial" w:eastAsia="Arial" w:hAnsi="Arial"/>
          <w:sz w:val="14"/>
          <w:szCs w:val="14"/>
          <w:color w:val="auto"/>
        </w:rPr>
        <w:t>Apartado 0816-01558</w:t>
      </w:r>
    </w:p>
    <w:p>
      <w:pPr>
        <w:ind w:left="8820"/>
        <w:spacing w:after="0"/>
        <w:rPr>
          <w:sz w:val="20"/>
          <w:szCs w:val="20"/>
          <w:color w:val="auto"/>
        </w:rPr>
      </w:pPr>
      <w:r>
        <w:rPr>
          <w:rFonts w:ascii="Arial" w:cs="Arial" w:eastAsia="Arial" w:hAnsi="Arial"/>
          <w:sz w:val="14"/>
          <w:szCs w:val="14"/>
          <w:color w:val="auto"/>
        </w:rPr>
        <w:t>Panamá, Rep. de Panamá</w:t>
      </w:r>
    </w:p>
    <w:p>
      <w:pPr>
        <w:spacing w:after="0" w:line="124" w:lineRule="exact"/>
        <w:rPr>
          <w:sz w:val="20"/>
          <w:szCs w:val="20"/>
          <w:color w:val="auto"/>
        </w:rPr>
      </w:pPr>
    </w:p>
    <w:p>
      <w:pPr>
        <w:ind w:left="8820"/>
        <w:spacing w:after="0"/>
        <w:rPr>
          <w:sz w:val="20"/>
          <w:szCs w:val="20"/>
          <w:color w:val="auto"/>
        </w:rPr>
      </w:pPr>
      <w:r>
        <w:rPr>
          <w:rFonts w:ascii="Arial" w:cs="Arial" w:eastAsia="Arial" w:hAnsi="Arial"/>
          <w:sz w:val="14"/>
          <w:szCs w:val="14"/>
          <w:color w:val="auto"/>
        </w:rPr>
        <w:t>Teléfono: (507) 303-4100</w:t>
      </w:r>
    </w:p>
    <w:p>
      <w:pPr>
        <w:ind w:left="8820"/>
        <w:spacing w:after="0" w:line="221" w:lineRule="auto"/>
        <w:rPr>
          <w:sz w:val="20"/>
          <w:szCs w:val="20"/>
          <w:color w:val="auto"/>
        </w:rPr>
      </w:pPr>
      <w:r>
        <w:rPr>
          <w:rFonts w:ascii="Arial" w:cs="Arial" w:eastAsia="Arial" w:hAnsi="Arial"/>
          <w:sz w:val="14"/>
          <w:szCs w:val="14"/>
          <w:color w:val="auto"/>
        </w:rPr>
        <w:t>Fax: (507) 269-2386</w:t>
      </w:r>
    </w:p>
    <w:p>
      <w:pPr>
        <w:ind w:left="8820"/>
        <w:spacing w:after="0" w:line="221" w:lineRule="auto"/>
        <w:rPr>
          <w:sz w:val="20"/>
          <w:szCs w:val="20"/>
          <w:color w:val="auto"/>
        </w:rPr>
      </w:pPr>
      <w:r>
        <w:rPr>
          <w:rFonts w:ascii="Arial" w:cs="Arial" w:eastAsia="Arial" w:hAnsi="Arial"/>
          <w:sz w:val="14"/>
          <w:szCs w:val="14"/>
          <w:color w:val="auto"/>
        </w:rPr>
        <w:t>infopanama@deloitte.com</w:t>
      </w:r>
    </w:p>
    <w:p>
      <w:pPr>
        <w:spacing w:after="0" w:line="1" w:lineRule="exact"/>
        <w:rPr>
          <w:sz w:val="20"/>
          <w:szCs w:val="20"/>
          <w:color w:val="auto"/>
        </w:rPr>
      </w:pPr>
    </w:p>
    <w:p>
      <w:pPr>
        <w:ind w:left="8820"/>
        <w:spacing w:after="0"/>
        <w:rPr>
          <w:sz w:val="20"/>
          <w:szCs w:val="20"/>
          <w:color w:val="auto"/>
        </w:rPr>
      </w:pPr>
      <w:r>
        <w:rPr>
          <w:rFonts w:ascii="Arial" w:cs="Arial" w:eastAsia="Arial" w:hAnsi="Arial"/>
          <w:sz w:val="14"/>
          <w:szCs w:val="14"/>
          <w:color w:val="auto"/>
        </w:rPr>
        <w:t>www.deloitte.com/pa</w:t>
      </w:r>
    </w:p>
    <w:p>
      <w:pPr>
        <w:spacing w:after="0" w:line="200" w:lineRule="exact"/>
        <w:rPr>
          <w:sz w:val="20"/>
          <w:szCs w:val="20"/>
          <w:color w:val="auto"/>
        </w:rPr>
      </w:pPr>
    </w:p>
    <w:p>
      <w:pPr>
        <w:spacing w:after="0" w:line="208" w:lineRule="exact"/>
        <w:rPr>
          <w:sz w:val="20"/>
          <w:szCs w:val="20"/>
          <w:color w:val="auto"/>
        </w:rPr>
      </w:pPr>
    </w:p>
    <w:p>
      <w:pPr>
        <w:ind w:left="2640"/>
        <w:spacing w:after="0"/>
        <w:rPr>
          <w:sz w:val="20"/>
          <w:szCs w:val="20"/>
          <w:color w:val="auto"/>
        </w:rPr>
      </w:pPr>
      <w:r>
        <w:rPr>
          <w:rFonts w:ascii="Arial" w:cs="Arial" w:eastAsia="Arial" w:hAnsi="Arial"/>
          <w:sz w:val="18"/>
          <w:szCs w:val="18"/>
          <w:b w:val="1"/>
          <w:bCs w:val="1"/>
          <w:u w:val="single" w:color="auto"/>
          <w:color w:val="auto"/>
        </w:rPr>
        <w:t>REPORT OF INDEPENDENT REGISTERED PUBLIC ACCOUNTING FIRM</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To the Board of Directors and Stockholders of</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Opinion on Internal Control over Financial Reporting</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We have audited the internal control over financial reporting of Banco Latinoamericano de Comercio Exterior, S.A. and subsidiaries (the "Bank") as of December 31, 2017, based on criteria established in Internal Control - Integrated Framework (2013) issued by the Committee of Sponsoring Organizations of the Treadway Commission (COSO). In our opinion, the Bank maintained, in all material respects, effective internal control over financial reporting as of December 31, 2017, based on the criteria established in Internal Control - Integrated Framework (2013) issued by COSO.</w:t>
      </w:r>
    </w:p>
    <w:p>
      <w:pPr>
        <w:spacing w:after="0" w:line="17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We have also audited, in accordance with the standards of the Public Company Accounting Oversight Board (United States) (PCAOB), the consolidated financial statements as of and for the year ended December 31, 2017 of the Bank and our report dated April 30, 2018, expressed an unqualified opinion on those consolidated financial statements.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Basis for Opinion</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management is responsible for maintaining effective internal control over financial reporting and for its assessment of the effectiveness of internal control over financial reporting, included in the accompanying Management’s Annual Report on Internal Control over Financial Reporting. Our responsibility is to express an opinion on the Bank's internal control over financial reporting based on our audit. We are a public accounting firm registered with the PCAOB and are required to be independent with respect to the Bank in accordance with the U.S. federal securities laws and the applicable rules and regulations of the Securities and Exchange Commission and the PCAOB.</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We conducted our audit in accordance with the standards of the PCAOB.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w:t>
      </w:r>
    </w:p>
    <w:p>
      <w:pPr>
        <w:spacing w:after="0" w:line="400" w:lineRule="exact"/>
        <w:rPr>
          <w:sz w:val="20"/>
          <w:szCs w:val="20"/>
          <w:color w:val="auto"/>
        </w:rPr>
      </w:pPr>
    </w:p>
    <w:p>
      <w:pPr>
        <w:ind w:left="8820"/>
        <w:spacing w:after="0"/>
        <w:rPr>
          <w:sz w:val="20"/>
          <w:szCs w:val="20"/>
          <w:color w:val="auto"/>
        </w:rPr>
      </w:pPr>
      <w:r>
        <w:rPr>
          <w:rFonts w:ascii="Arial" w:cs="Arial" w:eastAsia="Arial" w:hAnsi="Arial"/>
          <w:sz w:val="14"/>
          <w:szCs w:val="14"/>
          <w:color w:val="auto"/>
        </w:rPr>
        <w:t>Deloitte LATCO</w:t>
      </w:r>
    </w:p>
    <w:p>
      <w:pPr>
        <w:ind w:left="8820"/>
        <w:spacing w:after="0" w:line="221" w:lineRule="auto"/>
        <w:rPr>
          <w:sz w:val="20"/>
          <w:szCs w:val="20"/>
          <w:color w:val="auto"/>
        </w:rPr>
      </w:pPr>
      <w:r>
        <w:rPr>
          <w:rFonts w:ascii="Arial" w:cs="Arial" w:eastAsia="Arial" w:hAnsi="Arial"/>
          <w:sz w:val="14"/>
          <w:szCs w:val="14"/>
          <w:color w:val="auto"/>
        </w:rPr>
        <w:t>Firma miembro de</w:t>
      </w:r>
    </w:p>
    <w:p>
      <w:pPr>
        <w:ind w:left="8820"/>
        <w:spacing w:after="0"/>
        <w:rPr>
          <w:sz w:val="20"/>
          <w:szCs w:val="20"/>
          <w:color w:val="auto"/>
        </w:rPr>
      </w:pPr>
      <w:r>
        <w:rPr>
          <w:rFonts w:ascii="Arial" w:cs="Arial" w:eastAsia="Arial" w:hAnsi="Arial"/>
          <w:sz w:val="14"/>
          <w:szCs w:val="14"/>
          <w:color w:val="auto"/>
        </w:rPr>
        <w:t>Deloitte Touche Tohmatsu Limited</w:t>
      </w:r>
    </w:p>
    <w:p>
      <w:pPr>
        <w:spacing w:after="0" w:line="200" w:lineRule="exact"/>
        <w:rPr>
          <w:sz w:val="20"/>
          <w:szCs w:val="20"/>
          <w:color w:val="auto"/>
        </w:rPr>
      </w:pPr>
    </w:p>
    <w:p>
      <w:pPr>
        <w:spacing w:after="0" w:line="21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115" w:name="page116"/>
    <w:bookmarkEnd w:id="115"/>
    <w:p>
      <w:pP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643255" cy="16319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clrChange>
                        <a:clrFrom>
                          <a:srgbClr val="FFFFFF"/>
                        </a:clrFrom>
                        <a:clrTo>
                          <a:srgbClr val="FFFFFF">
                            <a:alpha val="0"/>
                          </a:srgbClr>
                        </a:clrTo>
                      </a:clrChange>
                      <a:extLst>
                        <a:ext uri="{28A0092B-C50C-407E-A947-70E740481C1C}"/>
                      </a:extLst>
                    </a:blip>
                    <a:srcRect/>
                    <a:stretch>
                      <a:fillRect/>
                    </a:stretch>
                  </pic:blipFill>
                  <pic:spPr bwMode="auto">
                    <a:xfrm>
                      <a:off x="0" y="0"/>
                      <a:ext cx="643255" cy="163195"/>
                    </a:xfrm>
                    <a:prstGeom prst="rect">
                      <a:avLst/>
                    </a:prstGeom>
                    <a:noFill/>
                  </pic:spPr>
                </pic:pic>
              </a:graphicData>
            </a:graphic>
          </wp:anchor>
        </w:drawing>
        <w:t>Definition and Limitations of Internal Control over Financial Reporting</w:t>
      </w:r>
    </w:p>
    <w:p>
      <w:pPr>
        <w:spacing w:after="0" w:line="229"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A Bank's internal control over financial reporting is a process designed to provide reasonable assurance regarding the reliability of financial reporting and the preparation of consolidated financial statements for external purposes in accordance with International Financial Reporting Standards, as issued by the International Accounting Standards Board (IFRS). A Bank's internal control over financial reporting includes those policies and procedures that (1) pertain to the maintenance of records that, in reasonable detail, accurately and fairly reflect the transactions and dispositions of the assets of the Bank; (2) provide reasonable assurance that transactions are recorded as necessary to permit preparation of consolidated financial statements in accordance with IFRS, and that receipts and expenditures of the Bank are being made only in accordance with authorizations of management and directors of the company; and (3) provide reasonable assurance regarding prevention or timely detection of unauthorized acquisition, use, or disposition of the Bank's assets that could have a material effect on the consolidated financial statements.</w:t>
      </w:r>
    </w:p>
    <w:p>
      <w:pPr>
        <w:spacing w:after="0" w:line="17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Because of its inherent limitations, internal control over financial reporting may not prevent or detect misstatements.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/s/ Deloitte, Inc.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2658745" cy="889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2658745" cy="8890"/>
                    </a:xfrm>
                    <a:prstGeom prst="rect">
                      <a:avLst/>
                    </a:prstGeom>
                    <a:noFill/>
                  </pic:spPr>
                </pic:pic>
              </a:graphicData>
            </a:graphic>
          </wp:anchor>
        </w:drawing>
      </w:r>
    </w:p>
    <w:p>
      <w:pPr>
        <w:spacing w:after="0" w:line="219" w:lineRule="exact"/>
        <w:rPr>
          <w:sz w:val="20"/>
          <w:szCs w:val="20"/>
          <w:color w:val="auto"/>
        </w:rPr>
      </w:pPr>
    </w:p>
    <w:p>
      <w:pPr>
        <w:spacing w:after="0"/>
        <w:rPr>
          <w:sz w:val="20"/>
          <w:szCs w:val="20"/>
          <w:color w:val="auto"/>
        </w:rPr>
      </w:pPr>
      <w:r>
        <w:rPr>
          <w:rFonts w:ascii="Arial" w:cs="Arial" w:eastAsia="Arial" w:hAnsi="Arial"/>
          <w:sz w:val="18"/>
          <w:szCs w:val="18"/>
          <w:color w:val="auto"/>
        </w:rPr>
        <w:t>April 30, 2018</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00" w:lineRule="exact"/>
        <w:rPr>
          <w:sz w:val="20"/>
          <w:szCs w:val="20"/>
          <w:color w:val="auto"/>
        </w:rPr>
      </w:pPr>
    </w:p>
    <w:p>
      <w:pPr>
        <w:spacing w:after="0" w:line="222" w:lineRule="exact"/>
        <w:rPr>
          <w:sz w:val="20"/>
          <w:szCs w:val="20"/>
          <w:color w:val="auto"/>
        </w:rPr>
      </w:pPr>
    </w:p>
    <w:p>
      <w:pPr>
        <w:ind w:left="8820"/>
        <w:spacing w:after="0"/>
        <w:rPr>
          <w:sz w:val="20"/>
          <w:szCs w:val="20"/>
          <w:color w:val="auto"/>
        </w:rPr>
      </w:pPr>
      <w:r>
        <w:rPr>
          <w:rFonts w:ascii="Arial" w:cs="Arial" w:eastAsia="Arial" w:hAnsi="Arial"/>
          <w:sz w:val="14"/>
          <w:szCs w:val="14"/>
          <w:color w:val="auto"/>
        </w:rPr>
        <w:t>Deloitte LATCO</w:t>
      </w:r>
    </w:p>
    <w:p>
      <w:pPr>
        <w:ind w:left="8820"/>
        <w:spacing w:after="0" w:line="221" w:lineRule="auto"/>
        <w:rPr>
          <w:sz w:val="20"/>
          <w:szCs w:val="20"/>
          <w:color w:val="auto"/>
        </w:rPr>
      </w:pPr>
      <w:r>
        <w:rPr>
          <w:rFonts w:ascii="Arial" w:cs="Arial" w:eastAsia="Arial" w:hAnsi="Arial"/>
          <w:sz w:val="14"/>
          <w:szCs w:val="14"/>
          <w:color w:val="auto"/>
        </w:rPr>
        <w:t>Firma miembro de</w:t>
      </w:r>
    </w:p>
    <w:p>
      <w:pPr>
        <w:ind w:left="8820"/>
        <w:spacing w:after="0"/>
        <w:rPr>
          <w:sz w:val="20"/>
          <w:szCs w:val="20"/>
          <w:color w:val="auto"/>
        </w:rPr>
      </w:pPr>
      <w:r>
        <w:rPr>
          <w:rFonts w:ascii="Arial" w:cs="Arial" w:eastAsia="Arial" w:hAnsi="Arial"/>
          <w:sz w:val="14"/>
          <w:szCs w:val="14"/>
          <w:color w:val="auto"/>
        </w:rPr>
        <w:t>Deloitte Touche Tohmatsu Limited</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 Changes in Internal Control over Financial Reporting</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There has been no change in the Bank’s internal control over financial reporting during the fiscal year ended December 31, 2017 that has materially affected, or is reasonably likely to materially affect, the Bank’s internal control over financial reporting, as such term is defined in Rules 13a-15(f) and 15d-15(f) under the Exchange Act.</w:t>
      </w:r>
    </w:p>
    <w:p>
      <w:pPr>
        <w:spacing w:after="0" w:line="177"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w:t>
      </w:r>
      <w:r>
        <w:rPr>
          <w:sz w:val="20"/>
          <w:szCs w:val="20"/>
          <w:color w:val="auto"/>
        </w:rPr>
        <w:tab/>
      </w:r>
      <w:r>
        <w:rPr>
          <w:rFonts w:ascii="Arial" w:cs="Arial" w:eastAsia="Arial" w:hAnsi="Arial"/>
          <w:sz w:val="16"/>
          <w:szCs w:val="16"/>
          <w:b w:val="1"/>
          <w:bCs w:val="1"/>
          <w:color w:val="auto"/>
        </w:rPr>
        <w:t>[Reserved]</w:t>
      </w:r>
    </w:p>
    <w:p>
      <w:pPr>
        <w:spacing w:after="0" w:line="252"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16A.</w:t>
      </w:r>
      <w:r>
        <w:rPr>
          <w:sz w:val="20"/>
          <w:szCs w:val="20"/>
          <w:color w:val="auto"/>
        </w:rPr>
        <w:tab/>
      </w:r>
      <w:r>
        <w:rPr>
          <w:rFonts w:ascii="Arial" w:cs="Arial" w:eastAsia="Arial" w:hAnsi="Arial"/>
          <w:sz w:val="16"/>
          <w:szCs w:val="16"/>
          <w:b w:val="1"/>
          <w:bCs w:val="1"/>
          <w:color w:val="auto"/>
        </w:rPr>
        <w:t>Audit Committee Financial Expert</w:t>
      </w:r>
    </w:p>
    <w:p>
      <w:pPr>
        <w:spacing w:after="0" w:line="229" w:lineRule="exact"/>
        <w:rPr>
          <w:sz w:val="20"/>
          <w:szCs w:val="20"/>
          <w:color w:val="auto"/>
        </w:rPr>
      </w:pPr>
    </w:p>
    <w:p>
      <w:pPr>
        <w:spacing w:after="0"/>
        <w:rPr>
          <w:sz w:val="20"/>
          <w:szCs w:val="20"/>
          <w:color w:val="auto"/>
        </w:rPr>
      </w:pPr>
      <w:r>
        <w:rPr>
          <w:rFonts w:ascii="Arial" w:cs="Arial" w:eastAsia="Arial" w:hAnsi="Arial"/>
          <w:sz w:val="16"/>
          <w:szCs w:val="16"/>
          <w:color w:val="auto"/>
        </w:rPr>
        <w:t>The Board has determined that at least one member of the Audit Committee is an “audit committee financial expert,” as defined in the rules enacted by the</w:t>
      </w:r>
    </w:p>
    <w:p>
      <w:pPr>
        <w:spacing w:after="0" w:line="46" w:lineRule="exact"/>
        <w:rPr>
          <w:sz w:val="20"/>
          <w:szCs w:val="20"/>
          <w:color w:val="auto"/>
        </w:rPr>
      </w:pPr>
    </w:p>
    <w:p>
      <w:pPr>
        <w:spacing w:after="0"/>
        <w:rPr>
          <w:sz w:val="20"/>
          <w:szCs w:val="20"/>
          <w:color w:val="auto"/>
        </w:rPr>
      </w:pPr>
      <w:r>
        <w:rPr>
          <w:rFonts w:ascii="Arial" w:cs="Arial" w:eastAsia="Arial" w:hAnsi="Arial"/>
          <w:sz w:val="17"/>
          <w:szCs w:val="17"/>
          <w:color w:val="auto"/>
        </w:rPr>
        <w:t>SEC under the Sarbanes-Oxley Act, Section 303A of NYSE Listed Company Manual, and Rule No. 05-2011, as amended by Rule No. 05-2014 of the</w:t>
      </w:r>
    </w:p>
    <w:p>
      <w:pPr>
        <w:spacing w:after="0" w:line="21" w:lineRule="exact"/>
        <w:rPr>
          <w:sz w:val="20"/>
          <w:szCs w:val="20"/>
          <w:color w:val="auto"/>
        </w:rPr>
      </w:pPr>
    </w:p>
    <w:p>
      <w:pPr>
        <w:spacing w:after="0"/>
        <w:rPr>
          <w:sz w:val="20"/>
          <w:szCs w:val="20"/>
          <w:color w:val="auto"/>
        </w:rPr>
      </w:pPr>
      <w:r>
        <w:rPr>
          <w:rFonts w:ascii="Arial" w:cs="Arial" w:eastAsia="Arial" w:hAnsi="Arial"/>
          <w:sz w:val="16"/>
          <w:szCs w:val="16"/>
          <w:color w:val="auto"/>
        </w:rPr>
        <w:t>Superintendency of Banks of Panama. The Audit Committee’s financial expert is Gonzalo Menéndez Duque. Mr. Menéndez Duque is independent as defined</w:t>
      </w:r>
    </w:p>
    <w:p>
      <w:pPr>
        <w:spacing w:after="0" w:line="32" w:lineRule="exact"/>
        <w:rPr>
          <w:sz w:val="20"/>
          <w:szCs w:val="20"/>
          <w:color w:val="auto"/>
        </w:rPr>
      </w:pPr>
    </w:p>
    <w:p>
      <w:pPr>
        <w:spacing w:after="0"/>
        <w:rPr>
          <w:sz w:val="20"/>
          <w:szCs w:val="20"/>
          <w:color w:val="auto"/>
        </w:rPr>
      </w:pPr>
      <w:r>
        <w:rPr>
          <w:rFonts w:ascii="Arial" w:cs="Arial" w:eastAsia="Arial" w:hAnsi="Arial"/>
          <w:sz w:val="18"/>
          <w:szCs w:val="18"/>
          <w:color w:val="auto"/>
        </w:rPr>
        <w:t>by the NYSE Listed Company Manual and Item 407 of Regulation S-K.</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See Item 6.A., “Directors and Executive Officers.”</w:t>
      </w:r>
    </w:p>
    <w:p>
      <w:pPr>
        <w:spacing w:after="0" w:line="207"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16B.</w:t>
      </w:r>
      <w:r>
        <w:rPr>
          <w:sz w:val="20"/>
          <w:szCs w:val="20"/>
          <w:color w:val="auto"/>
        </w:rPr>
        <w:tab/>
      </w:r>
      <w:r>
        <w:rPr>
          <w:rFonts w:ascii="Arial" w:cs="Arial" w:eastAsia="Arial" w:hAnsi="Arial"/>
          <w:sz w:val="15"/>
          <w:szCs w:val="15"/>
          <w:b w:val="1"/>
          <w:bCs w:val="1"/>
          <w:color w:val="auto"/>
        </w:rPr>
        <w:t>Code of Ethics</w:t>
      </w:r>
    </w:p>
    <w:p>
      <w:pPr>
        <w:spacing w:after="0" w:line="229"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Bank has adopted a Code of Ethics that applies to the Bank’s principal executive officer, principal financial officer and principal accounting officer. The Bank’s Code of Ethics includes the information regarding its corporate governance practices necessary to comply with Section 303A of the NYSE Rules.</w:t>
      </w: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377" w:right="239" w:bottom="1440" w:gutter="0" w:footer="0" w:header="0"/>
        </w:sectPr>
      </w:pPr>
    </w:p>
    <w:bookmarkStart w:id="116" w:name="page117"/>
    <w:bookmarkEnd w:id="116"/>
    <w:p>
      <w:pPr>
        <w:jc w:val="both"/>
        <w:spacing w:after="0" w:line="286" w:lineRule="auto"/>
        <w:rPr>
          <w:sz w:val="20"/>
          <w:szCs w:val="20"/>
          <w:color w:val="auto"/>
        </w:rPr>
      </w:pPr>
      <w:r>
        <w:rPr>
          <w:rFonts w:ascii="Arial" w:cs="Arial" w:eastAsia="Arial" w:hAnsi="Arial"/>
          <w:sz w:val="17"/>
          <w:szCs w:val="17"/>
          <w:color w:val="auto"/>
        </w:rPr>
        <w:t>A copy of the Bank’s amended Code of Ethics, approved by the Compensation Committee in its meeting held on August 15, 2017, is being filed with the SEC as an Exhibit to this Annual Report on Form 20-F for the fiscal year ended December 31, 2017, and may also be found on the Bank’s website at http://www.bladex.com/en/investors/governance-documents (for purposes of Section 406 of the Sarbanes-Oxley Act of 2002).</w:t>
      </w:r>
    </w:p>
    <w:p>
      <w:pPr>
        <w:spacing w:after="0" w:line="162"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16C.</w:t>
      </w:r>
      <w:r>
        <w:rPr>
          <w:sz w:val="20"/>
          <w:szCs w:val="20"/>
          <w:color w:val="auto"/>
        </w:rPr>
        <w:tab/>
      </w:r>
      <w:r>
        <w:rPr>
          <w:rFonts w:ascii="Arial" w:cs="Arial" w:eastAsia="Arial" w:hAnsi="Arial"/>
          <w:sz w:val="15"/>
          <w:szCs w:val="15"/>
          <w:b w:val="1"/>
          <w:bCs w:val="1"/>
          <w:color w:val="auto"/>
        </w:rPr>
        <w:t>Principal Accountant Fees and Services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summarizes the fees paid or accrued by the Bank for audit and other services provided by Deloitte, the Bank’s independent registered public accounting firm, for each of the last two fiscal years: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70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2960" w:type="dxa"/>
            <w:vAlign w:val="bottom"/>
            <w:gridSpan w:val="6"/>
          </w:tcPr>
          <w:p>
            <w:pPr>
              <w:ind w:left="520"/>
              <w:spacing w:after="0"/>
              <w:rPr>
                <w:sz w:val="20"/>
                <w:szCs w:val="20"/>
                <w:color w:val="auto"/>
              </w:rPr>
            </w:pPr>
            <w:r>
              <w:rPr>
                <w:rFonts w:ascii="Arial" w:cs="Arial" w:eastAsia="Arial" w:hAnsi="Arial"/>
                <w:sz w:val="18"/>
                <w:szCs w:val="18"/>
                <w:b w:val="1"/>
                <w:bCs w:val="1"/>
                <w:color w:val="auto"/>
              </w:rPr>
              <w:t>As of December 31,</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70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1160" w:type="dxa"/>
            <w:vAlign w:val="bottom"/>
            <w:tcBorders>
              <w:top w:val="single" w:sz="8" w:color="auto"/>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2017</w:t>
            </w:r>
          </w:p>
        </w:tc>
        <w:tc>
          <w:tcPr>
            <w:tcW w:w="12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1160" w:type="dxa"/>
            <w:vAlign w:val="bottom"/>
            <w:tcBorders>
              <w:top w:val="single" w:sz="8" w:color="auto"/>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70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700" w:type="dxa"/>
            <w:vAlign w:val="bottom"/>
            <w:shd w:val="clear" w:color="auto" w:fill="CCEEFF"/>
          </w:tcPr>
          <w:p>
            <w:pPr>
              <w:spacing w:after="0"/>
              <w:rPr>
                <w:sz w:val="20"/>
                <w:szCs w:val="20"/>
                <w:color w:val="auto"/>
              </w:rPr>
            </w:pPr>
            <w:r>
              <w:rPr>
                <w:rFonts w:ascii="Arial" w:cs="Arial" w:eastAsia="Arial" w:hAnsi="Arial"/>
                <w:sz w:val="18"/>
                <w:szCs w:val="18"/>
                <w:color w:val="auto"/>
              </w:rPr>
              <w:t>Audit fees</w:t>
            </w:r>
          </w:p>
        </w:tc>
        <w:tc>
          <w:tcPr>
            <w:tcW w:w="374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647,906</w:t>
            </w:r>
          </w:p>
        </w:tc>
        <w:tc>
          <w:tcPr>
            <w:tcW w:w="420" w:type="dxa"/>
            <w:vAlign w:val="bottom"/>
            <w:gridSpan w:val="2"/>
            <w:shd w:val="clear" w:color="auto" w:fill="CCEEFF"/>
          </w:tcPr>
          <w:p>
            <w:pPr>
              <w:jc w:val="right"/>
              <w:ind w:right="165"/>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647,767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00" w:type="dxa"/>
            <w:vAlign w:val="bottom"/>
          </w:tcPr>
          <w:p>
            <w:pPr>
              <w:spacing w:after="0"/>
              <w:rPr>
                <w:sz w:val="20"/>
                <w:szCs w:val="20"/>
                <w:color w:val="auto"/>
              </w:rPr>
            </w:pPr>
            <w:r>
              <w:rPr>
                <w:rFonts w:ascii="Arial" w:cs="Arial" w:eastAsia="Arial" w:hAnsi="Arial"/>
                <w:sz w:val="18"/>
                <w:szCs w:val="18"/>
                <w:color w:val="auto"/>
              </w:rPr>
              <w:t>Audit-related fees</w:t>
            </w:r>
          </w:p>
        </w:tc>
        <w:tc>
          <w:tcPr>
            <w:tcW w:w="34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206,189</w:t>
            </w: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217,959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00" w:type="dxa"/>
            <w:vAlign w:val="bottom"/>
            <w:shd w:val="clear" w:color="auto" w:fill="CCEEFF"/>
          </w:tcPr>
          <w:p>
            <w:pPr>
              <w:spacing w:after="0"/>
              <w:rPr>
                <w:sz w:val="20"/>
                <w:szCs w:val="20"/>
                <w:color w:val="auto"/>
              </w:rPr>
            </w:pPr>
            <w:r>
              <w:rPr>
                <w:rFonts w:ascii="Arial" w:cs="Arial" w:eastAsia="Arial" w:hAnsi="Arial"/>
                <w:sz w:val="18"/>
                <w:szCs w:val="18"/>
                <w:color w:val="auto"/>
              </w:rPr>
              <w:t>Tax fees</w:t>
            </w:r>
          </w:p>
        </w:tc>
        <w:tc>
          <w:tcPr>
            <w:tcW w:w="34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700" w:type="dxa"/>
            <w:vAlign w:val="bottom"/>
          </w:tcPr>
          <w:p>
            <w:pPr>
              <w:spacing w:after="0"/>
              <w:rPr>
                <w:sz w:val="20"/>
                <w:szCs w:val="20"/>
                <w:color w:val="auto"/>
              </w:rPr>
            </w:pPr>
            <w:r>
              <w:rPr>
                <w:rFonts w:ascii="Arial" w:cs="Arial" w:eastAsia="Arial" w:hAnsi="Arial"/>
                <w:sz w:val="18"/>
                <w:szCs w:val="18"/>
                <w:color w:val="auto"/>
              </w:rPr>
              <w:t>All other fees</w:t>
            </w:r>
          </w:p>
        </w:tc>
        <w:tc>
          <w:tcPr>
            <w:tcW w:w="340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7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3400" w:type="dxa"/>
            <w:vAlign w:val="bottom"/>
            <w:tcBorders>
              <w:top w:val="single" w:sz="8" w:color="CCEEFF"/>
              <w:bottom w:val="single" w:sz="8" w:color="CCEEFF"/>
            </w:tcBorders>
            <w:shd w:val="clear" w:color="auto" w:fill="CCEEFF"/>
          </w:tcPr>
          <w:p>
            <w:pPr>
              <w:spacing w:after="0"/>
              <w:rPr>
                <w:sz w:val="19"/>
                <w:szCs w:val="19"/>
                <w:color w:val="auto"/>
              </w:rPr>
            </w:pPr>
          </w:p>
        </w:tc>
        <w:tc>
          <w:tcPr>
            <w:tcW w:w="340" w:type="dxa"/>
            <w:vAlign w:val="bottom"/>
            <w:tcBorders>
              <w:top w:val="single" w:sz="8" w:color="auto"/>
              <w:bottom w:val="single" w:sz="8" w:color="auto"/>
            </w:tcBorders>
            <w:shd w:val="clear" w:color="auto" w:fill="CCEEFF"/>
          </w:tcPr>
          <w:p>
            <w:pPr>
              <w:jc w:val="right"/>
              <w:ind w:right="150"/>
              <w:spacing w:after="0"/>
              <w:rPr>
                <w:sz w:val="20"/>
                <w:szCs w:val="20"/>
                <w:color w:val="auto"/>
              </w:rPr>
            </w:pPr>
            <w:r>
              <w:rPr>
                <w:rFonts w:ascii="Arial" w:cs="Arial" w:eastAsia="Arial" w:hAnsi="Arial"/>
                <w:sz w:val="18"/>
                <w:szCs w:val="18"/>
                <w:b w:val="1"/>
                <w:bCs w:val="1"/>
                <w:color w:val="auto"/>
                <w:w w:val="79"/>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854,095</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ind w:right="165"/>
              <w:spacing w:after="0"/>
              <w:rPr>
                <w:sz w:val="20"/>
                <w:szCs w:val="20"/>
                <w:color w:val="auto"/>
              </w:rPr>
            </w:pPr>
            <w:r>
              <w:rPr>
                <w:rFonts w:ascii="Arial" w:cs="Arial" w:eastAsia="Arial" w:hAnsi="Arial"/>
                <w:sz w:val="15"/>
                <w:szCs w:val="15"/>
                <w:b w:val="1"/>
                <w:bCs w:val="1"/>
                <w:color w:val="auto"/>
                <w:w w:val="71"/>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865,726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70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following is a description of the type of services included within the categories listed above:</w:t>
      </w:r>
    </w:p>
    <w:p>
      <w:pPr>
        <w:spacing w:after="0" w:line="225" w:lineRule="exact"/>
        <w:rPr>
          <w:sz w:val="20"/>
          <w:szCs w:val="20"/>
          <w:color w:val="auto"/>
        </w:rPr>
      </w:pPr>
    </w:p>
    <w:p>
      <w:pPr>
        <w:ind w:left="660" w:hanging="247"/>
        <w:spacing w:after="0" w:line="258" w:lineRule="auto"/>
        <w:tabs>
          <w:tab w:leader="none" w:pos="660" w:val="left"/>
        </w:tabs>
        <w:numPr>
          <w:ilvl w:val="0"/>
          <w:numId w:val="89"/>
        </w:numPr>
        <w:rPr>
          <w:rFonts w:ascii="Arial" w:cs="Arial" w:eastAsia="Arial" w:hAnsi="Arial"/>
          <w:sz w:val="18"/>
          <w:szCs w:val="18"/>
          <w:color w:val="auto"/>
        </w:rPr>
      </w:pPr>
      <w:r>
        <w:rPr>
          <w:rFonts w:ascii="Arial" w:cs="Arial" w:eastAsia="Arial" w:hAnsi="Arial"/>
          <w:sz w:val="18"/>
          <w:szCs w:val="18"/>
          <w:color w:val="auto"/>
        </w:rPr>
        <w:t>Audit fees include aggregate fees billed for professional services rendered by Deloitte for the audit of the Bank’s annual financial statements and services that are normally provided in connection with statutory and regulatory filings or engagements.</w:t>
      </w:r>
    </w:p>
    <w:p>
      <w:pPr>
        <w:spacing w:after="0" w:line="1" w:lineRule="exact"/>
        <w:rPr>
          <w:rFonts w:ascii="Arial" w:cs="Arial" w:eastAsia="Arial" w:hAnsi="Arial"/>
          <w:sz w:val="18"/>
          <w:szCs w:val="18"/>
          <w:color w:val="auto"/>
        </w:rPr>
      </w:pPr>
    </w:p>
    <w:p>
      <w:pPr>
        <w:jc w:val="both"/>
        <w:ind w:left="660" w:hanging="247"/>
        <w:spacing w:after="0" w:line="255" w:lineRule="auto"/>
        <w:tabs>
          <w:tab w:leader="none" w:pos="660" w:val="left"/>
        </w:tabs>
        <w:numPr>
          <w:ilvl w:val="0"/>
          <w:numId w:val="89"/>
        </w:numPr>
        <w:rPr>
          <w:rFonts w:ascii="Arial" w:cs="Arial" w:eastAsia="Arial" w:hAnsi="Arial"/>
          <w:sz w:val="18"/>
          <w:szCs w:val="18"/>
          <w:color w:val="auto"/>
        </w:rPr>
      </w:pPr>
      <w:r>
        <w:rPr>
          <w:rFonts w:ascii="Arial" w:cs="Arial" w:eastAsia="Arial" w:hAnsi="Arial"/>
          <w:sz w:val="18"/>
          <w:szCs w:val="18"/>
          <w:color w:val="auto"/>
        </w:rPr>
        <w:t>Audit-related fees include aggregate fees billed for assurance and related services by Deloitte that are reasonably related to the performance of the audit or review of the Bank’s financial statements and are not reported under the “Audit fees”. These services are associated with funding programs as part of the normal course of business of the Bank.</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Audit Committee Pre-Approval Policies and Procedures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Audit Committee pre-approves all audit and non-audit services to be provided to the Bank by the Bank’s independent accounting firm. All of the services related to the audit fees, audit-related fees, tax fees and all other fees described above were approved by the Audit Committee.</w:t>
      </w:r>
    </w:p>
    <w:p>
      <w:pPr>
        <w:spacing w:after="0" w:line="166"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16D.</w:t>
      </w:r>
      <w:r>
        <w:rPr>
          <w:sz w:val="20"/>
          <w:szCs w:val="20"/>
          <w:color w:val="auto"/>
        </w:rPr>
        <w:tab/>
      </w:r>
      <w:r>
        <w:rPr>
          <w:rFonts w:ascii="Arial" w:cs="Arial" w:eastAsia="Arial" w:hAnsi="Arial"/>
          <w:sz w:val="16"/>
          <w:szCs w:val="16"/>
          <w:b w:val="1"/>
          <w:bCs w:val="1"/>
          <w:color w:val="auto"/>
        </w:rPr>
        <w:t>Exemptions from the Listing Standards for Audit Committees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16E.</w:t>
      </w:r>
      <w:r>
        <w:rPr>
          <w:sz w:val="20"/>
          <w:szCs w:val="20"/>
          <w:color w:val="auto"/>
        </w:rPr>
        <w:tab/>
      </w:r>
      <w:r>
        <w:rPr>
          <w:rFonts w:ascii="Arial" w:cs="Arial" w:eastAsia="Arial" w:hAnsi="Arial"/>
          <w:sz w:val="16"/>
          <w:szCs w:val="16"/>
          <w:b w:val="1"/>
          <w:bCs w:val="1"/>
          <w:color w:val="auto"/>
        </w:rPr>
        <w:t>Purchases of Equity Securities by the Issuer and Affiliated Purchasers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16F.</w:t>
      </w:r>
      <w:r>
        <w:rPr>
          <w:sz w:val="20"/>
          <w:szCs w:val="20"/>
          <w:color w:val="auto"/>
        </w:rPr>
        <w:tab/>
      </w:r>
      <w:r>
        <w:rPr>
          <w:rFonts w:ascii="Arial" w:cs="Arial" w:eastAsia="Arial" w:hAnsi="Arial"/>
          <w:sz w:val="16"/>
          <w:szCs w:val="16"/>
          <w:b w:val="1"/>
          <w:bCs w:val="1"/>
          <w:color w:val="auto"/>
        </w:rPr>
        <w:t>Change in Registrant’s Certifying Accountant</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At the Bank’s Annual Shareholders’ Meeting held on April 11, 2018, in Panama City, Panama, shareholders ratified the appointment of KPMG as the Bank’s new independent registered public accounting firm for the fiscal year ending December 31, 2018 to report on the Bank’s audited consolidated financial statements and to perform such other appropriate audit-related services as may be required.</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7" w:name="page118"/>
    <w:bookmarkEnd w:id="117"/>
    <w:p>
      <w:pPr>
        <w:jc w:val="both"/>
        <w:spacing w:after="0" w:line="277" w:lineRule="auto"/>
        <w:rPr>
          <w:sz w:val="20"/>
          <w:szCs w:val="20"/>
          <w:color w:val="auto"/>
        </w:rPr>
      </w:pPr>
      <w:r>
        <w:rPr>
          <w:rFonts w:ascii="Arial" w:cs="Arial" w:eastAsia="Arial" w:hAnsi="Arial"/>
          <w:sz w:val="18"/>
          <w:szCs w:val="18"/>
          <w:color w:val="auto"/>
        </w:rPr>
        <w:t>The decision to select KPMG as the new independent auditor for the Bank was recommended and approved by the Audit Committee of the Board based on the results of an open and transparent tender offer.</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audit reports of Deloitte on the Bank’s consolidated financial statements as of the years ended December 31, 2017 and 2016 did not contain any adverse opinion or disclaimer of opinion, nor were they qualified or modified as to uncertainty, audit scope or accounting principles.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In connection with the audit of the two fiscal years ended December 31, 2017 and 2016, and during the subsequent interim period through the date of this Annual Report, there were no disagreements with Deloitte on any matter of accounting principles or practices, financial statement disclosure, or auditing scope of procedures, which disagreements, if not resolved to Deloitte’s satisfaction, would have caused them to make reference to the subject matter of the disagreements in connection with their opinion on the Bank’s consolidated financial statements. In addition, there were no reportable events as listed in Item 304 (a) (1) (v) of Regulation S-K.</w:t>
      </w:r>
    </w:p>
    <w:p>
      <w:pPr>
        <w:spacing w:after="0" w:line="18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Representatives of KPMG and Deloitte were present at the Bank’s Annual Shareholders’ Meeting held on April 11, 2018, in Panama City, Panama, and had the opportunity to make any statement, or respond to questions posed by shareholders of the Bank.</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has been advised by KPMG that neither that firm nor any of its affiliates has any relationship with the Bank or its subsidiaries, other than the relationship that typically exists between independent auditors and their clients. As of the date of this Annual Report, KPMG Panama is in the process of completing its standard client and engagement acceptance evaluation procedures.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For Deloitte’s letter, see Exhibit 15.1</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16G.</w:t>
      </w:r>
      <w:r>
        <w:rPr>
          <w:sz w:val="20"/>
          <w:szCs w:val="20"/>
          <w:color w:val="auto"/>
        </w:rPr>
        <w:tab/>
      </w:r>
      <w:r>
        <w:rPr>
          <w:rFonts w:ascii="Arial" w:cs="Arial" w:eastAsia="Arial" w:hAnsi="Arial"/>
          <w:sz w:val="16"/>
          <w:szCs w:val="16"/>
          <w:b w:val="1"/>
          <w:bCs w:val="1"/>
          <w:color w:val="auto"/>
        </w:rPr>
        <w:t>Corporate Governance</w:t>
      </w:r>
    </w:p>
    <w:p>
      <w:pPr>
        <w:spacing w:after="0" w:line="229" w:lineRule="exact"/>
        <w:rPr>
          <w:sz w:val="20"/>
          <w:szCs w:val="20"/>
          <w:color w:val="auto"/>
        </w:rPr>
      </w:pPr>
    </w:p>
    <w:p>
      <w:pPr>
        <w:spacing w:after="0"/>
        <w:rPr>
          <w:sz w:val="20"/>
          <w:szCs w:val="20"/>
          <w:color w:val="auto"/>
        </w:rPr>
      </w:pPr>
      <w:r>
        <w:rPr>
          <w:rFonts w:ascii="Arial" w:cs="Arial" w:eastAsia="Arial" w:hAnsi="Arial"/>
          <w:sz w:val="16"/>
          <w:szCs w:val="16"/>
          <w:color w:val="auto"/>
        </w:rPr>
        <w:t>The corporate governance practices of the Bank and those required by the NYSE for domestic companies in the United States differ in two significant ways:</w:t>
      </w:r>
    </w:p>
    <w:p>
      <w:pPr>
        <w:spacing w:after="0" w:line="24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First, under Section 303A.04 of the NYSE Rules, a listed company must have a nomination/corporate governance committee comprised entirely of independent directors. However, it is common practice among public companies in Panama, including the Bank, not to have a corporate governance committee. The Bank addresses all corporate governance matters in plenary meetings of the Board, and the Audit Committee has been given the responsibility of improving the Bank’s corporate governance practices and monitoring compliance with such practices.</w:t>
      </w:r>
    </w:p>
    <w:p>
      <w:pPr>
        <w:spacing w:after="0" w:line="171"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Second, under Section 303A.08 of the NYSE Rules, stockholders must approve all equity compensation plans and material revisions to such plans, subject to limited exceptions. However, under Panamanian law, any contracts, agreements and transactions between the Bank and one or more of its directors or officers, or companies in which they have an interest, only need to be approved by the Board, including equity compensation plans. The Board must inform stockholders of the equity compensation plans and/or material revisions to such plans at the next stockholders’ meeting and stockholders may revoke the Board’s approval of the equity compensation plans and/or material revisions to such plans at such meeting.</w:t>
      </w:r>
    </w:p>
    <w:p>
      <w:pPr>
        <w:spacing w:after="0" w:line="169"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16H.</w:t>
      </w:r>
      <w:r>
        <w:rPr>
          <w:sz w:val="20"/>
          <w:szCs w:val="20"/>
          <w:color w:val="auto"/>
        </w:rPr>
        <w:tab/>
      </w:r>
      <w:r>
        <w:rPr>
          <w:rFonts w:ascii="Arial" w:cs="Arial" w:eastAsia="Arial" w:hAnsi="Arial"/>
          <w:sz w:val="16"/>
          <w:szCs w:val="16"/>
          <w:b w:val="1"/>
          <w:bCs w:val="1"/>
          <w:color w:val="auto"/>
        </w:rPr>
        <w:t>Mine Safety Disclosure</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8" w:name="page119"/>
    <w:bookmarkEnd w:id="118"/>
    <w:p>
      <w:pPr>
        <w:jc w:val="center"/>
        <w:spacing w:after="0"/>
        <w:rPr>
          <w:sz w:val="20"/>
          <w:szCs w:val="20"/>
          <w:color w:val="auto"/>
        </w:rPr>
      </w:pPr>
      <w:r>
        <w:rPr>
          <w:rFonts w:ascii="Arial" w:cs="Arial" w:eastAsia="Arial" w:hAnsi="Arial"/>
          <w:sz w:val="18"/>
          <w:szCs w:val="18"/>
          <w:b w:val="1"/>
          <w:bCs w:val="1"/>
          <w:color w:val="auto"/>
        </w:rPr>
        <w:t>PART III</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17.</w:t>
      </w:r>
      <w:r>
        <w:rPr>
          <w:sz w:val="20"/>
          <w:szCs w:val="20"/>
          <w:color w:val="auto"/>
        </w:rPr>
        <w:tab/>
      </w:r>
      <w:r>
        <w:rPr>
          <w:rFonts w:ascii="Arial" w:cs="Arial" w:eastAsia="Arial" w:hAnsi="Arial"/>
          <w:sz w:val="16"/>
          <w:szCs w:val="16"/>
          <w:b w:val="1"/>
          <w:bCs w:val="1"/>
          <w:color w:val="auto"/>
        </w:rPr>
        <w:t>Financial Statements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Bank is providing the financial statements and related information specified in Item 18.</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20" w:type="dxa"/>
            <w:vAlign w:val="bottom"/>
          </w:tcPr>
          <w:p>
            <w:pPr>
              <w:spacing w:after="0"/>
              <w:rPr>
                <w:sz w:val="20"/>
                <w:szCs w:val="20"/>
                <w:color w:val="auto"/>
              </w:rPr>
            </w:pPr>
            <w:r>
              <w:rPr>
                <w:rFonts w:ascii="Arial" w:cs="Arial" w:eastAsia="Arial" w:hAnsi="Arial"/>
                <w:sz w:val="18"/>
                <w:szCs w:val="18"/>
                <w:b w:val="1"/>
                <w:bCs w:val="1"/>
                <w:color w:val="auto"/>
              </w:rPr>
              <w:t>Item 18.</w:t>
            </w: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00" w:type="dxa"/>
            <w:vAlign w:val="bottom"/>
            <w:gridSpan w:val="7"/>
          </w:tcPr>
          <w:p>
            <w:pPr>
              <w:ind w:left="500"/>
              <w:spacing w:after="0"/>
              <w:rPr>
                <w:sz w:val="20"/>
                <w:szCs w:val="20"/>
                <w:color w:val="auto"/>
              </w:rPr>
            </w:pPr>
            <w:r>
              <w:rPr>
                <w:rFonts w:ascii="Arial" w:cs="Arial" w:eastAsia="Arial" w:hAnsi="Arial"/>
                <w:sz w:val="18"/>
                <w:szCs w:val="18"/>
                <w:b w:val="1"/>
                <w:bCs w:val="1"/>
                <w:color w:val="auto"/>
              </w:rPr>
              <w:t>Financial Statements</w:t>
            </w:r>
          </w:p>
        </w:tc>
        <w:tc>
          <w:tcPr>
            <w:tcW w:w="26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0800" w:type="dxa"/>
            <w:vAlign w:val="bottom"/>
            <w:gridSpan w:val="10"/>
          </w:tcPr>
          <w:p>
            <w:pPr>
              <w:spacing w:after="0"/>
              <w:rPr>
                <w:sz w:val="20"/>
                <w:szCs w:val="20"/>
                <w:color w:val="auto"/>
              </w:rPr>
            </w:pPr>
            <w:r>
              <w:rPr>
                <w:rFonts w:ascii="Arial" w:cs="Arial" w:eastAsia="Arial" w:hAnsi="Arial"/>
                <w:sz w:val="18"/>
                <w:szCs w:val="18"/>
                <w:color w:val="auto"/>
              </w:rPr>
              <w:t>List of Consolidated Financial Statements</w:t>
            </w:r>
          </w:p>
        </w:tc>
        <w:tc>
          <w:tcPr>
            <w:tcW w:w="2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43"/>
        </w:trPr>
        <w:tc>
          <w:tcPr>
            <w:tcW w:w="720" w:type="dxa"/>
            <w:vAlign w:val="bottom"/>
          </w:tcPr>
          <w:p>
            <w:pPr>
              <w:spacing w:after="0"/>
              <w:rPr>
                <w:sz w:val="21"/>
                <w:szCs w:val="21"/>
                <w:color w:val="auto"/>
              </w:rPr>
            </w:pPr>
          </w:p>
        </w:tc>
        <w:tc>
          <w:tcPr>
            <w:tcW w:w="60" w:type="dxa"/>
            <w:vAlign w:val="bottom"/>
            <w:vMerge w:val="restart"/>
          </w:tcPr>
          <w:p>
            <w:pPr>
              <w:spacing w:after="0"/>
              <w:rPr>
                <w:sz w:val="21"/>
                <w:szCs w:val="21"/>
                <w:color w:val="auto"/>
              </w:rPr>
            </w:pPr>
          </w:p>
        </w:tc>
        <w:tc>
          <w:tcPr>
            <w:tcW w:w="20" w:type="dxa"/>
            <w:vAlign w:val="bottom"/>
            <w:vMerge w:val="restart"/>
          </w:tcPr>
          <w:p>
            <w:pPr>
              <w:spacing w:after="0"/>
              <w:rPr>
                <w:sz w:val="21"/>
                <w:szCs w:val="21"/>
                <w:color w:val="auto"/>
              </w:rPr>
            </w:pPr>
          </w:p>
        </w:tc>
        <w:tc>
          <w:tcPr>
            <w:tcW w:w="27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3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1120" w:type="dxa"/>
            <w:vAlign w:val="bottom"/>
          </w:tcPr>
          <w:p>
            <w:pPr>
              <w:spacing w:after="0"/>
              <w:rPr>
                <w:sz w:val="21"/>
                <w:szCs w:val="21"/>
                <w:color w:val="auto"/>
              </w:rPr>
            </w:pPr>
          </w:p>
        </w:tc>
        <w:tc>
          <w:tcPr>
            <w:tcW w:w="468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3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76"/>
        </w:trPr>
        <w:tc>
          <w:tcPr>
            <w:tcW w:w="720" w:type="dxa"/>
            <w:vAlign w:val="bottom"/>
          </w:tcPr>
          <w:p>
            <w:pPr>
              <w:spacing w:after="0"/>
              <w:rPr>
                <w:sz w:val="15"/>
                <w:szCs w:val="15"/>
                <w:color w:val="auto"/>
              </w:rPr>
            </w:pPr>
          </w:p>
        </w:tc>
        <w:tc>
          <w:tcPr>
            <w:tcW w:w="60" w:type="dxa"/>
            <w:vAlign w:val="bottom"/>
            <w:vMerge w:val="continue"/>
          </w:tcPr>
          <w:p>
            <w:pPr>
              <w:spacing w:after="0"/>
              <w:rPr>
                <w:sz w:val="15"/>
                <w:szCs w:val="15"/>
                <w:color w:val="auto"/>
              </w:rPr>
            </w:pPr>
          </w:p>
        </w:tc>
        <w:tc>
          <w:tcPr>
            <w:tcW w:w="20" w:type="dxa"/>
            <w:vAlign w:val="bottom"/>
            <w:vMerge w:val="continue"/>
          </w:tcPr>
          <w:p>
            <w:pPr>
              <w:spacing w:after="0"/>
              <w:rPr>
                <w:sz w:val="15"/>
                <w:szCs w:val="15"/>
                <w:color w:val="auto"/>
              </w:rPr>
            </w:pPr>
          </w:p>
        </w:tc>
        <w:tc>
          <w:tcPr>
            <w:tcW w:w="10000" w:type="dxa"/>
            <w:vAlign w:val="bottom"/>
            <w:gridSpan w:val="7"/>
            <w:shd w:val="clear" w:color="auto" w:fill="CCEEFF"/>
          </w:tcPr>
          <w:p>
            <w:pPr>
              <w:spacing w:after="0" w:line="176" w:lineRule="exact"/>
              <w:rPr>
                <w:rFonts w:ascii="Arial" w:cs="Arial" w:eastAsia="Arial" w:hAnsi="Arial"/>
                <w:sz w:val="18"/>
                <w:szCs w:val="18"/>
                <w:color w:val="0000EE"/>
              </w:rPr>
            </w:pPr>
            <w:hyperlink w:anchor="page125">
              <w:r>
                <w:rPr>
                  <w:rFonts w:ascii="Arial" w:cs="Arial" w:eastAsia="Arial" w:hAnsi="Arial"/>
                  <w:sz w:val="18"/>
                  <w:szCs w:val="18"/>
                  <w:color w:val="0000EE"/>
                </w:rPr>
                <w:t>Report of Independent Registered Public Accounting Firm</w:t>
              </w:r>
            </w:hyperlink>
          </w:p>
        </w:tc>
        <w:tc>
          <w:tcPr>
            <w:tcW w:w="260" w:type="dxa"/>
            <w:vAlign w:val="bottom"/>
            <w:tcBorders>
              <w:right w:val="single" w:sz="8" w:color="CCEEFF"/>
            </w:tcBorders>
            <w:shd w:val="clear" w:color="auto" w:fill="CCEEFF"/>
          </w:tcPr>
          <w:p>
            <w:pPr>
              <w:spacing w:after="0" w:line="176" w:lineRule="exact"/>
              <w:rPr>
                <w:rFonts w:ascii="Arial" w:cs="Arial" w:eastAsia="Arial" w:hAnsi="Arial"/>
                <w:sz w:val="18"/>
                <w:szCs w:val="18"/>
                <w:color w:val="0000EE"/>
                <w:w w:val="81"/>
              </w:rPr>
            </w:pPr>
            <w:hyperlink w:anchor="page125">
              <w:r>
                <w:rPr>
                  <w:rFonts w:ascii="Arial" w:cs="Arial" w:eastAsia="Arial" w:hAnsi="Arial"/>
                  <w:sz w:val="18"/>
                  <w:szCs w:val="18"/>
                  <w:color w:val="0000EE"/>
                  <w:w w:val="81"/>
                </w:rPr>
                <w:t>F-3</w:t>
              </w:r>
            </w:hyperlink>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720" w:type="dxa"/>
            <w:vAlign w:val="bottom"/>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20" w:type="dxa"/>
            <w:vAlign w:val="bottom"/>
            <w:tcBorders>
              <w:top w:val="single" w:sz="8" w:color="0000EE"/>
            </w:tcBorders>
            <w:vMerge w:val="restart"/>
          </w:tcPr>
          <w:p>
            <w:pPr>
              <w:spacing w:after="0" w:line="20" w:lineRule="exact"/>
              <w:rPr>
                <w:sz w:val="1"/>
                <w:szCs w:val="1"/>
                <w:color w:val="auto"/>
              </w:rPr>
            </w:pPr>
          </w:p>
        </w:tc>
        <w:tc>
          <w:tcPr>
            <w:tcW w:w="27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800" w:type="dxa"/>
            <w:vAlign w:val="bottom"/>
            <w:tcBorders>
              <w:top w:val="single" w:sz="8" w:color="0000EE"/>
            </w:tcBorders>
            <w:shd w:val="clear" w:color="auto" w:fill="CCEEFF"/>
          </w:tcPr>
          <w:p>
            <w:pPr>
              <w:spacing w:after="0" w:line="20" w:lineRule="exact"/>
              <w:rPr>
                <w:sz w:val="1"/>
                <w:szCs w:val="1"/>
                <w:color w:val="auto"/>
              </w:rPr>
            </w:pPr>
          </w:p>
        </w:tc>
        <w:tc>
          <w:tcPr>
            <w:tcW w:w="1120" w:type="dxa"/>
            <w:vAlign w:val="bottom"/>
            <w:tcBorders>
              <w:top w:val="single" w:sz="8" w:color="CCEEFF"/>
            </w:tcBorders>
            <w:shd w:val="clear" w:color="auto" w:fill="CCEEFF"/>
          </w:tcPr>
          <w:p>
            <w:pPr>
              <w:spacing w:after="0" w:line="20" w:lineRule="exact"/>
              <w:rPr>
                <w:sz w:val="1"/>
                <w:szCs w:val="1"/>
                <w:color w:val="auto"/>
              </w:rPr>
            </w:pPr>
          </w:p>
        </w:tc>
        <w:tc>
          <w:tcPr>
            <w:tcW w:w="468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right w:val="single" w:sz="8" w:color="CCEEFF"/>
            </w:tcBorders>
            <w:shd w:val="clear" w:color="auto" w:fill="CCEEFF"/>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720" w:type="dxa"/>
            <w:vAlign w:val="bottom"/>
          </w:tcPr>
          <w:p>
            <w:pPr>
              <w:spacing w:after="0"/>
              <w:rPr>
                <w:sz w:val="15"/>
                <w:szCs w:val="15"/>
                <w:color w:val="auto"/>
              </w:rPr>
            </w:pPr>
          </w:p>
        </w:tc>
        <w:tc>
          <w:tcPr>
            <w:tcW w:w="60" w:type="dxa"/>
            <w:vAlign w:val="bottom"/>
            <w:vMerge w:val="continue"/>
          </w:tcPr>
          <w:p>
            <w:pPr>
              <w:spacing w:after="0"/>
              <w:rPr>
                <w:sz w:val="15"/>
                <w:szCs w:val="15"/>
                <w:color w:val="auto"/>
              </w:rPr>
            </w:pPr>
          </w:p>
        </w:tc>
        <w:tc>
          <w:tcPr>
            <w:tcW w:w="20" w:type="dxa"/>
            <w:vAlign w:val="bottom"/>
            <w:vMerge w:val="continue"/>
          </w:tcPr>
          <w:p>
            <w:pPr>
              <w:spacing w:after="0"/>
              <w:rPr>
                <w:sz w:val="15"/>
                <w:szCs w:val="15"/>
                <w:color w:val="auto"/>
              </w:rPr>
            </w:pPr>
          </w:p>
        </w:tc>
        <w:tc>
          <w:tcPr>
            <w:tcW w:w="4200" w:type="dxa"/>
            <w:vAlign w:val="bottom"/>
            <w:gridSpan w:val="5"/>
          </w:tcPr>
          <w:p>
            <w:pPr>
              <w:spacing w:after="0" w:line="176" w:lineRule="exact"/>
              <w:rPr>
                <w:rFonts w:ascii="Arial" w:cs="Arial" w:eastAsia="Arial" w:hAnsi="Arial"/>
                <w:sz w:val="18"/>
                <w:szCs w:val="18"/>
                <w:color w:val="0000EE"/>
              </w:rPr>
            </w:pPr>
            <w:hyperlink w:anchor="page126">
              <w:r>
                <w:rPr>
                  <w:rFonts w:ascii="Arial" w:cs="Arial" w:eastAsia="Arial" w:hAnsi="Arial"/>
                  <w:sz w:val="18"/>
                  <w:szCs w:val="18"/>
                  <w:color w:val="0000EE"/>
                </w:rPr>
                <w:t>Consolidated statements of financial position</w:t>
              </w:r>
            </w:hyperlink>
          </w:p>
        </w:tc>
        <w:tc>
          <w:tcPr>
            <w:tcW w:w="5800" w:type="dxa"/>
            <w:vAlign w:val="bottom"/>
            <w:gridSpan w:val="2"/>
          </w:tcPr>
          <w:p>
            <w:pPr>
              <w:spacing w:after="0"/>
              <w:rPr>
                <w:sz w:val="15"/>
                <w:szCs w:val="15"/>
                <w:color w:val="auto"/>
              </w:rPr>
            </w:pPr>
          </w:p>
        </w:tc>
        <w:tc>
          <w:tcPr>
            <w:tcW w:w="260" w:type="dxa"/>
            <w:vAlign w:val="bottom"/>
          </w:tcPr>
          <w:p>
            <w:pPr>
              <w:spacing w:after="0" w:line="176" w:lineRule="exact"/>
              <w:rPr>
                <w:rFonts w:ascii="Arial" w:cs="Arial" w:eastAsia="Arial" w:hAnsi="Arial"/>
                <w:sz w:val="18"/>
                <w:szCs w:val="18"/>
                <w:color w:val="0000EE"/>
                <w:w w:val="81"/>
              </w:rPr>
            </w:pPr>
            <w:hyperlink w:anchor="page126">
              <w:r>
                <w:rPr>
                  <w:rFonts w:ascii="Arial" w:cs="Arial" w:eastAsia="Arial" w:hAnsi="Arial"/>
                  <w:sz w:val="18"/>
                  <w:szCs w:val="18"/>
                  <w:color w:val="0000EE"/>
                  <w:w w:val="81"/>
                </w:rPr>
                <w:t>F-4</w:t>
              </w:r>
            </w:hyperlink>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720" w:type="dxa"/>
            <w:vAlign w:val="bottom"/>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20" w:type="dxa"/>
            <w:vAlign w:val="bottom"/>
            <w:tcBorders>
              <w:top w:val="single" w:sz="8" w:color="0000EE"/>
            </w:tcBorders>
            <w:vMerge w:val="restart"/>
          </w:tcPr>
          <w:p>
            <w:pPr>
              <w:spacing w:after="0" w:line="20" w:lineRule="exact"/>
              <w:rPr>
                <w:sz w:val="1"/>
                <w:szCs w:val="1"/>
                <w:color w:val="auto"/>
              </w:rPr>
            </w:pPr>
          </w:p>
        </w:tc>
        <w:tc>
          <w:tcPr>
            <w:tcW w:w="27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468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720" w:type="dxa"/>
            <w:vAlign w:val="bottom"/>
          </w:tcPr>
          <w:p>
            <w:pPr>
              <w:spacing w:after="0"/>
              <w:rPr>
                <w:sz w:val="15"/>
                <w:szCs w:val="15"/>
                <w:color w:val="auto"/>
              </w:rPr>
            </w:pPr>
          </w:p>
        </w:tc>
        <w:tc>
          <w:tcPr>
            <w:tcW w:w="60" w:type="dxa"/>
            <w:vAlign w:val="bottom"/>
            <w:vMerge w:val="continue"/>
          </w:tcPr>
          <w:p>
            <w:pPr>
              <w:spacing w:after="0"/>
              <w:rPr>
                <w:sz w:val="15"/>
                <w:szCs w:val="15"/>
                <w:color w:val="auto"/>
              </w:rPr>
            </w:pPr>
          </w:p>
        </w:tc>
        <w:tc>
          <w:tcPr>
            <w:tcW w:w="20" w:type="dxa"/>
            <w:vAlign w:val="bottom"/>
            <w:vMerge w:val="continue"/>
          </w:tcPr>
          <w:p>
            <w:pPr>
              <w:spacing w:after="0"/>
              <w:rPr>
                <w:sz w:val="15"/>
                <w:szCs w:val="15"/>
                <w:color w:val="auto"/>
              </w:rPr>
            </w:pPr>
          </w:p>
        </w:tc>
        <w:tc>
          <w:tcPr>
            <w:tcW w:w="10000" w:type="dxa"/>
            <w:vAlign w:val="bottom"/>
            <w:gridSpan w:val="7"/>
            <w:shd w:val="clear" w:color="auto" w:fill="CCEEFF"/>
          </w:tcPr>
          <w:p>
            <w:pPr>
              <w:spacing w:after="0" w:line="176" w:lineRule="exact"/>
              <w:rPr>
                <w:rFonts w:ascii="Arial" w:cs="Arial" w:eastAsia="Arial" w:hAnsi="Arial"/>
                <w:sz w:val="18"/>
                <w:szCs w:val="18"/>
                <w:color w:val="0000EE"/>
              </w:rPr>
            </w:pPr>
            <w:hyperlink w:anchor="page127">
              <w:r>
                <w:rPr>
                  <w:rFonts w:ascii="Arial" w:cs="Arial" w:eastAsia="Arial" w:hAnsi="Arial"/>
                  <w:sz w:val="18"/>
                  <w:szCs w:val="18"/>
                  <w:color w:val="0000EE"/>
                </w:rPr>
                <w:t>Consolidated statements of profit or loss</w:t>
              </w:r>
            </w:hyperlink>
          </w:p>
        </w:tc>
        <w:tc>
          <w:tcPr>
            <w:tcW w:w="260" w:type="dxa"/>
            <w:vAlign w:val="bottom"/>
            <w:tcBorders>
              <w:right w:val="single" w:sz="8" w:color="CCEEFF"/>
            </w:tcBorders>
            <w:shd w:val="clear" w:color="auto" w:fill="CCEEFF"/>
          </w:tcPr>
          <w:p>
            <w:pPr>
              <w:spacing w:after="0" w:line="176" w:lineRule="exact"/>
              <w:rPr>
                <w:rFonts w:ascii="Arial" w:cs="Arial" w:eastAsia="Arial" w:hAnsi="Arial"/>
                <w:sz w:val="18"/>
                <w:szCs w:val="18"/>
                <w:color w:val="0000EE"/>
                <w:w w:val="81"/>
              </w:rPr>
            </w:pPr>
            <w:hyperlink w:anchor="page127">
              <w:r>
                <w:rPr>
                  <w:rFonts w:ascii="Arial" w:cs="Arial" w:eastAsia="Arial" w:hAnsi="Arial"/>
                  <w:sz w:val="18"/>
                  <w:szCs w:val="18"/>
                  <w:color w:val="0000EE"/>
                  <w:w w:val="81"/>
                </w:rPr>
                <w:t>F-5</w:t>
              </w:r>
            </w:hyperlink>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720" w:type="dxa"/>
            <w:vAlign w:val="bottom"/>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20" w:type="dxa"/>
            <w:vAlign w:val="bottom"/>
            <w:tcBorders>
              <w:top w:val="single" w:sz="8" w:color="0000EE"/>
            </w:tcBorders>
            <w:vMerge w:val="restart"/>
          </w:tcPr>
          <w:p>
            <w:pPr>
              <w:spacing w:after="0" w:line="20" w:lineRule="exact"/>
              <w:rPr>
                <w:sz w:val="1"/>
                <w:szCs w:val="1"/>
                <w:color w:val="auto"/>
              </w:rPr>
            </w:pPr>
          </w:p>
        </w:tc>
        <w:tc>
          <w:tcPr>
            <w:tcW w:w="27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800" w:type="dxa"/>
            <w:vAlign w:val="bottom"/>
            <w:tcBorders>
              <w:top w:val="single" w:sz="8" w:color="CCEEFF"/>
            </w:tcBorders>
            <w:shd w:val="clear" w:color="auto" w:fill="CCEEFF"/>
          </w:tcPr>
          <w:p>
            <w:pPr>
              <w:spacing w:after="0" w:line="20" w:lineRule="exact"/>
              <w:rPr>
                <w:sz w:val="1"/>
                <w:szCs w:val="1"/>
                <w:color w:val="auto"/>
              </w:rPr>
            </w:pPr>
          </w:p>
        </w:tc>
        <w:tc>
          <w:tcPr>
            <w:tcW w:w="1120" w:type="dxa"/>
            <w:vAlign w:val="bottom"/>
            <w:tcBorders>
              <w:top w:val="single" w:sz="8" w:color="CCEEFF"/>
            </w:tcBorders>
            <w:shd w:val="clear" w:color="auto" w:fill="CCEEFF"/>
          </w:tcPr>
          <w:p>
            <w:pPr>
              <w:spacing w:after="0" w:line="20" w:lineRule="exact"/>
              <w:rPr>
                <w:sz w:val="1"/>
                <w:szCs w:val="1"/>
                <w:color w:val="auto"/>
              </w:rPr>
            </w:pPr>
          </w:p>
        </w:tc>
        <w:tc>
          <w:tcPr>
            <w:tcW w:w="468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right w:val="single" w:sz="8" w:color="CCEEFF"/>
            </w:tcBorders>
            <w:shd w:val="clear" w:color="auto" w:fill="CCEEFF"/>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720" w:type="dxa"/>
            <w:vAlign w:val="bottom"/>
          </w:tcPr>
          <w:p>
            <w:pPr>
              <w:spacing w:after="0"/>
              <w:rPr>
                <w:sz w:val="15"/>
                <w:szCs w:val="15"/>
                <w:color w:val="auto"/>
              </w:rPr>
            </w:pPr>
          </w:p>
        </w:tc>
        <w:tc>
          <w:tcPr>
            <w:tcW w:w="60" w:type="dxa"/>
            <w:vAlign w:val="bottom"/>
            <w:vMerge w:val="continue"/>
          </w:tcPr>
          <w:p>
            <w:pPr>
              <w:spacing w:after="0"/>
              <w:rPr>
                <w:sz w:val="15"/>
                <w:szCs w:val="15"/>
                <w:color w:val="auto"/>
              </w:rPr>
            </w:pPr>
          </w:p>
        </w:tc>
        <w:tc>
          <w:tcPr>
            <w:tcW w:w="20" w:type="dxa"/>
            <w:vAlign w:val="bottom"/>
            <w:vMerge w:val="continue"/>
          </w:tcPr>
          <w:p>
            <w:pPr>
              <w:spacing w:after="0"/>
              <w:rPr>
                <w:sz w:val="15"/>
                <w:szCs w:val="15"/>
                <w:color w:val="auto"/>
              </w:rPr>
            </w:pPr>
          </w:p>
        </w:tc>
        <w:tc>
          <w:tcPr>
            <w:tcW w:w="10000" w:type="dxa"/>
            <w:vAlign w:val="bottom"/>
            <w:gridSpan w:val="7"/>
          </w:tcPr>
          <w:p>
            <w:pPr>
              <w:spacing w:after="0" w:line="176" w:lineRule="exact"/>
              <w:rPr>
                <w:rFonts w:ascii="Arial" w:cs="Arial" w:eastAsia="Arial" w:hAnsi="Arial"/>
                <w:sz w:val="18"/>
                <w:szCs w:val="18"/>
                <w:color w:val="0000EE"/>
              </w:rPr>
            </w:pPr>
            <w:hyperlink w:anchor="page128">
              <w:r>
                <w:rPr>
                  <w:rFonts w:ascii="Arial" w:cs="Arial" w:eastAsia="Arial" w:hAnsi="Arial"/>
                  <w:sz w:val="18"/>
                  <w:szCs w:val="18"/>
                  <w:color w:val="0000EE"/>
                </w:rPr>
                <w:t>Consolidated statements of profit or loss and other comprehensive income</w:t>
              </w:r>
            </w:hyperlink>
          </w:p>
        </w:tc>
        <w:tc>
          <w:tcPr>
            <w:tcW w:w="260" w:type="dxa"/>
            <w:vAlign w:val="bottom"/>
          </w:tcPr>
          <w:p>
            <w:pPr>
              <w:spacing w:after="0" w:line="176" w:lineRule="exact"/>
              <w:rPr>
                <w:rFonts w:ascii="Arial" w:cs="Arial" w:eastAsia="Arial" w:hAnsi="Arial"/>
                <w:sz w:val="18"/>
                <w:szCs w:val="18"/>
                <w:color w:val="0000EE"/>
                <w:w w:val="81"/>
              </w:rPr>
            </w:pPr>
            <w:hyperlink w:anchor="page128">
              <w:r>
                <w:rPr>
                  <w:rFonts w:ascii="Arial" w:cs="Arial" w:eastAsia="Arial" w:hAnsi="Arial"/>
                  <w:sz w:val="18"/>
                  <w:szCs w:val="18"/>
                  <w:color w:val="0000EE"/>
                  <w:w w:val="81"/>
                </w:rPr>
                <w:t>F-6</w:t>
              </w:r>
            </w:hyperlink>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720" w:type="dxa"/>
            <w:vAlign w:val="bottom"/>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20" w:type="dxa"/>
            <w:vAlign w:val="bottom"/>
            <w:tcBorders>
              <w:top w:val="single" w:sz="8" w:color="0000EE"/>
            </w:tcBorders>
            <w:vMerge w:val="restart"/>
          </w:tcPr>
          <w:p>
            <w:pPr>
              <w:spacing w:after="0" w:line="20" w:lineRule="exact"/>
              <w:rPr>
                <w:sz w:val="1"/>
                <w:szCs w:val="1"/>
                <w:color w:val="auto"/>
              </w:rPr>
            </w:pPr>
          </w:p>
        </w:tc>
        <w:tc>
          <w:tcPr>
            <w:tcW w:w="27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0" w:type="dxa"/>
            <w:vAlign w:val="bottom"/>
            <w:tcBorders>
              <w:top w:val="single" w:sz="8" w:color="0000EE"/>
            </w:tcBorders>
          </w:tcPr>
          <w:p>
            <w:pPr>
              <w:spacing w:after="0" w:line="20" w:lineRule="exact"/>
              <w:rPr>
                <w:sz w:val="1"/>
                <w:szCs w:val="1"/>
                <w:color w:val="auto"/>
              </w:rPr>
            </w:pPr>
          </w:p>
        </w:tc>
        <w:tc>
          <w:tcPr>
            <w:tcW w:w="1120" w:type="dxa"/>
            <w:vAlign w:val="bottom"/>
            <w:tcBorders>
              <w:top w:val="single" w:sz="8" w:color="0000EE"/>
            </w:tcBorders>
          </w:tcPr>
          <w:p>
            <w:pPr>
              <w:spacing w:after="0" w:line="20" w:lineRule="exact"/>
              <w:rPr>
                <w:sz w:val="1"/>
                <w:szCs w:val="1"/>
                <w:color w:val="auto"/>
              </w:rPr>
            </w:pPr>
          </w:p>
        </w:tc>
        <w:tc>
          <w:tcPr>
            <w:tcW w:w="468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720" w:type="dxa"/>
            <w:vAlign w:val="bottom"/>
          </w:tcPr>
          <w:p>
            <w:pPr>
              <w:spacing w:after="0"/>
              <w:rPr>
                <w:sz w:val="15"/>
                <w:szCs w:val="15"/>
                <w:color w:val="auto"/>
              </w:rPr>
            </w:pPr>
          </w:p>
        </w:tc>
        <w:tc>
          <w:tcPr>
            <w:tcW w:w="60" w:type="dxa"/>
            <w:vAlign w:val="bottom"/>
            <w:vMerge w:val="continue"/>
          </w:tcPr>
          <w:p>
            <w:pPr>
              <w:spacing w:after="0"/>
              <w:rPr>
                <w:sz w:val="15"/>
                <w:szCs w:val="15"/>
                <w:color w:val="auto"/>
              </w:rPr>
            </w:pPr>
          </w:p>
        </w:tc>
        <w:tc>
          <w:tcPr>
            <w:tcW w:w="20" w:type="dxa"/>
            <w:vAlign w:val="bottom"/>
            <w:vMerge w:val="continue"/>
          </w:tcPr>
          <w:p>
            <w:pPr>
              <w:spacing w:after="0"/>
              <w:rPr>
                <w:sz w:val="15"/>
                <w:szCs w:val="15"/>
                <w:color w:val="auto"/>
              </w:rPr>
            </w:pPr>
          </w:p>
        </w:tc>
        <w:tc>
          <w:tcPr>
            <w:tcW w:w="10000" w:type="dxa"/>
            <w:vAlign w:val="bottom"/>
            <w:gridSpan w:val="7"/>
            <w:shd w:val="clear" w:color="auto" w:fill="CCEEFF"/>
          </w:tcPr>
          <w:p>
            <w:pPr>
              <w:spacing w:after="0" w:line="176" w:lineRule="exact"/>
              <w:rPr>
                <w:rFonts w:ascii="Arial" w:cs="Arial" w:eastAsia="Arial" w:hAnsi="Arial"/>
                <w:sz w:val="18"/>
                <w:szCs w:val="18"/>
                <w:color w:val="0000EE"/>
              </w:rPr>
            </w:pPr>
            <w:hyperlink w:anchor="page129">
              <w:r>
                <w:rPr>
                  <w:rFonts w:ascii="Arial" w:cs="Arial" w:eastAsia="Arial" w:hAnsi="Arial"/>
                  <w:sz w:val="18"/>
                  <w:szCs w:val="18"/>
                  <w:color w:val="0000EE"/>
                </w:rPr>
                <w:t>Consolidated statements of changes in equity</w:t>
              </w:r>
            </w:hyperlink>
          </w:p>
        </w:tc>
        <w:tc>
          <w:tcPr>
            <w:tcW w:w="260" w:type="dxa"/>
            <w:vAlign w:val="bottom"/>
            <w:tcBorders>
              <w:right w:val="single" w:sz="8" w:color="CCEEFF"/>
            </w:tcBorders>
            <w:shd w:val="clear" w:color="auto" w:fill="CCEEFF"/>
          </w:tcPr>
          <w:p>
            <w:pPr>
              <w:spacing w:after="0" w:line="176" w:lineRule="exact"/>
              <w:rPr>
                <w:rFonts w:ascii="Arial" w:cs="Arial" w:eastAsia="Arial" w:hAnsi="Arial"/>
                <w:sz w:val="18"/>
                <w:szCs w:val="18"/>
                <w:color w:val="0000EE"/>
                <w:w w:val="81"/>
              </w:rPr>
            </w:pPr>
            <w:hyperlink w:anchor="page129">
              <w:r>
                <w:rPr>
                  <w:rFonts w:ascii="Arial" w:cs="Arial" w:eastAsia="Arial" w:hAnsi="Arial"/>
                  <w:sz w:val="18"/>
                  <w:szCs w:val="18"/>
                  <w:color w:val="0000EE"/>
                  <w:w w:val="81"/>
                </w:rPr>
                <w:t>F-7</w:t>
              </w:r>
            </w:hyperlink>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720" w:type="dxa"/>
            <w:vAlign w:val="bottom"/>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20" w:type="dxa"/>
            <w:vAlign w:val="bottom"/>
            <w:tcBorders>
              <w:top w:val="single" w:sz="8" w:color="0000EE"/>
            </w:tcBorders>
            <w:vMerge w:val="restart"/>
          </w:tcPr>
          <w:p>
            <w:pPr>
              <w:spacing w:after="0" w:line="20" w:lineRule="exact"/>
              <w:rPr>
                <w:sz w:val="1"/>
                <w:szCs w:val="1"/>
                <w:color w:val="auto"/>
              </w:rPr>
            </w:pPr>
          </w:p>
        </w:tc>
        <w:tc>
          <w:tcPr>
            <w:tcW w:w="27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800" w:type="dxa"/>
            <w:vAlign w:val="bottom"/>
            <w:tcBorders>
              <w:top w:val="single" w:sz="8" w:color="CCEEFF"/>
            </w:tcBorders>
            <w:shd w:val="clear" w:color="auto" w:fill="CCEEFF"/>
          </w:tcPr>
          <w:p>
            <w:pPr>
              <w:spacing w:after="0" w:line="20" w:lineRule="exact"/>
              <w:rPr>
                <w:sz w:val="1"/>
                <w:szCs w:val="1"/>
                <w:color w:val="auto"/>
              </w:rPr>
            </w:pPr>
          </w:p>
        </w:tc>
        <w:tc>
          <w:tcPr>
            <w:tcW w:w="1120" w:type="dxa"/>
            <w:vAlign w:val="bottom"/>
            <w:tcBorders>
              <w:top w:val="single" w:sz="8" w:color="CCEEFF"/>
            </w:tcBorders>
            <w:shd w:val="clear" w:color="auto" w:fill="CCEEFF"/>
          </w:tcPr>
          <w:p>
            <w:pPr>
              <w:spacing w:after="0" w:line="20" w:lineRule="exact"/>
              <w:rPr>
                <w:sz w:val="1"/>
                <w:szCs w:val="1"/>
                <w:color w:val="auto"/>
              </w:rPr>
            </w:pPr>
          </w:p>
        </w:tc>
        <w:tc>
          <w:tcPr>
            <w:tcW w:w="468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right w:val="single" w:sz="8" w:color="CCEEFF"/>
            </w:tcBorders>
            <w:shd w:val="clear" w:color="auto" w:fill="CCEEFF"/>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720" w:type="dxa"/>
            <w:vAlign w:val="bottom"/>
          </w:tcPr>
          <w:p>
            <w:pPr>
              <w:spacing w:after="0"/>
              <w:rPr>
                <w:sz w:val="15"/>
                <w:szCs w:val="15"/>
                <w:color w:val="auto"/>
              </w:rPr>
            </w:pPr>
          </w:p>
        </w:tc>
        <w:tc>
          <w:tcPr>
            <w:tcW w:w="60" w:type="dxa"/>
            <w:vAlign w:val="bottom"/>
            <w:vMerge w:val="continue"/>
          </w:tcPr>
          <w:p>
            <w:pPr>
              <w:spacing w:after="0"/>
              <w:rPr>
                <w:sz w:val="15"/>
                <w:szCs w:val="15"/>
                <w:color w:val="auto"/>
              </w:rPr>
            </w:pPr>
          </w:p>
        </w:tc>
        <w:tc>
          <w:tcPr>
            <w:tcW w:w="20" w:type="dxa"/>
            <w:vAlign w:val="bottom"/>
            <w:vMerge w:val="continue"/>
          </w:tcPr>
          <w:p>
            <w:pPr>
              <w:spacing w:after="0"/>
              <w:rPr>
                <w:sz w:val="15"/>
                <w:szCs w:val="15"/>
                <w:color w:val="auto"/>
              </w:rPr>
            </w:pPr>
          </w:p>
        </w:tc>
        <w:tc>
          <w:tcPr>
            <w:tcW w:w="3240" w:type="dxa"/>
            <w:vAlign w:val="bottom"/>
            <w:gridSpan w:val="3"/>
          </w:tcPr>
          <w:p>
            <w:pPr>
              <w:spacing w:after="0" w:line="176" w:lineRule="exact"/>
              <w:rPr>
                <w:rFonts w:ascii="Arial" w:cs="Arial" w:eastAsia="Arial" w:hAnsi="Arial"/>
                <w:sz w:val="18"/>
                <w:szCs w:val="18"/>
                <w:color w:val="0000EE"/>
              </w:rPr>
            </w:pPr>
            <w:hyperlink w:anchor="page130">
              <w:r>
                <w:rPr>
                  <w:rFonts w:ascii="Arial" w:cs="Arial" w:eastAsia="Arial" w:hAnsi="Arial"/>
                  <w:sz w:val="18"/>
                  <w:szCs w:val="18"/>
                  <w:color w:val="0000EE"/>
                </w:rPr>
                <w:t>Consolidated statements of cash flows</w:t>
              </w:r>
            </w:hyperlink>
          </w:p>
        </w:tc>
        <w:tc>
          <w:tcPr>
            <w:tcW w:w="6760" w:type="dxa"/>
            <w:vAlign w:val="bottom"/>
            <w:gridSpan w:val="4"/>
          </w:tcPr>
          <w:p>
            <w:pPr>
              <w:spacing w:after="0"/>
              <w:rPr>
                <w:sz w:val="15"/>
                <w:szCs w:val="15"/>
                <w:color w:val="auto"/>
              </w:rPr>
            </w:pPr>
          </w:p>
        </w:tc>
        <w:tc>
          <w:tcPr>
            <w:tcW w:w="260" w:type="dxa"/>
            <w:vAlign w:val="bottom"/>
          </w:tcPr>
          <w:p>
            <w:pPr>
              <w:spacing w:after="0" w:line="176" w:lineRule="exact"/>
              <w:rPr>
                <w:rFonts w:ascii="Arial" w:cs="Arial" w:eastAsia="Arial" w:hAnsi="Arial"/>
                <w:sz w:val="18"/>
                <w:szCs w:val="18"/>
                <w:color w:val="0000EE"/>
                <w:w w:val="81"/>
              </w:rPr>
            </w:pPr>
            <w:hyperlink w:anchor="page130">
              <w:r>
                <w:rPr>
                  <w:rFonts w:ascii="Arial" w:cs="Arial" w:eastAsia="Arial" w:hAnsi="Arial"/>
                  <w:sz w:val="18"/>
                  <w:szCs w:val="18"/>
                  <w:color w:val="0000EE"/>
                  <w:w w:val="81"/>
                </w:rPr>
                <w:t>F-8</w:t>
              </w:r>
            </w:hyperlink>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720" w:type="dxa"/>
            <w:vAlign w:val="bottom"/>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20" w:type="dxa"/>
            <w:vAlign w:val="bottom"/>
            <w:tcBorders>
              <w:top w:val="single" w:sz="8" w:color="0000EE"/>
            </w:tcBorders>
            <w:vMerge w:val="restart"/>
          </w:tcPr>
          <w:p>
            <w:pPr>
              <w:spacing w:after="0" w:line="20" w:lineRule="exact"/>
              <w:rPr>
                <w:sz w:val="1"/>
                <w:szCs w:val="1"/>
                <w:color w:val="auto"/>
              </w:rPr>
            </w:pPr>
          </w:p>
        </w:tc>
        <w:tc>
          <w:tcPr>
            <w:tcW w:w="2740" w:type="dxa"/>
            <w:vAlign w:val="bottom"/>
            <w:tcBorders>
              <w:top w:val="single" w:sz="8" w:color="0000EE"/>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468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720" w:type="dxa"/>
            <w:vAlign w:val="bottom"/>
          </w:tcPr>
          <w:p>
            <w:pPr>
              <w:spacing w:after="0"/>
              <w:rPr>
                <w:sz w:val="17"/>
                <w:szCs w:val="17"/>
                <w:color w:val="auto"/>
              </w:rPr>
            </w:pPr>
          </w:p>
        </w:tc>
        <w:tc>
          <w:tcPr>
            <w:tcW w:w="60" w:type="dxa"/>
            <w:vAlign w:val="bottom"/>
            <w:vMerge w:val="continue"/>
          </w:tcPr>
          <w:p>
            <w:pPr>
              <w:spacing w:after="0"/>
              <w:rPr>
                <w:sz w:val="17"/>
                <w:szCs w:val="17"/>
                <w:color w:val="auto"/>
              </w:rPr>
            </w:pPr>
          </w:p>
        </w:tc>
        <w:tc>
          <w:tcPr>
            <w:tcW w:w="20" w:type="dxa"/>
            <w:vAlign w:val="bottom"/>
            <w:vMerge w:val="continue"/>
          </w:tcPr>
          <w:p>
            <w:pPr>
              <w:spacing w:after="0"/>
              <w:rPr>
                <w:sz w:val="17"/>
                <w:szCs w:val="17"/>
                <w:color w:val="auto"/>
              </w:rPr>
            </w:pPr>
          </w:p>
        </w:tc>
        <w:tc>
          <w:tcPr>
            <w:tcW w:w="10000" w:type="dxa"/>
            <w:vAlign w:val="bottom"/>
            <w:gridSpan w:val="7"/>
            <w:shd w:val="clear" w:color="auto" w:fill="CCEEFF"/>
          </w:tcPr>
          <w:p>
            <w:pPr>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Notes to the Consolidated Financial Statements</w:t>
              </w:r>
            </w:hyperlink>
          </w:p>
        </w:tc>
        <w:tc>
          <w:tcPr>
            <w:tcW w:w="260" w:type="dxa"/>
            <w:vAlign w:val="bottom"/>
            <w:tcBorders>
              <w:right w:val="single" w:sz="8" w:color="CCEEFF"/>
            </w:tcBorders>
            <w:shd w:val="clear" w:color="auto" w:fill="CCEEFF"/>
          </w:tcPr>
          <w:p>
            <w:pPr>
              <w:spacing w:after="0" w:line="176" w:lineRule="exact"/>
              <w:rPr>
                <w:rFonts w:ascii="Arial" w:cs="Arial" w:eastAsia="Arial" w:hAnsi="Arial"/>
                <w:sz w:val="18"/>
                <w:szCs w:val="18"/>
                <w:color w:val="0000EE"/>
                <w:w w:val="81"/>
              </w:rPr>
            </w:pPr>
            <w:hyperlink w:anchor="page131">
              <w:r>
                <w:rPr>
                  <w:rFonts w:ascii="Arial" w:cs="Arial" w:eastAsia="Arial" w:hAnsi="Arial"/>
                  <w:sz w:val="18"/>
                  <w:szCs w:val="18"/>
                  <w:color w:val="0000EE"/>
                  <w:w w:val="81"/>
                </w:rPr>
                <w:t>F-9</w:t>
              </w:r>
            </w:hyperlink>
          </w:p>
        </w:tc>
        <w:tc>
          <w:tcPr>
            <w:tcW w:w="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648"/>
        </w:trPr>
        <w:tc>
          <w:tcPr>
            <w:tcW w:w="7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420" w:type="dxa"/>
            <w:vAlign w:val="bottom"/>
            <w:tcBorders>
              <w:top w:val="single" w:sz="8" w:color="0000EE"/>
              <w:bottom w:val="single" w:sz="8" w:color="auto"/>
            </w:tcBorders>
            <w:gridSpan w:val="5"/>
          </w:tcPr>
          <w:p>
            <w:pPr>
              <w:spacing w:after="0"/>
              <w:rPr>
                <w:sz w:val="24"/>
                <w:szCs w:val="24"/>
                <w:color w:val="auto"/>
              </w:rPr>
            </w:pPr>
          </w:p>
        </w:tc>
        <w:tc>
          <w:tcPr>
            <w:tcW w:w="1920" w:type="dxa"/>
            <w:vAlign w:val="bottom"/>
            <w:tcBorders>
              <w:top w:val="single" w:sz="8" w:color="CCEEFF"/>
              <w:bottom w:val="single" w:sz="8" w:color="auto"/>
            </w:tcBorders>
            <w:gridSpan w:val="2"/>
          </w:tcPr>
          <w:p>
            <w:pPr>
              <w:jc w:val="right"/>
              <w:ind w:right="260"/>
              <w:spacing w:after="0"/>
              <w:rPr>
                <w:sz w:val="20"/>
                <w:szCs w:val="20"/>
                <w:color w:val="auto"/>
              </w:rPr>
            </w:pPr>
            <w:r>
              <w:rPr>
                <w:rFonts w:ascii="Arial" w:cs="Arial" w:eastAsia="Arial" w:hAnsi="Arial"/>
                <w:sz w:val="18"/>
                <w:szCs w:val="18"/>
                <w:color w:val="auto"/>
              </w:rPr>
              <w:t>116</w:t>
            </w:r>
          </w:p>
        </w:tc>
        <w:tc>
          <w:tcPr>
            <w:tcW w:w="4680" w:type="dxa"/>
            <w:vAlign w:val="bottom"/>
            <w:tcBorders>
              <w:top w:val="single" w:sz="8" w:color="CCEEFF"/>
              <w:bottom w:val="single" w:sz="8" w:color="auto"/>
            </w:tcBorders>
          </w:tcPr>
          <w:p>
            <w:pPr>
              <w:spacing w:after="0"/>
              <w:rPr>
                <w:sz w:val="24"/>
                <w:szCs w:val="24"/>
                <w:color w:val="auto"/>
              </w:rPr>
            </w:pPr>
          </w:p>
        </w:tc>
        <w:tc>
          <w:tcPr>
            <w:tcW w:w="260" w:type="dxa"/>
            <w:vAlign w:val="bottom"/>
            <w:tcBorders>
              <w:top w:val="single" w:sz="8" w:color="0000EE"/>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19" w:name="page120"/>
    <w:bookmarkEnd w:id="119"/>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0" w:type="dxa"/>
            <w:vAlign w:val="bottom"/>
          </w:tcPr>
          <w:p>
            <w:pPr>
              <w:spacing w:after="0"/>
              <w:rPr>
                <w:sz w:val="20"/>
                <w:szCs w:val="20"/>
                <w:color w:val="auto"/>
              </w:rPr>
            </w:pPr>
            <w:r>
              <w:rPr>
                <w:rFonts w:ascii="Arial" w:cs="Arial" w:eastAsia="Arial" w:hAnsi="Arial"/>
                <w:sz w:val="18"/>
                <w:szCs w:val="18"/>
                <w:b w:val="1"/>
                <w:bCs w:val="1"/>
                <w:color w:val="auto"/>
                <w:w w:val="95"/>
              </w:rPr>
              <w:t>Item 19.</w:t>
            </w:r>
          </w:p>
        </w:tc>
        <w:tc>
          <w:tcPr>
            <w:tcW w:w="1300" w:type="dxa"/>
            <w:vAlign w:val="bottom"/>
            <w:gridSpan w:val="4"/>
          </w:tcPr>
          <w:p>
            <w:pPr>
              <w:ind w:left="640"/>
              <w:spacing w:after="0"/>
              <w:rPr>
                <w:sz w:val="20"/>
                <w:szCs w:val="20"/>
                <w:color w:val="auto"/>
              </w:rPr>
            </w:pPr>
            <w:r>
              <w:rPr>
                <w:rFonts w:ascii="Arial" w:cs="Arial" w:eastAsia="Arial" w:hAnsi="Arial"/>
                <w:sz w:val="18"/>
                <w:szCs w:val="18"/>
                <w:b w:val="1"/>
                <w:bCs w:val="1"/>
                <w:color w:val="auto"/>
                <w:w w:val="91"/>
              </w:rPr>
              <w:t>Exhibits</w:t>
            </w:r>
          </w:p>
        </w:tc>
        <w:tc>
          <w:tcPr>
            <w:tcW w:w="6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39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80" w:type="dxa"/>
            <w:vAlign w:val="bottom"/>
          </w:tcPr>
          <w:p>
            <w:pPr>
              <w:spacing w:after="0"/>
              <w:rPr>
                <w:sz w:val="20"/>
                <w:szCs w:val="20"/>
                <w:color w:val="auto"/>
              </w:rPr>
            </w:pPr>
          </w:p>
        </w:tc>
      </w:tr>
      <w:tr>
        <w:trPr>
          <w:trHeight w:val="459"/>
        </w:trPr>
        <w:tc>
          <w:tcPr>
            <w:tcW w:w="660" w:type="dxa"/>
            <w:vAlign w:val="bottom"/>
          </w:tcPr>
          <w:p>
            <w:pPr>
              <w:spacing w:after="0"/>
              <w:rPr>
                <w:sz w:val="24"/>
                <w:szCs w:val="24"/>
                <w:color w:val="auto"/>
              </w:rPr>
            </w:pPr>
          </w:p>
        </w:tc>
        <w:tc>
          <w:tcPr>
            <w:tcW w:w="1300" w:type="dxa"/>
            <w:vAlign w:val="bottom"/>
            <w:gridSpan w:val="4"/>
          </w:tcPr>
          <w:p>
            <w:pPr>
              <w:spacing w:after="0"/>
              <w:rPr>
                <w:sz w:val="20"/>
                <w:szCs w:val="20"/>
                <w:color w:val="auto"/>
              </w:rPr>
            </w:pPr>
            <w:r>
              <w:rPr>
                <w:rFonts w:ascii="Arial" w:cs="Arial" w:eastAsia="Arial" w:hAnsi="Arial"/>
                <w:sz w:val="18"/>
                <w:szCs w:val="18"/>
                <w:color w:val="auto"/>
              </w:rPr>
              <w:t>List of Exhibits</w:t>
            </w:r>
          </w:p>
        </w:tc>
        <w:tc>
          <w:tcPr>
            <w:tcW w:w="66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39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80" w:type="dxa"/>
            <w:vAlign w:val="bottom"/>
          </w:tcPr>
          <w:p>
            <w:pPr>
              <w:spacing w:after="0"/>
              <w:rPr>
                <w:sz w:val="24"/>
                <w:szCs w:val="24"/>
                <w:color w:val="auto"/>
              </w:rPr>
            </w:pPr>
          </w:p>
        </w:tc>
      </w:tr>
      <w:tr>
        <w:trPr>
          <w:trHeight w:val="392"/>
        </w:trPr>
        <w:tc>
          <w:tcPr>
            <w:tcW w:w="660" w:type="dxa"/>
            <w:vAlign w:val="bottom"/>
          </w:tcPr>
          <w:p>
            <w:pPr>
              <w:spacing w:after="0"/>
              <w:rPr>
                <w:sz w:val="24"/>
                <w:szCs w:val="24"/>
                <w:color w:val="auto"/>
              </w:rPr>
            </w:pPr>
          </w:p>
        </w:tc>
        <w:tc>
          <w:tcPr>
            <w:tcW w:w="1300" w:type="dxa"/>
            <w:vAlign w:val="bottom"/>
            <w:gridSpan w:val="4"/>
          </w:tcPr>
          <w:p>
            <w:pPr>
              <w:spacing w:after="0"/>
              <w:rPr>
                <w:rFonts w:ascii="Arial" w:cs="Arial" w:eastAsia="Arial" w:hAnsi="Arial"/>
                <w:sz w:val="18"/>
                <w:szCs w:val="18"/>
                <w:color w:val="0000EE"/>
              </w:rPr>
            </w:pPr>
            <w:hyperlink r:id="rId152">
              <w:r>
                <w:rPr>
                  <w:rFonts w:ascii="Arial" w:cs="Arial" w:eastAsia="Arial" w:hAnsi="Arial"/>
                  <w:sz w:val="18"/>
                  <w:szCs w:val="18"/>
                  <w:color w:val="0000EE"/>
                </w:rPr>
                <w:t>Exhibit 1.1.</w:t>
              </w:r>
            </w:hyperlink>
          </w:p>
        </w:tc>
        <w:tc>
          <w:tcPr>
            <w:tcW w:w="9460" w:type="dxa"/>
            <w:vAlign w:val="bottom"/>
            <w:gridSpan w:val="11"/>
          </w:tcPr>
          <w:p>
            <w:pPr>
              <w:spacing w:after="0"/>
              <w:rPr>
                <w:rFonts w:ascii="Arial" w:cs="Arial" w:eastAsia="Arial" w:hAnsi="Arial"/>
                <w:sz w:val="18"/>
                <w:szCs w:val="18"/>
                <w:color w:val="0000EE"/>
              </w:rPr>
            </w:pPr>
            <w:hyperlink r:id="rId152">
              <w:r>
                <w:rPr>
                  <w:rFonts w:ascii="Arial" w:cs="Arial" w:eastAsia="Arial" w:hAnsi="Arial"/>
                  <w:sz w:val="18"/>
                  <w:szCs w:val="18"/>
                  <w:color w:val="0000EE"/>
                </w:rPr>
                <w:t>Amended and Restated Articles of Incorporation</w:t>
              </w:r>
            </w:hyperlink>
          </w:p>
        </w:tc>
      </w:tr>
      <w:tr>
        <w:trPr>
          <w:trHeight w:val="20"/>
        </w:trPr>
        <w:tc>
          <w:tcPr>
            <w:tcW w:w="660" w:type="dxa"/>
            <w:vAlign w:val="bottom"/>
          </w:tcPr>
          <w:p>
            <w:pPr>
              <w:spacing w:after="0" w:line="20" w:lineRule="exact"/>
              <w:rPr>
                <w:sz w:val="1"/>
                <w:szCs w:val="1"/>
                <w:color w:val="auto"/>
              </w:rPr>
            </w:pPr>
          </w:p>
        </w:tc>
        <w:tc>
          <w:tcPr>
            <w:tcW w:w="840" w:type="dxa"/>
            <w:vAlign w:val="bottom"/>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6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64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1320" w:type="dxa"/>
            <w:vAlign w:val="bottom"/>
            <w:shd w:val="clear" w:color="auto" w:fill="0000EE"/>
          </w:tcPr>
          <w:p>
            <w:pPr>
              <w:spacing w:after="0" w:line="20" w:lineRule="exact"/>
              <w:rPr>
                <w:sz w:val="1"/>
                <w:szCs w:val="1"/>
                <w:color w:val="auto"/>
              </w:rPr>
            </w:pPr>
          </w:p>
        </w:tc>
        <w:tc>
          <w:tcPr>
            <w:tcW w:w="39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1300" w:type="dxa"/>
            <w:vAlign w:val="bottom"/>
            <w:gridSpan w:val="4"/>
          </w:tcPr>
          <w:p>
            <w:pPr>
              <w:spacing w:after="0"/>
              <w:rPr>
                <w:rFonts w:ascii="Arial" w:cs="Arial" w:eastAsia="Arial" w:hAnsi="Arial"/>
                <w:sz w:val="18"/>
                <w:szCs w:val="18"/>
                <w:color w:val="0000EE"/>
              </w:rPr>
            </w:pPr>
            <w:hyperlink r:id="rId153">
              <w:r>
                <w:rPr>
                  <w:rFonts w:ascii="Arial" w:cs="Arial" w:eastAsia="Arial" w:hAnsi="Arial"/>
                  <w:sz w:val="18"/>
                  <w:szCs w:val="18"/>
                  <w:color w:val="0000EE"/>
                </w:rPr>
                <w:t>Exhibit 1.2.</w:t>
              </w:r>
            </w:hyperlink>
          </w:p>
        </w:tc>
        <w:tc>
          <w:tcPr>
            <w:tcW w:w="9460" w:type="dxa"/>
            <w:vAlign w:val="bottom"/>
            <w:gridSpan w:val="11"/>
          </w:tcPr>
          <w:p>
            <w:pPr>
              <w:spacing w:after="0"/>
              <w:rPr>
                <w:rFonts w:ascii="Arial" w:cs="Arial" w:eastAsia="Arial" w:hAnsi="Arial"/>
                <w:sz w:val="18"/>
                <w:szCs w:val="18"/>
                <w:color w:val="0000EE"/>
              </w:rPr>
            </w:pPr>
            <w:hyperlink r:id="rId153">
              <w:r>
                <w:rPr>
                  <w:rFonts w:ascii="Arial" w:cs="Arial" w:eastAsia="Arial" w:hAnsi="Arial"/>
                  <w:sz w:val="18"/>
                  <w:szCs w:val="18"/>
                  <w:color w:val="0000EE"/>
                </w:rPr>
                <w:t>By-Laws</w:t>
              </w:r>
            </w:hyperlink>
          </w:p>
        </w:tc>
      </w:tr>
      <w:tr>
        <w:trPr>
          <w:trHeight w:val="20"/>
        </w:trPr>
        <w:tc>
          <w:tcPr>
            <w:tcW w:w="660" w:type="dxa"/>
            <w:vAlign w:val="bottom"/>
          </w:tcPr>
          <w:p>
            <w:pPr>
              <w:spacing w:after="0" w:line="20" w:lineRule="exact"/>
              <w:rPr>
                <w:sz w:val="1"/>
                <w:szCs w:val="1"/>
                <w:color w:val="auto"/>
              </w:rPr>
            </w:pPr>
          </w:p>
        </w:tc>
        <w:tc>
          <w:tcPr>
            <w:tcW w:w="840" w:type="dxa"/>
            <w:vAlign w:val="bottom"/>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660" w:type="dxa"/>
            <w:vAlign w:val="bottom"/>
            <w:shd w:val="clear" w:color="auto" w:fill="0000EE"/>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30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1300" w:type="dxa"/>
            <w:vAlign w:val="bottom"/>
            <w:gridSpan w:val="4"/>
          </w:tcPr>
          <w:p>
            <w:pPr>
              <w:spacing w:after="0"/>
              <w:rPr>
                <w:rFonts w:ascii="Arial" w:cs="Arial" w:eastAsia="Arial" w:hAnsi="Arial"/>
                <w:sz w:val="18"/>
                <w:szCs w:val="18"/>
                <w:color w:val="0000EE"/>
              </w:rPr>
            </w:pPr>
            <w:hyperlink w:anchor="page225">
              <w:r>
                <w:rPr>
                  <w:rFonts w:ascii="Arial" w:cs="Arial" w:eastAsia="Arial" w:hAnsi="Arial"/>
                  <w:sz w:val="18"/>
                  <w:szCs w:val="18"/>
                  <w:color w:val="0000EE"/>
                </w:rPr>
                <w:t>Exhibit 8.1.</w:t>
              </w:r>
            </w:hyperlink>
          </w:p>
        </w:tc>
        <w:tc>
          <w:tcPr>
            <w:tcW w:w="9460" w:type="dxa"/>
            <w:vAlign w:val="bottom"/>
            <w:gridSpan w:val="11"/>
          </w:tcPr>
          <w:p>
            <w:pPr>
              <w:spacing w:after="0"/>
              <w:rPr>
                <w:rFonts w:ascii="Arial" w:cs="Arial" w:eastAsia="Arial" w:hAnsi="Arial"/>
                <w:sz w:val="18"/>
                <w:szCs w:val="18"/>
                <w:color w:val="0000EE"/>
              </w:rPr>
            </w:pPr>
            <w:hyperlink w:anchor="page225">
              <w:r>
                <w:rPr>
                  <w:rFonts w:ascii="Arial" w:cs="Arial" w:eastAsia="Arial" w:hAnsi="Arial"/>
                  <w:sz w:val="18"/>
                  <w:szCs w:val="18"/>
                  <w:color w:val="0000EE"/>
                </w:rPr>
                <w:t>List of Subsidiaries</w:t>
              </w:r>
            </w:hyperlink>
          </w:p>
        </w:tc>
      </w:tr>
      <w:tr>
        <w:trPr>
          <w:trHeight w:val="20"/>
        </w:trPr>
        <w:tc>
          <w:tcPr>
            <w:tcW w:w="660" w:type="dxa"/>
            <w:vAlign w:val="bottom"/>
          </w:tcPr>
          <w:p>
            <w:pPr>
              <w:spacing w:after="0" w:line="20" w:lineRule="exact"/>
              <w:rPr>
                <w:sz w:val="1"/>
                <w:szCs w:val="1"/>
                <w:color w:val="auto"/>
              </w:rPr>
            </w:pPr>
          </w:p>
        </w:tc>
        <w:tc>
          <w:tcPr>
            <w:tcW w:w="840" w:type="dxa"/>
            <w:vAlign w:val="bottom"/>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60" w:type="dxa"/>
            <w:vAlign w:val="bottom"/>
            <w:gridSpan w:val="2"/>
            <w:shd w:val="clear" w:color="auto" w:fill="0000EE"/>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30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1300" w:type="dxa"/>
            <w:vAlign w:val="bottom"/>
            <w:gridSpan w:val="4"/>
          </w:tcPr>
          <w:p>
            <w:pPr>
              <w:spacing w:after="0"/>
              <w:rPr>
                <w:rFonts w:ascii="Arial" w:cs="Arial" w:eastAsia="Arial" w:hAnsi="Arial"/>
                <w:sz w:val="18"/>
                <w:szCs w:val="18"/>
                <w:color w:val="0000EE"/>
              </w:rPr>
            </w:pPr>
            <w:hyperlink w:anchor="page226">
              <w:r>
                <w:rPr>
                  <w:rFonts w:ascii="Arial" w:cs="Arial" w:eastAsia="Arial" w:hAnsi="Arial"/>
                  <w:sz w:val="18"/>
                  <w:szCs w:val="18"/>
                  <w:color w:val="0000EE"/>
                </w:rPr>
                <w:t>Exhibit 11.1.</w:t>
              </w:r>
            </w:hyperlink>
          </w:p>
        </w:tc>
        <w:tc>
          <w:tcPr>
            <w:tcW w:w="9460" w:type="dxa"/>
            <w:vAlign w:val="bottom"/>
            <w:gridSpan w:val="11"/>
          </w:tcPr>
          <w:p>
            <w:pPr>
              <w:spacing w:after="0"/>
              <w:rPr>
                <w:rFonts w:ascii="Arial" w:cs="Arial" w:eastAsia="Arial" w:hAnsi="Arial"/>
                <w:sz w:val="18"/>
                <w:szCs w:val="18"/>
                <w:color w:val="0000EE"/>
              </w:rPr>
            </w:pPr>
            <w:hyperlink w:anchor="page226">
              <w:r>
                <w:rPr>
                  <w:rFonts w:ascii="Arial" w:cs="Arial" w:eastAsia="Arial" w:hAnsi="Arial"/>
                  <w:sz w:val="18"/>
                  <w:szCs w:val="18"/>
                  <w:color w:val="0000EE"/>
                </w:rPr>
                <w:t>Code of Ethics</w:t>
              </w:r>
            </w:hyperlink>
          </w:p>
        </w:tc>
      </w:tr>
      <w:tr>
        <w:trPr>
          <w:trHeight w:val="20"/>
        </w:trPr>
        <w:tc>
          <w:tcPr>
            <w:tcW w:w="660" w:type="dxa"/>
            <w:vAlign w:val="bottom"/>
          </w:tcPr>
          <w:p>
            <w:pPr>
              <w:spacing w:after="0" w:line="20" w:lineRule="exact"/>
              <w:rPr>
                <w:sz w:val="1"/>
                <w:szCs w:val="1"/>
                <w:color w:val="auto"/>
              </w:rPr>
            </w:pPr>
          </w:p>
        </w:tc>
        <w:tc>
          <w:tcPr>
            <w:tcW w:w="920" w:type="dxa"/>
            <w:vAlign w:val="bottom"/>
            <w:gridSpan w:val="2"/>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60" w:type="dxa"/>
            <w:vAlign w:val="bottom"/>
            <w:gridSpan w:val="2"/>
            <w:shd w:val="clear" w:color="auto" w:fill="0000EE"/>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30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940" w:type="dxa"/>
            <w:vAlign w:val="bottom"/>
            <w:gridSpan w:val="3"/>
          </w:tcPr>
          <w:p>
            <w:pPr>
              <w:spacing w:after="0"/>
              <w:rPr>
                <w:rFonts w:ascii="Arial" w:cs="Arial" w:eastAsia="Arial" w:hAnsi="Arial"/>
                <w:sz w:val="18"/>
                <w:szCs w:val="18"/>
                <w:color w:val="0000EE"/>
                <w:w w:val="92"/>
              </w:rPr>
            </w:pPr>
            <w:hyperlink w:anchor="page246">
              <w:r>
                <w:rPr>
                  <w:rFonts w:ascii="Arial" w:cs="Arial" w:eastAsia="Arial" w:hAnsi="Arial"/>
                  <w:sz w:val="18"/>
                  <w:szCs w:val="18"/>
                  <w:color w:val="0000EE"/>
                  <w:w w:val="92"/>
                </w:rPr>
                <w:t>Exhibit 12.1.</w:t>
              </w:r>
            </w:hyperlink>
          </w:p>
        </w:tc>
        <w:tc>
          <w:tcPr>
            <w:tcW w:w="360" w:type="dxa"/>
            <w:vAlign w:val="bottom"/>
          </w:tcPr>
          <w:p>
            <w:pPr>
              <w:spacing w:after="0"/>
              <w:rPr>
                <w:sz w:val="24"/>
                <w:szCs w:val="24"/>
                <w:color w:val="auto"/>
              </w:rPr>
            </w:pPr>
          </w:p>
        </w:tc>
        <w:tc>
          <w:tcPr>
            <w:tcW w:w="9460" w:type="dxa"/>
            <w:vAlign w:val="bottom"/>
            <w:gridSpan w:val="11"/>
          </w:tcPr>
          <w:p>
            <w:pPr>
              <w:spacing w:after="0"/>
              <w:rPr>
                <w:rFonts w:ascii="Arial" w:cs="Arial" w:eastAsia="Arial" w:hAnsi="Arial"/>
                <w:sz w:val="18"/>
                <w:szCs w:val="18"/>
                <w:color w:val="0000EE"/>
              </w:rPr>
            </w:pPr>
            <w:hyperlink w:anchor="page246">
              <w:r>
                <w:rPr>
                  <w:rFonts w:ascii="Arial" w:cs="Arial" w:eastAsia="Arial" w:hAnsi="Arial"/>
                  <w:sz w:val="18"/>
                  <w:szCs w:val="18"/>
                  <w:color w:val="0000EE"/>
                </w:rPr>
                <w:t>Certification of Principal Executive Officer pursuant to Exchange Act Rules 13a – 14(a) and 15d – 14(a)</w:t>
              </w:r>
            </w:hyperlink>
          </w:p>
        </w:tc>
      </w:tr>
      <w:tr>
        <w:trPr>
          <w:trHeight w:val="412"/>
        </w:trPr>
        <w:tc>
          <w:tcPr>
            <w:tcW w:w="660" w:type="dxa"/>
            <w:vAlign w:val="bottom"/>
          </w:tcPr>
          <w:p>
            <w:pPr>
              <w:spacing w:after="0"/>
              <w:rPr>
                <w:sz w:val="24"/>
                <w:szCs w:val="24"/>
                <w:color w:val="auto"/>
              </w:rPr>
            </w:pPr>
          </w:p>
        </w:tc>
        <w:tc>
          <w:tcPr>
            <w:tcW w:w="940" w:type="dxa"/>
            <w:vAlign w:val="bottom"/>
            <w:tcBorders>
              <w:top w:val="single" w:sz="8" w:color="0000EE"/>
              <w:bottom w:val="single" w:sz="8" w:color="0000EE"/>
            </w:tcBorders>
            <w:gridSpan w:val="3"/>
          </w:tcPr>
          <w:p>
            <w:pPr>
              <w:spacing w:after="0"/>
              <w:rPr>
                <w:rFonts w:ascii="Arial" w:cs="Arial" w:eastAsia="Arial" w:hAnsi="Arial"/>
                <w:sz w:val="18"/>
                <w:szCs w:val="18"/>
                <w:color w:val="0000EE"/>
                <w:w w:val="92"/>
              </w:rPr>
            </w:pPr>
            <w:hyperlink w:anchor="page247">
              <w:r>
                <w:rPr>
                  <w:rFonts w:ascii="Arial" w:cs="Arial" w:eastAsia="Arial" w:hAnsi="Arial"/>
                  <w:sz w:val="18"/>
                  <w:szCs w:val="18"/>
                  <w:color w:val="0000EE"/>
                  <w:w w:val="92"/>
                </w:rPr>
                <w:t>Exhibit 12.2.</w:t>
              </w:r>
            </w:hyperlink>
          </w:p>
        </w:tc>
        <w:tc>
          <w:tcPr>
            <w:tcW w:w="360" w:type="dxa"/>
            <w:vAlign w:val="bottom"/>
          </w:tcPr>
          <w:p>
            <w:pPr>
              <w:spacing w:after="0"/>
              <w:rPr>
                <w:sz w:val="24"/>
                <w:szCs w:val="24"/>
                <w:color w:val="auto"/>
              </w:rPr>
            </w:pPr>
          </w:p>
        </w:tc>
        <w:tc>
          <w:tcPr>
            <w:tcW w:w="7480" w:type="dxa"/>
            <w:vAlign w:val="bottom"/>
            <w:tcBorders>
              <w:top w:val="single" w:sz="8" w:color="0000EE"/>
              <w:bottom w:val="single" w:sz="8" w:color="0000EE"/>
            </w:tcBorders>
            <w:gridSpan w:val="7"/>
          </w:tcPr>
          <w:p>
            <w:pPr>
              <w:spacing w:after="0"/>
              <w:rPr>
                <w:rFonts w:ascii="Arial" w:cs="Arial" w:eastAsia="Arial" w:hAnsi="Arial"/>
                <w:sz w:val="18"/>
                <w:szCs w:val="18"/>
                <w:color w:val="0000EE"/>
                <w:w w:val="91"/>
              </w:rPr>
            </w:pPr>
            <w:hyperlink w:anchor="page247">
              <w:r>
                <w:rPr>
                  <w:rFonts w:ascii="Arial" w:cs="Arial" w:eastAsia="Arial" w:hAnsi="Arial"/>
                  <w:sz w:val="18"/>
                  <w:szCs w:val="18"/>
                  <w:color w:val="0000EE"/>
                  <w:w w:val="91"/>
                </w:rPr>
                <w:t>Certification of Principal Financial Officer pursuant to Exchange Act Rules 13a – 14(a) and 15d – 14(a)</w:t>
              </w:r>
            </w:hyperlink>
          </w:p>
        </w:tc>
        <w:tc>
          <w:tcPr>
            <w:tcW w:w="40" w:type="dxa"/>
            <w:vAlign w:val="bottom"/>
            <w:tcBorders>
              <w:top w:val="single" w:sz="8" w:color="0000EE"/>
            </w:tcBorders>
          </w:tcPr>
          <w:p>
            <w:pPr>
              <w:spacing w:after="0"/>
              <w:rPr>
                <w:sz w:val="24"/>
                <w:szCs w:val="24"/>
                <w:color w:val="auto"/>
              </w:rPr>
            </w:pPr>
          </w:p>
        </w:tc>
        <w:tc>
          <w:tcPr>
            <w:tcW w:w="1940" w:type="dxa"/>
            <w:vAlign w:val="bottom"/>
            <w:gridSpan w:val="3"/>
          </w:tcPr>
          <w:p>
            <w:pPr>
              <w:spacing w:after="0"/>
              <w:rPr>
                <w:sz w:val="24"/>
                <w:szCs w:val="24"/>
                <w:color w:val="auto"/>
              </w:rPr>
            </w:pPr>
          </w:p>
        </w:tc>
      </w:tr>
      <w:tr>
        <w:trPr>
          <w:trHeight w:val="412"/>
        </w:trPr>
        <w:tc>
          <w:tcPr>
            <w:tcW w:w="660" w:type="dxa"/>
            <w:vAlign w:val="bottom"/>
          </w:tcPr>
          <w:p>
            <w:pPr>
              <w:spacing w:after="0"/>
              <w:rPr>
                <w:sz w:val="24"/>
                <w:szCs w:val="24"/>
                <w:color w:val="auto"/>
              </w:rPr>
            </w:pPr>
          </w:p>
        </w:tc>
        <w:tc>
          <w:tcPr>
            <w:tcW w:w="940" w:type="dxa"/>
            <w:vAlign w:val="bottom"/>
            <w:tcBorders>
              <w:bottom w:val="single" w:sz="8" w:color="0000EE"/>
            </w:tcBorders>
            <w:gridSpan w:val="3"/>
          </w:tcPr>
          <w:p>
            <w:pPr>
              <w:spacing w:after="0"/>
              <w:rPr>
                <w:rFonts w:ascii="Arial" w:cs="Arial" w:eastAsia="Arial" w:hAnsi="Arial"/>
                <w:sz w:val="18"/>
                <w:szCs w:val="18"/>
                <w:color w:val="0000EE"/>
                <w:w w:val="92"/>
              </w:rPr>
            </w:pPr>
            <w:hyperlink w:anchor="page248">
              <w:r>
                <w:rPr>
                  <w:rFonts w:ascii="Arial" w:cs="Arial" w:eastAsia="Arial" w:hAnsi="Arial"/>
                  <w:sz w:val="18"/>
                  <w:szCs w:val="18"/>
                  <w:color w:val="0000EE"/>
                  <w:w w:val="92"/>
                </w:rPr>
                <w:t>Exhibit 13.1.</w:t>
              </w:r>
            </w:hyperlink>
          </w:p>
        </w:tc>
        <w:tc>
          <w:tcPr>
            <w:tcW w:w="360" w:type="dxa"/>
            <w:vAlign w:val="bottom"/>
          </w:tcPr>
          <w:p>
            <w:pPr>
              <w:spacing w:after="0"/>
              <w:rPr>
                <w:sz w:val="24"/>
                <w:szCs w:val="24"/>
                <w:color w:val="auto"/>
              </w:rPr>
            </w:pPr>
          </w:p>
        </w:tc>
        <w:tc>
          <w:tcPr>
            <w:tcW w:w="8780" w:type="dxa"/>
            <w:vAlign w:val="bottom"/>
            <w:tcBorders>
              <w:bottom w:val="single" w:sz="8" w:color="0000EE"/>
            </w:tcBorders>
            <w:gridSpan w:val="10"/>
          </w:tcPr>
          <w:p>
            <w:pPr>
              <w:spacing w:after="0"/>
              <w:rPr>
                <w:rFonts w:ascii="Arial" w:cs="Arial" w:eastAsia="Arial" w:hAnsi="Arial"/>
                <w:sz w:val="18"/>
                <w:szCs w:val="18"/>
                <w:color w:val="0000EE"/>
                <w:w w:val="91"/>
              </w:rPr>
            </w:pPr>
            <w:hyperlink w:anchor="page248">
              <w:r>
                <w:rPr>
                  <w:rFonts w:ascii="Arial" w:cs="Arial" w:eastAsia="Arial" w:hAnsi="Arial"/>
                  <w:sz w:val="18"/>
                  <w:szCs w:val="18"/>
                  <w:color w:val="0000EE"/>
                  <w:w w:val="91"/>
                </w:rPr>
                <w:t>Certification of Principal Executive Officer pursuant to 18 U.S.C. Section 1350, as adopted pursuant to Section 906 of the</w:t>
              </w:r>
            </w:hyperlink>
          </w:p>
        </w:tc>
        <w:tc>
          <w:tcPr>
            <w:tcW w:w="680" w:type="dxa"/>
            <w:vAlign w:val="bottom"/>
          </w:tcPr>
          <w:p>
            <w:pPr>
              <w:spacing w:after="0"/>
              <w:rPr>
                <w:sz w:val="24"/>
                <w:szCs w:val="24"/>
                <w:color w:val="auto"/>
              </w:rPr>
            </w:pPr>
          </w:p>
        </w:tc>
      </w:tr>
      <w:tr>
        <w:trPr>
          <w:trHeight w:val="196"/>
        </w:trPr>
        <w:tc>
          <w:tcPr>
            <w:tcW w:w="6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2040" w:type="dxa"/>
            <w:vAlign w:val="bottom"/>
            <w:tcBorders>
              <w:bottom w:val="single" w:sz="8" w:color="0000EE"/>
            </w:tcBorders>
            <w:gridSpan w:val="4"/>
          </w:tcPr>
          <w:p>
            <w:pPr>
              <w:spacing w:after="0" w:line="196" w:lineRule="exact"/>
              <w:rPr>
                <w:rFonts w:ascii="Arial" w:cs="Arial" w:eastAsia="Arial" w:hAnsi="Arial"/>
                <w:sz w:val="18"/>
                <w:szCs w:val="18"/>
                <w:color w:val="0000EE"/>
                <w:w w:val="90"/>
              </w:rPr>
            </w:pPr>
            <w:hyperlink w:anchor="page248">
              <w:r>
                <w:rPr>
                  <w:rFonts w:ascii="Arial" w:cs="Arial" w:eastAsia="Arial" w:hAnsi="Arial"/>
                  <w:sz w:val="18"/>
                  <w:szCs w:val="18"/>
                  <w:color w:val="0000EE"/>
                  <w:w w:val="90"/>
                </w:rPr>
                <w:t>Sarbanes Oxley Act of 2002</w:t>
              </w:r>
            </w:hyperlink>
          </w:p>
        </w:tc>
        <w:tc>
          <w:tcPr>
            <w:tcW w:w="7420" w:type="dxa"/>
            <w:vAlign w:val="bottom"/>
            <w:gridSpan w:val="7"/>
          </w:tcPr>
          <w:p>
            <w:pPr>
              <w:spacing w:after="0"/>
              <w:rPr>
                <w:sz w:val="17"/>
                <w:szCs w:val="17"/>
                <w:color w:val="auto"/>
              </w:rPr>
            </w:pPr>
          </w:p>
        </w:tc>
      </w:tr>
      <w:tr>
        <w:trPr>
          <w:trHeight w:val="412"/>
        </w:trPr>
        <w:tc>
          <w:tcPr>
            <w:tcW w:w="660" w:type="dxa"/>
            <w:vAlign w:val="bottom"/>
          </w:tcPr>
          <w:p>
            <w:pPr>
              <w:spacing w:after="0"/>
              <w:rPr>
                <w:sz w:val="24"/>
                <w:szCs w:val="24"/>
                <w:color w:val="auto"/>
              </w:rPr>
            </w:pPr>
          </w:p>
        </w:tc>
        <w:tc>
          <w:tcPr>
            <w:tcW w:w="940" w:type="dxa"/>
            <w:vAlign w:val="bottom"/>
            <w:gridSpan w:val="3"/>
          </w:tcPr>
          <w:p>
            <w:pPr>
              <w:spacing w:after="0"/>
              <w:rPr>
                <w:rFonts w:ascii="Arial" w:cs="Arial" w:eastAsia="Arial" w:hAnsi="Arial"/>
                <w:sz w:val="18"/>
                <w:szCs w:val="18"/>
                <w:color w:val="0000EE"/>
                <w:w w:val="92"/>
              </w:rPr>
            </w:pPr>
            <w:hyperlink w:anchor="page249">
              <w:r>
                <w:rPr>
                  <w:rFonts w:ascii="Arial" w:cs="Arial" w:eastAsia="Arial" w:hAnsi="Arial"/>
                  <w:sz w:val="18"/>
                  <w:szCs w:val="18"/>
                  <w:color w:val="0000EE"/>
                  <w:w w:val="92"/>
                </w:rPr>
                <w:t>Exhibit 13.2.</w:t>
              </w:r>
            </w:hyperlink>
          </w:p>
        </w:tc>
        <w:tc>
          <w:tcPr>
            <w:tcW w:w="360" w:type="dxa"/>
            <w:vAlign w:val="bottom"/>
          </w:tcPr>
          <w:p>
            <w:pPr>
              <w:spacing w:after="0"/>
              <w:rPr>
                <w:sz w:val="24"/>
                <w:szCs w:val="24"/>
                <w:color w:val="auto"/>
              </w:rPr>
            </w:pPr>
          </w:p>
        </w:tc>
        <w:tc>
          <w:tcPr>
            <w:tcW w:w="9460" w:type="dxa"/>
            <w:vAlign w:val="bottom"/>
            <w:gridSpan w:val="11"/>
          </w:tcPr>
          <w:p>
            <w:pPr>
              <w:spacing w:after="0"/>
              <w:rPr>
                <w:rFonts w:ascii="Arial" w:cs="Arial" w:eastAsia="Arial" w:hAnsi="Arial"/>
                <w:sz w:val="18"/>
                <w:szCs w:val="18"/>
                <w:color w:val="0000EE"/>
                <w:w w:val="98"/>
              </w:rPr>
            </w:pPr>
            <w:hyperlink w:anchor="page249">
              <w:r>
                <w:rPr>
                  <w:rFonts w:ascii="Arial" w:cs="Arial" w:eastAsia="Arial" w:hAnsi="Arial"/>
                  <w:sz w:val="18"/>
                  <w:szCs w:val="18"/>
                  <w:color w:val="0000EE"/>
                  <w:w w:val="98"/>
                </w:rPr>
                <w:t>Certification of Principal Financial Officer pursuant to 18 U.S.C. Section 1350, as adopted pursuant to Section 906 of the</w:t>
              </w:r>
            </w:hyperlink>
          </w:p>
        </w:tc>
      </w:tr>
      <w:tr>
        <w:trPr>
          <w:trHeight w:val="196"/>
        </w:trPr>
        <w:tc>
          <w:tcPr>
            <w:tcW w:w="660" w:type="dxa"/>
            <w:vAlign w:val="bottom"/>
          </w:tcPr>
          <w:p>
            <w:pPr>
              <w:spacing w:after="0"/>
              <w:rPr>
                <w:sz w:val="17"/>
                <w:szCs w:val="17"/>
                <w:color w:val="auto"/>
              </w:rPr>
            </w:pPr>
          </w:p>
        </w:tc>
        <w:tc>
          <w:tcPr>
            <w:tcW w:w="840" w:type="dxa"/>
            <w:vAlign w:val="bottom"/>
            <w:tcBorders>
              <w:top w:val="single" w:sz="8" w:color="0000EE"/>
            </w:tcBorders>
          </w:tcPr>
          <w:p>
            <w:pPr>
              <w:spacing w:after="0"/>
              <w:rPr>
                <w:sz w:val="17"/>
                <w:szCs w:val="17"/>
                <w:color w:val="auto"/>
              </w:rPr>
            </w:pPr>
          </w:p>
        </w:tc>
        <w:tc>
          <w:tcPr>
            <w:tcW w:w="80" w:type="dxa"/>
            <w:vAlign w:val="bottom"/>
            <w:tcBorders>
              <w:top w:val="single" w:sz="8" w:color="0000EE"/>
            </w:tcBorders>
          </w:tcPr>
          <w:p>
            <w:pPr>
              <w:spacing w:after="0"/>
              <w:rPr>
                <w:sz w:val="17"/>
                <w:szCs w:val="17"/>
                <w:color w:val="auto"/>
              </w:rPr>
            </w:pPr>
          </w:p>
        </w:tc>
        <w:tc>
          <w:tcPr>
            <w:tcW w:w="20" w:type="dxa"/>
            <w:vAlign w:val="bottom"/>
            <w:tcBorders>
              <w:top w:val="single" w:sz="8" w:color="0000EE"/>
            </w:tcBorders>
          </w:tcPr>
          <w:p>
            <w:pPr>
              <w:spacing w:after="0"/>
              <w:rPr>
                <w:sz w:val="17"/>
                <w:szCs w:val="17"/>
                <w:color w:val="auto"/>
              </w:rPr>
            </w:pPr>
          </w:p>
        </w:tc>
        <w:tc>
          <w:tcPr>
            <w:tcW w:w="360" w:type="dxa"/>
            <w:vAlign w:val="bottom"/>
          </w:tcPr>
          <w:p>
            <w:pPr>
              <w:spacing w:after="0"/>
              <w:rPr>
                <w:sz w:val="17"/>
                <w:szCs w:val="17"/>
                <w:color w:val="auto"/>
              </w:rPr>
            </w:pPr>
          </w:p>
        </w:tc>
        <w:tc>
          <w:tcPr>
            <w:tcW w:w="2040" w:type="dxa"/>
            <w:vAlign w:val="bottom"/>
            <w:tcBorders>
              <w:top w:val="single" w:sz="8" w:color="0000EE"/>
              <w:bottom w:val="single" w:sz="8" w:color="0000EE"/>
            </w:tcBorders>
            <w:gridSpan w:val="4"/>
          </w:tcPr>
          <w:p>
            <w:pPr>
              <w:spacing w:after="0" w:line="196" w:lineRule="exact"/>
              <w:rPr>
                <w:rFonts w:ascii="Arial" w:cs="Arial" w:eastAsia="Arial" w:hAnsi="Arial"/>
                <w:sz w:val="18"/>
                <w:szCs w:val="18"/>
                <w:color w:val="0000EE"/>
                <w:w w:val="90"/>
              </w:rPr>
            </w:pPr>
            <w:hyperlink w:anchor="page249">
              <w:r>
                <w:rPr>
                  <w:rFonts w:ascii="Arial" w:cs="Arial" w:eastAsia="Arial" w:hAnsi="Arial"/>
                  <w:sz w:val="18"/>
                  <w:szCs w:val="18"/>
                  <w:color w:val="0000EE"/>
                  <w:w w:val="90"/>
                </w:rPr>
                <w:t>Sarbanes Oxley Act of 2002</w:t>
              </w:r>
            </w:hyperlink>
          </w:p>
        </w:tc>
        <w:tc>
          <w:tcPr>
            <w:tcW w:w="6680" w:type="dxa"/>
            <w:vAlign w:val="bottom"/>
            <w:tcBorders>
              <w:top w:val="single" w:sz="8" w:color="0000EE"/>
            </w:tcBorders>
            <w:gridSpan w:val="5"/>
          </w:tcPr>
          <w:p>
            <w:pPr>
              <w:spacing w:after="0"/>
              <w:rPr>
                <w:sz w:val="17"/>
                <w:szCs w:val="17"/>
                <w:color w:val="auto"/>
              </w:rPr>
            </w:pPr>
          </w:p>
        </w:tc>
        <w:tc>
          <w:tcPr>
            <w:tcW w:w="740" w:type="dxa"/>
            <w:vAlign w:val="bottom"/>
            <w:gridSpan w:val="2"/>
          </w:tcPr>
          <w:p>
            <w:pPr>
              <w:spacing w:after="0"/>
              <w:rPr>
                <w:sz w:val="17"/>
                <w:szCs w:val="17"/>
                <w:color w:val="auto"/>
              </w:rPr>
            </w:pPr>
          </w:p>
        </w:tc>
      </w:tr>
      <w:tr>
        <w:trPr>
          <w:trHeight w:val="412"/>
        </w:trPr>
        <w:tc>
          <w:tcPr>
            <w:tcW w:w="660" w:type="dxa"/>
            <w:vAlign w:val="bottom"/>
          </w:tcPr>
          <w:p>
            <w:pPr>
              <w:spacing w:after="0"/>
              <w:rPr>
                <w:sz w:val="24"/>
                <w:szCs w:val="24"/>
                <w:color w:val="auto"/>
              </w:rPr>
            </w:pPr>
          </w:p>
        </w:tc>
        <w:tc>
          <w:tcPr>
            <w:tcW w:w="940" w:type="dxa"/>
            <w:vAlign w:val="bottom"/>
            <w:gridSpan w:val="3"/>
          </w:tcPr>
          <w:p>
            <w:pPr>
              <w:spacing w:after="0"/>
              <w:rPr>
                <w:rFonts w:ascii="Arial" w:cs="Arial" w:eastAsia="Arial" w:hAnsi="Arial"/>
                <w:sz w:val="18"/>
                <w:szCs w:val="18"/>
                <w:color w:val="0000EE"/>
                <w:w w:val="92"/>
              </w:rPr>
            </w:pPr>
            <w:hyperlink w:anchor="page250">
              <w:r>
                <w:rPr>
                  <w:rFonts w:ascii="Arial" w:cs="Arial" w:eastAsia="Arial" w:hAnsi="Arial"/>
                  <w:sz w:val="18"/>
                  <w:szCs w:val="18"/>
                  <w:color w:val="0000EE"/>
                  <w:w w:val="92"/>
                </w:rPr>
                <w:t>Exhibit 15.1.</w:t>
              </w:r>
            </w:hyperlink>
          </w:p>
        </w:tc>
        <w:tc>
          <w:tcPr>
            <w:tcW w:w="360" w:type="dxa"/>
            <w:vAlign w:val="bottom"/>
          </w:tcPr>
          <w:p>
            <w:pPr>
              <w:spacing w:after="0"/>
              <w:rPr>
                <w:sz w:val="24"/>
                <w:szCs w:val="24"/>
                <w:color w:val="auto"/>
              </w:rPr>
            </w:pPr>
          </w:p>
        </w:tc>
        <w:tc>
          <w:tcPr>
            <w:tcW w:w="9460" w:type="dxa"/>
            <w:vAlign w:val="bottom"/>
            <w:gridSpan w:val="11"/>
          </w:tcPr>
          <w:p>
            <w:pPr>
              <w:spacing w:after="0"/>
              <w:rPr>
                <w:rFonts w:ascii="Arial" w:cs="Arial" w:eastAsia="Arial" w:hAnsi="Arial"/>
                <w:sz w:val="18"/>
                <w:szCs w:val="18"/>
                <w:color w:val="0000EE"/>
              </w:rPr>
            </w:pPr>
            <w:hyperlink w:anchor="page250">
              <w:r>
                <w:rPr>
                  <w:rFonts w:ascii="Arial" w:cs="Arial" w:eastAsia="Arial" w:hAnsi="Arial"/>
                  <w:sz w:val="18"/>
                  <w:szCs w:val="18"/>
                  <w:color w:val="0000EE"/>
                </w:rPr>
                <w:t>Consent letter of Deloitte, Inc.</w:t>
              </w:r>
            </w:hyperlink>
          </w:p>
        </w:tc>
      </w:tr>
      <w:tr>
        <w:trPr>
          <w:trHeight w:val="669"/>
        </w:trPr>
        <w:tc>
          <w:tcPr>
            <w:tcW w:w="660" w:type="dxa"/>
            <w:vAlign w:val="bottom"/>
            <w:tcBorders>
              <w:bottom w:val="single" w:sz="8" w:color="auto"/>
            </w:tcBorders>
          </w:tcPr>
          <w:p>
            <w:pPr>
              <w:spacing w:after="0"/>
              <w:rPr>
                <w:sz w:val="24"/>
                <w:szCs w:val="24"/>
                <w:color w:val="auto"/>
              </w:rPr>
            </w:pPr>
          </w:p>
        </w:tc>
        <w:tc>
          <w:tcPr>
            <w:tcW w:w="840" w:type="dxa"/>
            <w:vAlign w:val="bottom"/>
            <w:tcBorders>
              <w:top w:val="single" w:sz="8" w:color="0000EE"/>
              <w:bottom w:val="single" w:sz="8" w:color="auto"/>
            </w:tcBorders>
          </w:tcPr>
          <w:p>
            <w:pPr>
              <w:spacing w:after="0"/>
              <w:rPr>
                <w:sz w:val="24"/>
                <w:szCs w:val="24"/>
                <w:color w:val="auto"/>
              </w:rPr>
            </w:pPr>
          </w:p>
        </w:tc>
        <w:tc>
          <w:tcPr>
            <w:tcW w:w="80" w:type="dxa"/>
            <w:vAlign w:val="bottom"/>
            <w:tcBorders>
              <w:top w:val="single" w:sz="8" w:color="0000EE"/>
              <w:bottom w:val="single" w:sz="8" w:color="auto"/>
            </w:tcBorders>
          </w:tcPr>
          <w:p>
            <w:pPr>
              <w:spacing w:after="0"/>
              <w:rPr>
                <w:sz w:val="24"/>
                <w:szCs w:val="24"/>
                <w:color w:val="auto"/>
              </w:rPr>
            </w:pPr>
          </w:p>
        </w:tc>
        <w:tc>
          <w:tcPr>
            <w:tcW w:w="20" w:type="dxa"/>
            <w:vAlign w:val="bottom"/>
            <w:tcBorders>
              <w:top w:val="single" w:sz="8" w:color="0000EE"/>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180" w:type="dxa"/>
            <w:vAlign w:val="bottom"/>
            <w:tcBorders>
              <w:top w:val="single" w:sz="8" w:color="0000EE"/>
              <w:bottom w:val="single" w:sz="8" w:color="auto"/>
            </w:tcBorders>
            <w:gridSpan w:val="5"/>
          </w:tcPr>
          <w:p>
            <w:pPr>
              <w:spacing w:after="0"/>
              <w:rPr>
                <w:sz w:val="24"/>
                <w:szCs w:val="24"/>
                <w:color w:val="auto"/>
              </w:rPr>
            </w:pPr>
          </w:p>
        </w:tc>
        <w:tc>
          <w:tcPr>
            <w:tcW w:w="5300" w:type="dxa"/>
            <w:vAlign w:val="bottom"/>
            <w:tcBorders>
              <w:bottom w:val="single" w:sz="8" w:color="auto"/>
            </w:tcBorders>
            <w:gridSpan w:val="2"/>
          </w:tcPr>
          <w:p>
            <w:pPr>
              <w:jc w:val="right"/>
              <w:ind w:right="3580"/>
              <w:spacing w:after="0"/>
              <w:rPr>
                <w:sz w:val="20"/>
                <w:szCs w:val="20"/>
                <w:color w:val="auto"/>
              </w:rPr>
            </w:pPr>
            <w:r>
              <w:rPr>
                <w:rFonts w:ascii="Arial" w:cs="Arial" w:eastAsia="Arial" w:hAnsi="Arial"/>
                <w:sz w:val="18"/>
                <w:szCs w:val="18"/>
                <w:color w:val="auto"/>
              </w:rPr>
              <w:t>117</w:t>
            </w:r>
          </w:p>
        </w:tc>
        <w:tc>
          <w:tcPr>
            <w:tcW w:w="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120" w:name="page121"/>
    <w:bookmarkEnd w:id="120"/>
    <w:p>
      <w:pPr>
        <w:jc w:val="center"/>
        <w:ind w:right="-19"/>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registrant hereby certifies that it meets all of the requirements for filing on Form 20-F and that it has duly caused and authorized the undersigned to sign this Annual Report on its behalf.</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S.A.</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/s/ Rubens V. Amaral Jr.</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2898775" cy="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4">
                      <a:extLst>
                        <a:ext uri="{28A0092B-C50C-407E-A947-70E740481C1C}"/>
                      </a:extLst>
                    </a:blip>
                    <a:srcRect/>
                    <a:stretch>
                      <a:fillRect/>
                    </a:stretch>
                  </pic:blipFill>
                  <pic:spPr bwMode="auto">
                    <a:xfrm>
                      <a:off x="0" y="0"/>
                      <a:ext cx="2898775" cy="8890"/>
                    </a:xfrm>
                    <a:prstGeom prst="rect">
                      <a:avLst/>
                    </a:prstGeom>
                    <a:noFill/>
                  </pic:spPr>
                </pic:pic>
              </a:graphicData>
            </a:graphic>
          </wp:anchor>
        </w:drawing>
      </w:r>
    </w:p>
    <w:p>
      <w:pPr>
        <w:spacing w:after="0" w:line="204" w:lineRule="exact"/>
        <w:rPr>
          <w:sz w:val="20"/>
          <w:szCs w:val="20"/>
          <w:color w:val="auto"/>
        </w:rPr>
      </w:pPr>
    </w:p>
    <w:p>
      <w:pPr>
        <w:spacing w:after="0"/>
        <w:rPr>
          <w:sz w:val="20"/>
          <w:szCs w:val="20"/>
          <w:color w:val="auto"/>
        </w:rPr>
      </w:pPr>
      <w:r>
        <w:rPr>
          <w:rFonts w:ascii="Arial" w:cs="Arial" w:eastAsia="Arial" w:hAnsi="Arial"/>
          <w:sz w:val="18"/>
          <w:szCs w:val="18"/>
          <w:color w:val="auto"/>
        </w:rPr>
        <w:t>April 30, 2018</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1" w:name="page122"/>
    <w:bookmarkEnd w:id="121"/>
    <w:tbl>
      <w:tblPr>
        <w:tblLayout w:type="fixed"/>
        <w:tblInd w:w="0" w:type="dxa"/>
        <w:tblCellMar>
          <w:top w:w="0" w:type="dxa"/>
          <w:left w:w="0" w:type="dxa"/>
          <w:bottom w:w="0" w:type="dxa"/>
          <w:right w:w="0" w:type="dxa"/>
        </w:tblCellMar>
      </w:tblPr>
      <w:tr>
        <w:trPr>
          <w:trHeight w:val="207"/>
        </w:trPr>
        <w:tc>
          <w:tcPr>
            <w:tcW w:w="66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6400" w:type="dxa"/>
            <w:vAlign w:val="bottom"/>
            <w:gridSpan w:val="7"/>
          </w:tcPr>
          <w:p>
            <w:pPr>
              <w:jc w:val="center"/>
              <w:ind w:right="5000"/>
              <w:spacing w:after="0"/>
              <w:rPr>
                <w:sz w:val="20"/>
                <w:szCs w:val="20"/>
                <w:color w:val="auto"/>
              </w:rPr>
            </w:pPr>
            <w:r>
              <w:rPr>
                <w:rFonts w:ascii="Arial" w:cs="Arial" w:eastAsia="Arial" w:hAnsi="Arial"/>
                <w:sz w:val="18"/>
                <w:szCs w:val="18"/>
                <w:b w:val="1"/>
                <w:bCs w:val="1"/>
                <w:color w:val="auto"/>
              </w:rPr>
              <w:t>EXHIBIT INDEX</w:t>
            </w:r>
          </w:p>
        </w:tc>
      </w:tr>
      <w:tr>
        <w:trPr>
          <w:trHeight w:val="453"/>
        </w:trPr>
        <w:tc>
          <w:tcPr>
            <w:tcW w:w="660" w:type="dxa"/>
            <w:vAlign w:val="bottom"/>
          </w:tcPr>
          <w:p>
            <w:pPr>
              <w:spacing w:after="0"/>
              <w:rPr>
                <w:sz w:val="24"/>
                <w:szCs w:val="24"/>
                <w:color w:val="auto"/>
              </w:rPr>
            </w:pPr>
          </w:p>
        </w:tc>
        <w:tc>
          <w:tcPr>
            <w:tcW w:w="600" w:type="dxa"/>
            <w:vAlign w:val="bottom"/>
          </w:tcPr>
          <w:p>
            <w:pPr>
              <w:spacing w:after="0"/>
              <w:rPr>
                <w:sz w:val="20"/>
                <w:szCs w:val="20"/>
                <w:color w:val="auto"/>
              </w:rPr>
            </w:pPr>
            <w:r>
              <w:rPr>
                <w:rFonts w:ascii="Arial" w:cs="Arial" w:eastAsia="Arial" w:hAnsi="Arial"/>
                <w:sz w:val="18"/>
                <w:szCs w:val="18"/>
                <w:b w:val="1"/>
                <w:bCs w:val="1"/>
                <w:color w:val="auto"/>
                <w:w w:val="96"/>
              </w:rPr>
              <w:t>Exhibit</w:t>
            </w: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440" w:type="dxa"/>
            <w:vAlign w:val="bottom"/>
            <w:tcBorders>
              <w:top w:val="single" w:sz="8" w:color="auto"/>
            </w:tcBorders>
          </w:tcPr>
          <w:p>
            <w:pPr>
              <w:spacing w:after="0"/>
              <w:rPr>
                <w:sz w:val="24"/>
                <w:szCs w:val="24"/>
                <w:color w:val="auto"/>
              </w:rPr>
            </w:pPr>
          </w:p>
        </w:tc>
        <w:tc>
          <w:tcPr>
            <w:tcW w:w="960" w:type="dxa"/>
            <w:vAlign w:val="bottom"/>
            <w:tcBorders>
              <w:top w:val="single" w:sz="8" w:color="auto"/>
            </w:tcBorders>
          </w:tcPr>
          <w:p>
            <w:pPr>
              <w:spacing w:after="0"/>
              <w:rPr>
                <w:sz w:val="24"/>
                <w:szCs w:val="24"/>
                <w:color w:val="auto"/>
              </w:rPr>
            </w:pPr>
          </w:p>
        </w:tc>
        <w:tc>
          <w:tcPr>
            <w:tcW w:w="30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40" w:type="dxa"/>
            <w:vAlign w:val="bottom"/>
          </w:tcPr>
          <w:p>
            <w:pPr>
              <w:spacing w:after="0"/>
              <w:rPr>
                <w:sz w:val="24"/>
                <w:szCs w:val="24"/>
                <w:color w:val="auto"/>
              </w:rPr>
            </w:pPr>
          </w:p>
        </w:tc>
      </w:tr>
      <w:tr>
        <w:trPr>
          <w:trHeight w:val="392"/>
        </w:trPr>
        <w:tc>
          <w:tcPr>
            <w:tcW w:w="660" w:type="dxa"/>
            <w:vAlign w:val="bottom"/>
          </w:tcPr>
          <w:p>
            <w:pPr>
              <w:spacing w:after="0"/>
              <w:rPr>
                <w:sz w:val="24"/>
                <w:szCs w:val="24"/>
                <w:color w:val="auto"/>
              </w:rPr>
            </w:pPr>
          </w:p>
        </w:tc>
        <w:tc>
          <w:tcPr>
            <w:tcW w:w="600" w:type="dxa"/>
            <w:vAlign w:val="bottom"/>
            <w:tcBorders>
              <w:bottom w:val="single" w:sz="8" w:color="0000EE"/>
            </w:tcBorders>
          </w:tcPr>
          <w:p>
            <w:pPr>
              <w:spacing w:after="0"/>
              <w:rPr>
                <w:rFonts w:ascii="Arial" w:cs="Arial" w:eastAsia="Arial" w:hAnsi="Arial"/>
                <w:sz w:val="18"/>
                <w:szCs w:val="18"/>
                <w:color w:val="0000EE"/>
              </w:rPr>
            </w:pPr>
            <w:hyperlink r:id="rId152">
              <w:r>
                <w:rPr>
                  <w:rFonts w:ascii="Arial" w:cs="Arial" w:eastAsia="Arial" w:hAnsi="Arial"/>
                  <w:sz w:val="18"/>
                  <w:szCs w:val="18"/>
                  <w:color w:val="0000EE"/>
                </w:rPr>
                <w:t>Exhibit</w:t>
              </w:r>
            </w:hyperlink>
          </w:p>
        </w:tc>
        <w:tc>
          <w:tcPr>
            <w:tcW w:w="280" w:type="dxa"/>
            <w:vAlign w:val="bottom"/>
            <w:tcBorders>
              <w:bottom w:val="single" w:sz="8" w:color="0000EE"/>
            </w:tcBorders>
          </w:tcPr>
          <w:p>
            <w:pPr>
              <w:jc w:val="right"/>
              <w:spacing w:after="0"/>
              <w:rPr>
                <w:rFonts w:ascii="Arial" w:cs="Arial" w:eastAsia="Arial" w:hAnsi="Arial"/>
                <w:sz w:val="18"/>
                <w:szCs w:val="18"/>
                <w:color w:val="0000EE"/>
                <w:w w:val="86"/>
              </w:rPr>
            </w:pPr>
            <w:hyperlink r:id="rId152">
              <w:r>
                <w:rPr>
                  <w:rFonts w:ascii="Arial" w:cs="Arial" w:eastAsia="Arial" w:hAnsi="Arial"/>
                  <w:sz w:val="18"/>
                  <w:szCs w:val="18"/>
                  <w:color w:val="0000EE"/>
                  <w:w w:val="86"/>
                </w:rPr>
                <w:t>1.1.</w:t>
              </w:r>
            </w:hyperlink>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3500" w:type="dxa"/>
            <w:vAlign w:val="bottom"/>
            <w:tcBorders>
              <w:bottom w:val="single" w:sz="8" w:color="0000EE"/>
            </w:tcBorders>
            <w:gridSpan w:val="7"/>
          </w:tcPr>
          <w:p>
            <w:pPr>
              <w:spacing w:after="0"/>
              <w:rPr>
                <w:rFonts w:ascii="Arial" w:cs="Arial" w:eastAsia="Arial" w:hAnsi="Arial"/>
                <w:sz w:val="18"/>
                <w:szCs w:val="18"/>
                <w:color w:val="0000EE"/>
                <w:w w:val="90"/>
              </w:rPr>
            </w:pPr>
            <w:hyperlink r:id="rId152">
              <w:r>
                <w:rPr>
                  <w:rFonts w:ascii="Arial" w:cs="Arial" w:eastAsia="Arial" w:hAnsi="Arial"/>
                  <w:sz w:val="18"/>
                  <w:szCs w:val="18"/>
                  <w:color w:val="0000EE"/>
                  <w:w w:val="90"/>
                </w:rPr>
                <w:t>Amended and Restated Articles of Incorporation</w:t>
              </w:r>
            </w:hyperlink>
          </w:p>
        </w:tc>
        <w:tc>
          <w:tcPr>
            <w:tcW w:w="5960" w:type="dxa"/>
            <w:vAlign w:val="bottom"/>
            <w:gridSpan w:val="6"/>
          </w:tcPr>
          <w:p>
            <w:pPr>
              <w:spacing w:after="0"/>
              <w:rPr>
                <w:sz w:val="24"/>
                <w:szCs w:val="24"/>
                <w:color w:val="auto"/>
              </w:rPr>
            </w:pPr>
          </w:p>
        </w:tc>
      </w:tr>
      <w:tr>
        <w:trPr>
          <w:trHeight w:val="412"/>
        </w:trPr>
        <w:tc>
          <w:tcPr>
            <w:tcW w:w="660" w:type="dxa"/>
            <w:vAlign w:val="bottom"/>
          </w:tcPr>
          <w:p>
            <w:pPr>
              <w:spacing w:after="0"/>
              <w:rPr>
                <w:sz w:val="24"/>
                <w:szCs w:val="24"/>
                <w:color w:val="auto"/>
              </w:rPr>
            </w:pPr>
          </w:p>
        </w:tc>
        <w:tc>
          <w:tcPr>
            <w:tcW w:w="600" w:type="dxa"/>
            <w:vAlign w:val="bottom"/>
            <w:tcBorders>
              <w:bottom w:val="single" w:sz="8" w:color="0000EE"/>
            </w:tcBorders>
          </w:tcPr>
          <w:p>
            <w:pPr>
              <w:spacing w:after="0"/>
              <w:rPr>
                <w:rFonts w:ascii="Arial" w:cs="Arial" w:eastAsia="Arial" w:hAnsi="Arial"/>
                <w:sz w:val="18"/>
                <w:szCs w:val="18"/>
                <w:color w:val="0000EE"/>
              </w:rPr>
            </w:pPr>
            <w:hyperlink r:id="rId153">
              <w:r>
                <w:rPr>
                  <w:rFonts w:ascii="Arial" w:cs="Arial" w:eastAsia="Arial" w:hAnsi="Arial"/>
                  <w:sz w:val="18"/>
                  <w:szCs w:val="18"/>
                  <w:color w:val="0000EE"/>
                </w:rPr>
                <w:t>Exhibit</w:t>
              </w:r>
            </w:hyperlink>
          </w:p>
        </w:tc>
        <w:tc>
          <w:tcPr>
            <w:tcW w:w="280" w:type="dxa"/>
            <w:vAlign w:val="bottom"/>
            <w:tcBorders>
              <w:bottom w:val="single" w:sz="8" w:color="0000EE"/>
            </w:tcBorders>
          </w:tcPr>
          <w:p>
            <w:pPr>
              <w:jc w:val="right"/>
              <w:spacing w:after="0"/>
              <w:rPr>
                <w:rFonts w:ascii="Arial" w:cs="Arial" w:eastAsia="Arial" w:hAnsi="Arial"/>
                <w:sz w:val="18"/>
                <w:szCs w:val="18"/>
                <w:color w:val="0000EE"/>
                <w:w w:val="86"/>
              </w:rPr>
            </w:pPr>
            <w:hyperlink r:id="rId153">
              <w:r>
                <w:rPr>
                  <w:rFonts w:ascii="Arial" w:cs="Arial" w:eastAsia="Arial" w:hAnsi="Arial"/>
                  <w:sz w:val="18"/>
                  <w:szCs w:val="18"/>
                  <w:color w:val="0000EE"/>
                  <w:w w:val="86"/>
                </w:rPr>
                <w:t>1.2.</w:t>
              </w:r>
            </w:hyperlink>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660" w:type="dxa"/>
            <w:vAlign w:val="bottom"/>
            <w:tcBorders>
              <w:bottom w:val="single" w:sz="8" w:color="0000EE"/>
            </w:tcBorders>
          </w:tcPr>
          <w:p>
            <w:pPr>
              <w:spacing w:after="0"/>
              <w:rPr>
                <w:rFonts w:ascii="Arial" w:cs="Arial" w:eastAsia="Arial" w:hAnsi="Arial"/>
                <w:sz w:val="18"/>
                <w:szCs w:val="18"/>
                <w:color w:val="0000EE"/>
                <w:w w:val="92"/>
              </w:rPr>
            </w:pPr>
            <w:hyperlink r:id="rId153">
              <w:r>
                <w:rPr>
                  <w:rFonts w:ascii="Arial" w:cs="Arial" w:eastAsia="Arial" w:hAnsi="Arial"/>
                  <w:sz w:val="18"/>
                  <w:szCs w:val="18"/>
                  <w:color w:val="0000EE"/>
                  <w:w w:val="92"/>
                </w:rPr>
                <w:t>By-Laws</w:t>
              </w:r>
            </w:hyperlink>
          </w:p>
        </w:tc>
        <w:tc>
          <w:tcPr>
            <w:tcW w:w="8800" w:type="dxa"/>
            <w:vAlign w:val="bottom"/>
            <w:gridSpan w:val="12"/>
          </w:tcPr>
          <w:p>
            <w:pPr>
              <w:spacing w:after="0"/>
              <w:rPr>
                <w:sz w:val="24"/>
                <w:szCs w:val="24"/>
                <w:color w:val="auto"/>
              </w:rPr>
            </w:pPr>
          </w:p>
        </w:tc>
      </w:tr>
      <w:tr>
        <w:trPr>
          <w:trHeight w:val="412"/>
        </w:trPr>
        <w:tc>
          <w:tcPr>
            <w:tcW w:w="660" w:type="dxa"/>
            <w:vAlign w:val="bottom"/>
          </w:tcPr>
          <w:p>
            <w:pPr>
              <w:spacing w:after="0"/>
              <w:rPr>
                <w:sz w:val="24"/>
                <w:szCs w:val="24"/>
                <w:color w:val="auto"/>
              </w:rPr>
            </w:pPr>
          </w:p>
        </w:tc>
        <w:tc>
          <w:tcPr>
            <w:tcW w:w="600" w:type="dxa"/>
            <w:vAlign w:val="bottom"/>
            <w:tcBorders>
              <w:bottom w:val="single" w:sz="8" w:color="0000EE"/>
            </w:tcBorders>
          </w:tcPr>
          <w:p>
            <w:pPr>
              <w:spacing w:after="0"/>
              <w:rPr>
                <w:rFonts w:ascii="Arial" w:cs="Arial" w:eastAsia="Arial" w:hAnsi="Arial"/>
                <w:sz w:val="18"/>
                <w:szCs w:val="18"/>
                <w:color w:val="0000EE"/>
              </w:rPr>
            </w:pPr>
            <w:hyperlink w:anchor="page225">
              <w:r>
                <w:rPr>
                  <w:rFonts w:ascii="Arial" w:cs="Arial" w:eastAsia="Arial" w:hAnsi="Arial"/>
                  <w:sz w:val="18"/>
                  <w:szCs w:val="18"/>
                  <w:color w:val="0000EE"/>
                </w:rPr>
                <w:t>Exhibit</w:t>
              </w:r>
            </w:hyperlink>
          </w:p>
        </w:tc>
        <w:tc>
          <w:tcPr>
            <w:tcW w:w="280" w:type="dxa"/>
            <w:vAlign w:val="bottom"/>
            <w:tcBorders>
              <w:bottom w:val="single" w:sz="8" w:color="0000EE"/>
            </w:tcBorders>
          </w:tcPr>
          <w:p>
            <w:pPr>
              <w:jc w:val="right"/>
              <w:spacing w:after="0"/>
              <w:rPr>
                <w:rFonts w:ascii="Arial" w:cs="Arial" w:eastAsia="Arial" w:hAnsi="Arial"/>
                <w:sz w:val="18"/>
                <w:szCs w:val="18"/>
                <w:color w:val="0000EE"/>
                <w:w w:val="86"/>
              </w:rPr>
            </w:pPr>
            <w:hyperlink w:anchor="page225">
              <w:r>
                <w:rPr>
                  <w:rFonts w:ascii="Arial" w:cs="Arial" w:eastAsia="Arial" w:hAnsi="Arial"/>
                  <w:sz w:val="18"/>
                  <w:szCs w:val="18"/>
                  <w:color w:val="0000EE"/>
                  <w:w w:val="86"/>
                </w:rPr>
                <w:t>8.1.</w:t>
              </w:r>
            </w:hyperlink>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400" w:type="dxa"/>
            <w:vAlign w:val="bottom"/>
            <w:tcBorders>
              <w:bottom w:val="single" w:sz="8" w:color="0000EE"/>
            </w:tcBorders>
            <w:gridSpan w:val="3"/>
          </w:tcPr>
          <w:p>
            <w:pPr>
              <w:spacing w:after="0"/>
              <w:rPr>
                <w:rFonts w:ascii="Arial" w:cs="Arial" w:eastAsia="Arial" w:hAnsi="Arial"/>
                <w:sz w:val="18"/>
                <w:szCs w:val="18"/>
                <w:color w:val="0000EE"/>
                <w:w w:val="91"/>
              </w:rPr>
            </w:pPr>
            <w:hyperlink w:anchor="page225">
              <w:r>
                <w:rPr>
                  <w:rFonts w:ascii="Arial" w:cs="Arial" w:eastAsia="Arial" w:hAnsi="Arial"/>
                  <w:sz w:val="18"/>
                  <w:szCs w:val="18"/>
                  <w:color w:val="0000EE"/>
                  <w:w w:val="91"/>
                </w:rPr>
                <w:t>List of Subsidiaries</w:t>
              </w:r>
            </w:hyperlink>
          </w:p>
        </w:tc>
        <w:tc>
          <w:tcPr>
            <w:tcW w:w="8060" w:type="dxa"/>
            <w:vAlign w:val="bottom"/>
            <w:gridSpan w:val="10"/>
          </w:tcPr>
          <w:p>
            <w:pPr>
              <w:spacing w:after="0"/>
              <w:rPr>
                <w:sz w:val="24"/>
                <w:szCs w:val="24"/>
                <w:color w:val="auto"/>
              </w:rPr>
            </w:pPr>
          </w:p>
        </w:tc>
      </w:tr>
      <w:tr>
        <w:trPr>
          <w:trHeight w:val="412"/>
        </w:trPr>
        <w:tc>
          <w:tcPr>
            <w:tcW w:w="660" w:type="dxa"/>
            <w:vAlign w:val="bottom"/>
          </w:tcPr>
          <w:p>
            <w:pPr>
              <w:spacing w:after="0"/>
              <w:rPr>
                <w:sz w:val="24"/>
                <w:szCs w:val="24"/>
                <w:color w:val="auto"/>
              </w:rPr>
            </w:pPr>
          </w:p>
        </w:tc>
        <w:tc>
          <w:tcPr>
            <w:tcW w:w="1300" w:type="dxa"/>
            <w:vAlign w:val="bottom"/>
            <w:gridSpan w:val="5"/>
          </w:tcPr>
          <w:p>
            <w:pPr>
              <w:spacing w:after="0"/>
              <w:rPr>
                <w:rFonts w:ascii="Arial" w:cs="Arial" w:eastAsia="Arial" w:hAnsi="Arial"/>
                <w:sz w:val="18"/>
                <w:szCs w:val="18"/>
                <w:color w:val="0000EE"/>
              </w:rPr>
            </w:pPr>
            <w:hyperlink w:anchor="page226">
              <w:r>
                <w:rPr>
                  <w:rFonts w:ascii="Arial" w:cs="Arial" w:eastAsia="Arial" w:hAnsi="Arial"/>
                  <w:sz w:val="18"/>
                  <w:szCs w:val="18"/>
                  <w:color w:val="0000EE"/>
                </w:rPr>
                <w:t>Exhibit 11.1.</w:t>
              </w:r>
            </w:hyperlink>
          </w:p>
        </w:tc>
        <w:tc>
          <w:tcPr>
            <w:tcW w:w="9460" w:type="dxa"/>
            <w:vAlign w:val="bottom"/>
            <w:gridSpan w:val="13"/>
          </w:tcPr>
          <w:p>
            <w:pPr>
              <w:spacing w:after="0"/>
              <w:rPr>
                <w:rFonts w:ascii="Arial" w:cs="Arial" w:eastAsia="Arial" w:hAnsi="Arial"/>
                <w:sz w:val="18"/>
                <w:szCs w:val="18"/>
                <w:color w:val="0000EE"/>
              </w:rPr>
            </w:pPr>
            <w:hyperlink w:anchor="page226">
              <w:r>
                <w:rPr>
                  <w:rFonts w:ascii="Arial" w:cs="Arial" w:eastAsia="Arial" w:hAnsi="Arial"/>
                  <w:sz w:val="18"/>
                  <w:szCs w:val="18"/>
                  <w:color w:val="0000EE"/>
                </w:rPr>
                <w:t>Code of Ethics</w:t>
              </w:r>
            </w:hyperlink>
          </w:p>
        </w:tc>
      </w:tr>
      <w:tr>
        <w:trPr>
          <w:trHeight w:val="20"/>
        </w:trPr>
        <w:tc>
          <w:tcPr>
            <w:tcW w:w="660" w:type="dxa"/>
            <w:vAlign w:val="bottom"/>
          </w:tcPr>
          <w:p>
            <w:pPr>
              <w:spacing w:after="0" w:line="20" w:lineRule="exact"/>
              <w:rPr>
                <w:sz w:val="1"/>
                <w:szCs w:val="1"/>
                <w:color w:val="auto"/>
              </w:rPr>
            </w:pPr>
          </w:p>
        </w:tc>
        <w:tc>
          <w:tcPr>
            <w:tcW w:w="920" w:type="dxa"/>
            <w:vAlign w:val="bottom"/>
            <w:gridSpan w:val="3"/>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60" w:type="dxa"/>
            <w:vAlign w:val="bottom"/>
            <w:gridSpan w:val="2"/>
            <w:shd w:val="clear" w:color="auto" w:fill="0000EE"/>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300" w:type="dxa"/>
            <w:vAlign w:val="bottom"/>
            <w:gridSpan w:val="4"/>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940" w:type="dxa"/>
            <w:vAlign w:val="bottom"/>
            <w:gridSpan w:val="4"/>
          </w:tcPr>
          <w:p>
            <w:pPr>
              <w:spacing w:after="0"/>
              <w:rPr>
                <w:rFonts w:ascii="Arial" w:cs="Arial" w:eastAsia="Arial" w:hAnsi="Arial"/>
                <w:sz w:val="18"/>
                <w:szCs w:val="18"/>
                <w:color w:val="0000EE"/>
                <w:w w:val="92"/>
              </w:rPr>
            </w:pPr>
            <w:hyperlink w:anchor="page246">
              <w:r>
                <w:rPr>
                  <w:rFonts w:ascii="Arial" w:cs="Arial" w:eastAsia="Arial" w:hAnsi="Arial"/>
                  <w:sz w:val="18"/>
                  <w:szCs w:val="18"/>
                  <w:color w:val="0000EE"/>
                  <w:w w:val="92"/>
                </w:rPr>
                <w:t>Exhibit 12.1.</w:t>
              </w:r>
            </w:hyperlink>
          </w:p>
        </w:tc>
        <w:tc>
          <w:tcPr>
            <w:tcW w:w="360" w:type="dxa"/>
            <w:vAlign w:val="bottom"/>
          </w:tcPr>
          <w:p>
            <w:pPr>
              <w:spacing w:after="0"/>
              <w:rPr>
                <w:sz w:val="24"/>
                <w:szCs w:val="24"/>
                <w:color w:val="auto"/>
              </w:rPr>
            </w:pPr>
          </w:p>
        </w:tc>
        <w:tc>
          <w:tcPr>
            <w:tcW w:w="9460" w:type="dxa"/>
            <w:vAlign w:val="bottom"/>
            <w:gridSpan w:val="13"/>
          </w:tcPr>
          <w:p>
            <w:pPr>
              <w:spacing w:after="0"/>
              <w:rPr>
                <w:rFonts w:ascii="Arial" w:cs="Arial" w:eastAsia="Arial" w:hAnsi="Arial"/>
                <w:sz w:val="18"/>
                <w:szCs w:val="18"/>
                <w:color w:val="0000EE"/>
              </w:rPr>
            </w:pPr>
            <w:hyperlink w:anchor="page246">
              <w:r>
                <w:rPr>
                  <w:rFonts w:ascii="Arial" w:cs="Arial" w:eastAsia="Arial" w:hAnsi="Arial"/>
                  <w:sz w:val="18"/>
                  <w:szCs w:val="18"/>
                  <w:color w:val="0000EE"/>
                </w:rPr>
                <w:t>Certification of Principal Executive Officer pursuant to Exchange Act Rules 13a – 14(a) and 15d – 14(a)</w:t>
              </w:r>
            </w:hyperlink>
          </w:p>
        </w:tc>
      </w:tr>
      <w:tr>
        <w:trPr>
          <w:trHeight w:val="412"/>
        </w:trPr>
        <w:tc>
          <w:tcPr>
            <w:tcW w:w="660" w:type="dxa"/>
            <w:vAlign w:val="bottom"/>
          </w:tcPr>
          <w:p>
            <w:pPr>
              <w:spacing w:after="0"/>
              <w:rPr>
                <w:sz w:val="24"/>
                <w:szCs w:val="24"/>
                <w:color w:val="auto"/>
              </w:rPr>
            </w:pPr>
          </w:p>
        </w:tc>
        <w:tc>
          <w:tcPr>
            <w:tcW w:w="940" w:type="dxa"/>
            <w:vAlign w:val="bottom"/>
            <w:tcBorders>
              <w:top w:val="single" w:sz="8" w:color="0000EE"/>
              <w:bottom w:val="single" w:sz="8" w:color="0000EE"/>
            </w:tcBorders>
            <w:gridSpan w:val="4"/>
          </w:tcPr>
          <w:p>
            <w:pPr>
              <w:spacing w:after="0"/>
              <w:rPr>
                <w:rFonts w:ascii="Arial" w:cs="Arial" w:eastAsia="Arial" w:hAnsi="Arial"/>
                <w:sz w:val="18"/>
                <w:szCs w:val="18"/>
                <w:color w:val="0000EE"/>
                <w:w w:val="92"/>
              </w:rPr>
            </w:pPr>
            <w:hyperlink w:anchor="page247">
              <w:r>
                <w:rPr>
                  <w:rFonts w:ascii="Arial" w:cs="Arial" w:eastAsia="Arial" w:hAnsi="Arial"/>
                  <w:sz w:val="18"/>
                  <w:szCs w:val="18"/>
                  <w:color w:val="0000EE"/>
                  <w:w w:val="92"/>
                </w:rPr>
                <w:t>Exhibit 12.2.</w:t>
              </w:r>
            </w:hyperlink>
          </w:p>
        </w:tc>
        <w:tc>
          <w:tcPr>
            <w:tcW w:w="360" w:type="dxa"/>
            <w:vAlign w:val="bottom"/>
          </w:tcPr>
          <w:p>
            <w:pPr>
              <w:spacing w:after="0"/>
              <w:rPr>
                <w:sz w:val="24"/>
                <w:szCs w:val="24"/>
                <w:color w:val="auto"/>
              </w:rPr>
            </w:pPr>
          </w:p>
        </w:tc>
        <w:tc>
          <w:tcPr>
            <w:tcW w:w="7480" w:type="dxa"/>
            <w:vAlign w:val="bottom"/>
            <w:tcBorders>
              <w:top w:val="single" w:sz="8" w:color="0000EE"/>
              <w:bottom w:val="single" w:sz="8" w:color="0000EE"/>
            </w:tcBorders>
            <w:gridSpan w:val="9"/>
          </w:tcPr>
          <w:p>
            <w:pPr>
              <w:spacing w:after="0"/>
              <w:rPr>
                <w:rFonts w:ascii="Arial" w:cs="Arial" w:eastAsia="Arial" w:hAnsi="Arial"/>
                <w:sz w:val="18"/>
                <w:szCs w:val="18"/>
                <w:color w:val="0000EE"/>
                <w:w w:val="91"/>
              </w:rPr>
            </w:pPr>
            <w:hyperlink w:anchor="page247">
              <w:r>
                <w:rPr>
                  <w:rFonts w:ascii="Arial" w:cs="Arial" w:eastAsia="Arial" w:hAnsi="Arial"/>
                  <w:sz w:val="18"/>
                  <w:szCs w:val="18"/>
                  <w:color w:val="0000EE"/>
                  <w:w w:val="91"/>
                </w:rPr>
                <w:t>Certification of Principal Financial Officer pursuant to Exchange Act Rules 13a – 14(a) and 15d – 14(a)</w:t>
              </w:r>
            </w:hyperlink>
          </w:p>
        </w:tc>
        <w:tc>
          <w:tcPr>
            <w:tcW w:w="40" w:type="dxa"/>
            <w:vAlign w:val="bottom"/>
            <w:tcBorders>
              <w:top w:val="single" w:sz="8" w:color="0000EE"/>
            </w:tcBorders>
          </w:tcPr>
          <w:p>
            <w:pPr>
              <w:spacing w:after="0"/>
              <w:rPr>
                <w:sz w:val="24"/>
                <w:szCs w:val="24"/>
                <w:color w:val="auto"/>
              </w:rPr>
            </w:pPr>
          </w:p>
        </w:tc>
        <w:tc>
          <w:tcPr>
            <w:tcW w:w="1940" w:type="dxa"/>
            <w:vAlign w:val="bottom"/>
            <w:gridSpan w:val="3"/>
          </w:tcPr>
          <w:p>
            <w:pPr>
              <w:spacing w:after="0"/>
              <w:rPr>
                <w:sz w:val="24"/>
                <w:szCs w:val="24"/>
                <w:color w:val="auto"/>
              </w:rPr>
            </w:pPr>
          </w:p>
        </w:tc>
      </w:tr>
      <w:tr>
        <w:trPr>
          <w:trHeight w:val="412"/>
        </w:trPr>
        <w:tc>
          <w:tcPr>
            <w:tcW w:w="660" w:type="dxa"/>
            <w:vAlign w:val="bottom"/>
          </w:tcPr>
          <w:p>
            <w:pPr>
              <w:spacing w:after="0"/>
              <w:rPr>
                <w:sz w:val="24"/>
                <w:szCs w:val="24"/>
                <w:color w:val="auto"/>
              </w:rPr>
            </w:pPr>
          </w:p>
        </w:tc>
        <w:tc>
          <w:tcPr>
            <w:tcW w:w="940" w:type="dxa"/>
            <w:vAlign w:val="bottom"/>
            <w:tcBorders>
              <w:bottom w:val="single" w:sz="8" w:color="0000EE"/>
            </w:tcBorders>
            <w:gridSpan w:val="4"/>
          </w:tcPr>
          <w:p>
            <w:pPr>
              <w:spacing w:after="0"/>
              <w:rPr>
                <w:rFonts w:ascii="Arial" w:cs="Arial" w:eastAsia="Arial" w:hAnsi="Arial"/>
                <w:sz w:val="18"/>
                <w:szCs w:val="18"/>
                <w:color w:val="0000EE"/>
                <w:w w:val="92"/>
              </w:rPr>
            </w:pPr>
            <w:hyperlink w:anchor="page248">
              <w:r>
                <w:rPr>
                  <w:rFonts w:ascii="Arial" w:cs="Arial" w:eastAsia="Arial" w:hAnsi="Arial"/>
                  <w:sz w:val="18"/>
                  <w:szCs w:val="18"/>
                  <w:color w:val="0000EE"/>
                  <w:w w:val="92"/>
                </w:rPr>
                <w:t>Exhibit 13.1.</w:t>
              </w:r>
            </w:hyperlink>
          </w:p>
        </w:tc>
        <w:tc>
          <w:tcPr>
            <w:tcW w:w="360" w:type="dxa"/>
            <w:vAlign w:val="bottom"/>
          </w:tcPr>
          <w:p>
            <w:pPr>
              <w:spacing w:after="0"/>
              <w:rPr>
                <w:sz w:val="24"/>
                <w:szCs w:val="24"/>
                <w:color w:val="auto"/>
              </w:rPr>
            </w:pPr>
          </w:p>
        </w:tc>
        <w:tc>
          <w:tcPr>
            <w:tcW w:w="8780" w:type="dxa"/>
            <w:vAlign w:val="bottom"/>
            <w:tcBorders>
              <w:bottom w:val="single" w:sz="8" w:color="0000EE"/>
            </w:tcBorders>
            <w:gridSpan w:val="11"/>
          </w:tcPr>
          <w:p>
            <w:pPr>
              <w:spacing w:after="0"/>
              <w:rPr>
                <w:rFonts w:ascii="Arial" w:cs="Arial" w:eastAsia="Arial" w:hAnsi="Arial"/>
                <w:sz w:val="18"/>
                <w:szCs w:val="18"/>
                <w:color w:val="0000EE"/>
                <w:w w:val="91"/>
              </w:rPr>
            </w:pPr>
            <w:hyperlink w:anchor="page248">
              <w:r>
                <w:rPr>
                  <w:rFonts w:ascii="Arial" w:cs="Arial" w:eastAsia="Arial" w:hAnsi="Arial"/>
                  <w:sz w:val="18"/>
                  <w:szCs w:val="18"/>
                  <w:color w:val="0000EE"/>
                  <w:w w:val="91"/>
                </w:rPr>
                <w:t>Certification of Principal Executive Officer pursuant to 18 U.S.C. Section 1350, as adopted pursuant to Section 906 of the</w:t>
              </w:r>
            </w:hyperlink>
          </w:p>
        </w:tc>
        <w:tc>
          <w:tcPr>
            <w:tcW w:w="680" w:type="dxa"/>
            <w:vAlign w:val="bottom"/>
            <w:gridSpan w:val="2"/>
          </w:tcPr>
          <w:p>
            <w:pPr>
              <w:spacing w:after="0"/>
              <w:rPr>
                <w:sz w:val="24"/>
                <w:szCs w:val="24"/>
                <w:color w:val="auto"/>
              </w:rPr>
            </w:pPr>
          </w:p>
        </w:tc>
      </w:tr>
      <w:tr>
        <w:trPr>
          <w:trHeight w:val="196"/>
        </w:trPr>
        <w:tc>
          <w:tcPr>
            <w:tcW w:w="66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2040" w:type="dxa"/>
            <w:vAlign w:val="bottom"/>
            <w:tcBorders>
              <w:bottom w:val="single" w:sz="8" w:color="0000EE"/>
            </w:tcBorders>
            <w:gridSpan w:val="4"/>
          </w:tcPr>
          <w:p>
            <w:pPr>
              <w:spacing w:after="0" w:line="196" w:lineRule="exact"/>
              <w:rPr>
                <w:rFonts w:ascii="Arial" w:cs="Arial" w:eastAsia="Arial" w:hAnsi="Arial"/>
                <w:sz w:val="18"/>
                <w:szCs w:val="18"/>
                <w:color w:val="0000EE"/>
                <w:w w:val="90"/>
              </w:rPr>
            </w:pPr>
            <w:hyperlink w:anchor="page248">
              <w:r>
                <w:rPr>
                  <w:rFonts w:ascii="Arial" w:cs="Arial" w:eastAsia="Arial" w:hAnsi="Arial"/>
                  <w:sz w:val="18"/>
                  <w:szCs w:val="18"/>
                  <w:color w:val="0000EE"/>
                  <w:w w:val="90"/>
                </w:rPr>
                <w:t>Sarbanes Oxley Act of 2002</w:t>
              </w:r>
            </w:hyperlink>
          </w:p>
        </w:tc>
        <w:tc>
          <w:tcPr>
            <w:tcW w:w="7420" w:type="dxa"/>
            <w:vAlign w:val="bottom"/>
            <w:gridSpan w:val="9"/>
          </w:tcPr>
          <w:p>
            <w:pPr>
              <w:spacing w:after="0"/>
              <w:rPr>
                <w:sz w:val="17"/>
                <w:szCs w:val="17"/>
                <w:color w:val="auto"/>
              </w:rPr>
            </w:pPr>
          </w:p>
        </w:tc>
      </w:tr>
      <w:tr>
        <w:trPr>
          <w:trHeight w:val="412"/>
        </w:trPr>
        <w:tc>
          <w:tcPr>
            <w:tcW w:w="660" w:type="dxa"/>
            <w:vAlign w:val="bottom"/>
          </w:tcPr>
          <w:p>
            <w:pPr>
              <w:spacing w:after="0"/>
              <w:rPr>
                <w:sz w:val="24"/>
                <w:szCs w:val="24"/>
                <w:color w:val="auto"/>
              </w:rPr>
            </w:pPr>
          </w:p>
        </w:tc>
        <w:tc>
          <w:tcPr>
            <w:tcW w:w="940" w:type="dxa"/>
            <w:vAlign w:val="bottom"/>
            <w:tcBorders>
              <w:bottom w:val="single" w:sz="8" w:color="0000EE"/>
            </w:tcBorders>
            <w:gridSpan w:val="4"/>
          </w:tcPr>
          <w:p>
            <w:pPr>
              <w:spacing w:after="0"/>
              <w:rPr>
                <w:rFonts w:ascii="Arial" w:cs="Arial" w:eastAsia="Arial" w:hAnsi="Arial"/>
                <w:sz w:val="18"/>
                <w:szCs w:val="18"/>
                <w:color w:val="0000EE"/>
                <w:w w:val="92"/>
              </w:rPr>
            </w:pPr>
            <w:hyperlink w:anchor="page249">
              <w:r>
                <w:rPr>
                  <w:rFonts w:ascii="Arial" w:cs="Arial" w:eastAsia="Arial" w:hAnsi="Arial"/>
                  <w:sz w:val="18"/>
                  <w:szCs w:val="18"/>
                  <w:color w:val="0000EE"/>
                  <w:w w:val="92"/>
                </w:rPr>
                <w:t>Exhibit 13.2.</w:t>
              </w:r>
            </w:hyperlink>
          </w:p>
        </w:tc>
        <w:tc>
          <w:tcPr>
            <w:tcW w:w="360" w:type="dxa"/>
            <w:vAlign w:val="bottom"/>
          </w:tcPr>
          <w:p>
            <w:pPr>
              <w:spacing w:after="0"/>
              <w:rPr>
                <w:sz w:val="24"/>
                <w:szCs w:val="24"/>
                <w:color w:val="auto"/>
              </w:rPr>
            </w:pPr>
          </w:p>
        </w:tc>
        <w:tc>
          <w:tcPr>
            <w:tcW w:w="9420" w:type="dxa"/>
            <w:vAlign w:val="bottom"/>
            <w:tcBorders>
              <w:bottom w:val="single" w:sz="8" w:color="0000EE"/>
            </w:tcBorders>
            <w:gridSpan w:val="12"/>
          </w:tcPr>
          <w:p>
            <w:pPr>
              <w:spacing w:after="0"/>
              <w:rPr>
                <w:rFonts w:ascii="Arial" w:cs="Arial" w:eastAsia="Arial" w:hAnsi="Arial"/>
                <w:sz w:val="18"/>
                <w:szCs w:val="18"/>
                <w:color w:val="0000EE"/>
                <w:w w:val="98"/>
              </w:rPr>
            </w:pPr>
            <w:hyperlink w:anchor="page249">
              <w:r>
                <w:rPr>
                  <w:rFonts w:ascii="Arial" w:cs="Arial" w:eastAsia="Arial" w:hAnsi="Arial"/>
                  <w:sz w:val="18"/>
                  <w:szCs w:val="18"/>
                  <w:color w:val="0000EE"/>
                  <w:w w:val="98"/>
                </w:rPr>
                <w:t>Certification of Principal Financial Officer pursuant to 18 U.S.C. Section 1350, as adopted pursuant to Section 906 of the</w:t>
              </w:r>
            </w:hyperlink>
          </w:p>
        </w:tc>
        <w:tc>
          <w:tcPr>
            <w:tcW w:w="40" w:type="dxa"/>
            <w:vAlign w:val="bottom"/>
          </w:tcPr>
          <w:p>
            <w:pPr>
              <w:spacing w:after="0"/>
              <w:rPr>
                <w:sz w:val="24"/>
                <w:szCs w:val="24"/>
                <w:color w:val="auto"/>
              </w:rPr>
            </w:pPr>
          </w:p>
        </w:tc>
      </w:tr>
      <w:tr>
        <w:trPr>
          <w:trHeight w:val="196"/>
        </w:trPr>
        <w:tc>
          <w:tcPr>
            <w:tcW w:w="66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2040" w:type="dxa"/>
            <w:vAlign w:val="bottom"/>
            <w:tcBorders>
              <w:bottom w:val="single" w:sz="8" w:color="0000EE"/>
            </w:tcBorders>
            <w:gridSpan w:val="4"/>
          </w:tcPr>
          <w:p>
            <w:pPr>
              <w:spacing w:after="0" w:line="196" w:lineRule="exact"/>
              <w:rPr>
                <w:rFonts w:ascii="Arial" w:cs="Arial" w:eastAsia="Arial" w:hAnsi="Arial"/>
                <w:sz w:val="18"/>
                <w:szCs w:val="18"/>
                <w:color w:val="0000EE"/>
                <w:w w:val="90"/>
              </w:rPr>
            </w:pPr>
            <w:hyperlink w:anchor="page249">
              <w:r>
                <w:rPr>
                  <w:rFonts w:ascii="Arial" w:cs="Arial" w:eastAsia="Arial" w:hAnsi="Arial"/>
                  <w:sz w:val="18"/>
                  <w:szCs w:val="18"/>
                  <w:color w:val="0000EE"/>
                  <w:w w:val="90"/>
                </w:rPr>
                <w:t>Sarbanes Oxley Act of 2002</w:t>
              </w:r>
            </w:hyperlink>
          </w:p>
        </w:tc>
        <w:tc>
          <w:tcPr>
            <w:tcW w:w="7420" w:type="dxa"/>
            <w:vAlign w:val="bottom"/>
            <w:gridSpan w:val="9"/>
          </w:tcPr>
          <w:p>
            <w:pPr>
              <w:spacing w:after="0"/>
              <w:rPr>
                <w:sz w:val="17"/>
                <w:szCs w:val="17"/>
                <w:color w:val="auto"/>
              </w:rPr>
            </w:pPr>
          </w:p>
        </w:tc>
      </w:tr>
      <w:tr>
        <w:trPr>
          <w:trHeight w:val="412"/>
        </w:trPr>
        <w:tc>
          <w:tcPr>
            <w:tcW w:w="660" w:type="dxa"/>
            <w:vAlign w:val="bottom"/>
          </w:tcPr>
          <w:p>
            <w:pPr>
              <w:spacing w:after="0"/>
              <w:rPr>
                <w:sz w:val="24"/>
                <w:szCs w:val="24"/>
                <w:color w:val="auto"/>
              </w:rPr>
            </w:pPr>
          </w:p>
        </w:tc>
        <w:tc>
          <w:tcPr>
            <w:tcW w:w="940" w:type="dxa"/>
            <w:vAlign w:val="bottom"/>
            <w:gridSpan w:val="4"/>
          </w:tcPr>
          <w:p>
            <w:pPr>
              <w:spacing w:after="0"/>
              <w:rPr>
                <w:rFonts w:ascii="Arial" w:cs="Arial" w:eastAsia="Arial" w:hAnsi="Arial"/>
                <w:sz w:val="18"/>
                <w:szCs w:val="18"/>
                <w:color w:val="0000EE"/>
                <w:w w:val="92"/>
              </w:rPr>
            </w:pPr>
            <w:hyperlink w:anchor="page250">
              <w:r>
                <w:rPr>
                  <w:rFonts w:ascii="Arial" w:cs="Arial" w:eastAsia="Arial" w:hAnsi="Arial"/>
                  <w:sz w:val="18"/>
                  <w:szCs w:val="18"/>
                  <w:color w:val="0000EE"/>
                  <w:w w:val="92"/>
                </w:rPr>
                <w:t>Exhibit 15.1.</w:t>
              </w:r>
            </w:hyperlink>
          </w:p>
        </w:tc>
        <w:tc>
          <w:tcPr>
            <w:tcW w:w="360" w:type="dxa"/>
            <w:vAlign w:val="bottom"/>
          </w:tcPr>
          <w:p>
            <w:pPr>
              <w:spacing w:after="0"/>
              <w:rPr>
                <w:sz w:val="24"/>
                <w:szCs w:val="24"/>
                <w:color w:val="auto"/>
              </w:rPr>
            </w:pPr>
          </w:p>
        </w:tc>
        <w:tc>
          <w:tcPr>
            <w:tcW w:w="9460" w:type="dxa"/>
            <w:vAlign w:val="bottom"/>
            <w:gridSpan w:val="13"/>
          </w:tcPr>
          <w:p>
            <w:pPr>
              <w:spacing w:after="0"/>
              <w:rPr>
                <w:rFonts w:ascii="Arial" w:cs="Arial" w:eastAsia="Arial" w:hAnsi="Arial"/>
                <w:sz w:val="18"/>
                <w:szCs w:val="18"/>
                <w:color w:val="0000EE"/>
              </w:rPr>
            </w:pPr>
            <w:hyperlink w:anchor="page250">
              <w:r>
                <w:rPr>
                  <w:rFonts w:ascii="Arial" w:cs="Arial" w:eastAsia="Arial" w:hAnsi="Arial"/>
                  <w:sz w:val="18"/>
                  <w:szCs w:val="18"/>
                  <w:color w:val="0000EE"/>
                </w:rPr>
                <w:t>Consent letter of Deloitte, Inc.</w:t>
              </w:r>
            </w:hyperlink>
          </w:p>
        </w:tc>
      </w:tr>
      <w:tr>
        <w:trPr>
          <w:trHeight w:val="669"/>
        </w:trPr>
        <w:tc>
          <w:tcPr>
            <w:tcW w:w="660" w:type="dxa"/>
            <w:vAlign w:val="bottom"/>
            <w:tcBorders>
              <w:bottom w:val="single" w:sz="8" w:color="auto"/>
            </w:tcBorders>
          </w:tcPr>
          <w:p>
            <w:pPr>
              <w:spacing w:after="0"/>
              <w:rPr>
                <w:sz w:val="24"/>
                <w:szCs w:val="24"/>
                <w:color w:val="auto"/>
              </w:rPr>
            </w:pPr>
          </w:p>
        </w:tc>
        <w:tc>
          <w:tcPr>
            <w:tcW w:w="600" w:type="dxa"/>
            <w:vAlign w:val="bottom"/>
            <w:tcBorders>
              <w:top w:val="single" w:sz="8" w:color="0000EE"/>
              <w:bottom w:val="single" w:sz="8" w:color="auto"/>
            </w:tcBorders>
          </w:tcPr>
          <w:p>
            <w:pPr>
              <w:spacing w:after="0"/>
              <w:rPr>
                <w:sz w:val="24"/>
                <w:szCs w:val="24"/>
                <w:color w:val="auto"/>
              </w:rPr>
            </w:pPr>
          </w:p>
        </w:tc>
        <w:tc>
          <w:tcPr>
            <w:tcW w:w="280" w:type="dxa"/>
            <w:vAlign w:val="bottom"/>
            <w:tcBorders>
              <w:top w:val="single" w:sz="8" w:color="0000EE"/>
              <w:bottom w:val="single" w:sz="8" w:color="auto"/>
            </w:tcBorders>
          </w:tcPr>
          <w:p>
            <w:pPr>
              <w:spacing w:after="0"/>
              <w:rPr>
                <w:sz w:val="24"/>
                <w:szCs w:val="24"/>
                <w:color w:val="auto"/>
              </w:rPr>
            </w:pPr>
          </w:p>
        </w:tc>
        <w:tc>
          <w:tcPr>
            <w:tcW w:w="40" w:type="dxa"/>
            <w:vAlign w:val="bottom"/>
            <w:tcBorders>
              <w:top w:val="single" w:sz="8" w:color="0000EE"/>
              <w:bottom w:val="single" w:sz="8" w:color="auto"/>
            </w:tcBorders>
          </w:tcPr>
          <w:p>
            <w:pPr>
              <w:spacing w:after="0"/>
              <w:rPr>
                <w:sz w:val="24"/>
                <w:szCs w:val="24"/>
                <w:color w:val="auto"/>
              </w:rPr>
            </w:pPr>
          </w:p>
        </w:tc>
        <w:tc>
          <w:tcPr>
            <w:tcW w:w="20" w:type="dxa"/>
            <w:vAlign w:val="bottom"/>
            <w:tcBorders>
              <w:top w:val="single" w:sz="8" w:color="0000EE"/>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180" w:type="dxa"/>
            <w:vAlign w:val="bottom"/>
            <w:tcBorders>
              <w:top w:val="single" w:sz="8" w:color="0000EE"/>
              <w:bottom w:val="single" w:sz="8" w:color="auto"/>
            </w:tcBorders>
            <w:gridSpan w:val="5"/>
          </w:tcPr>
          <w:p>
            <w:pPr>
              <w:spacing w:after="0"/>
              <w:rPr>
                <w:sz w:val="24"/>
                <w:szCs w:val="24"/>
                <w:color w:val="auto"/>
              </w:rPr>
            </w:pPr>
          </w:p>
        </w:tc>
        <w:tc>
          <w:tcPr>
            <w:tcW w:w="2280" w:type="dxa"/>
            <w:vAlign w:val="bottom"/>
            <w:tcBorders>
              <w:bottom w:val="single" w:sz="8" w:color="auto"/>
            </w:tcBorders>
            <w:gridSpan w:val="3"/>
          </w:tcPr>
          <w:p>
            <w:pPr>
              <w:jc w:val="right"/>
              <w:ind w:right="560"/>
              <w:spacing w:after="0"/>
              <w:rPr>
                <w:sz w:val="20"/>
                <w:szCs w:val="20"/>
                <w:color w:val="auto"/>
              </w:rPr>
            </w:pPr>
            <w:r>
              <w:rPr>
                <w:rFonts w:ascii="Arial" w:cs="Arial" w:eastAsia="Arial" w:hAnsi="Arial"/>
                <w:sz w:val="18"/>
                <w:szCs w:val="18"/>
                <w:color w:val="auto"/>
              </w:rPr>
              <w:t>119</w:t>
            </w:r>
          </w:p>
        </w:tc>
        <w:tc>
          <w:tcPr>
            <w:tcW w:w="30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91" w:right="239" w:bottom="1440" w:gutter="0" w:footer="0" w:header="0"/>
        </w:sectPr>
      </w:pPr>
    </w:p>
    <w:bookmarkStart w:id="122" w:name="page123"/>
    <w:bookmarkEnd w:id="1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603250</wp:posOffset>
            </wp:positionV>
            <wp:extent cx="1577975" cy="42862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6">
                      <a:clrChange>
                        <a:clrFrom>
                          <a:srgbClr val="FFFFFF"/>
                        </a:clrFrom>
                        <a:clrTo>
                          <a:srgbClr val="FFFFFF">
                            <a:alpha val="0"/>
                          </a:srgbClr>
                        </a:clrTo>
                      </a:clrChange>
                      <a:extLst>
                        <a:ext uri="{28A0092B-C50C-407E-A947-70E740481C1C}"/>
                      </a:extLst>
                    </a:blip>
                    <a:srcRect/>
                    <a:stretch>
                      <a:fillRect/>
                    </a:stretch>
                  </pic:blipFill>
                  <pic:spPr bwMode="auto">
                    <a:xfrm>
                      <a:off x="0" y="0"/>
                      <a:ext cx="1577975" cy="428625"/>
                    </a:xfrm>
                    <a:prstGeom prst="rect">
                      <a:avLst/>
                    </a:prstGeom>
                    <a:noFill/>
                  </pic:spPr>
                </pic:pic>
              </a:graphicData>
            </a:graphic>
          </wp:anchor>
        </w:drawing>
      </w:r>
    </w:p>
    <w:p>
      <w:pPr>
        <w:spacing w:after="0" w:line="24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ind w:left="200"/>
        <w:spacing w:after="0"/>
        <w:rPr>
          <w:sz w:val="20"/>
          <w:szCs w:val="20"/>
          <w:color w:val="auto"/>
        </w:rPr>
      </w:pPr>
      <w:r>
        <w:rPr>
          <w:rFonts w:ascii="Arial" w:cs="Arial" w:eastAsia="Arial" w:hAnsi="Arial"/>
          <w:sz w:val="32"/>
          <w:szCs w:val="32"/>
          <w:b w:val="1"/>
          <w:bCs w:val="1"/>
          <w:color w:val="auto"/>
        </w:rPr>
        <w:t>de Comercio Exterior, S.A.</w:t>
      </w:r>
    </w:p>
    <w:p>
      <w:pPr>
        <w:ind w:left="200"/>
        <w:spacing w:after="0"/>
        <w:rPr>
          <w:sz w:val="20"/>
          <w:szCs w:val="20"/>
          <w:color w:val="auto"/>
        </w:rPr>
      </w:pPr>
      <w:r>
        <w:rPr>
          <w:rFonts w:ascii="Arial" w:cs="Arial" w:eastAsia="Arial" w:hAnsi="Arial"/>
          <w:sz w:val="32"/>
          <w:szCs w:val="32"/>
          <w:b w:val="1"/>
          <w:bCs w:val="1"/>
          <w:color w:val="auto"/>
        </w:rPr>
        <w:t>and Subsidiaries</w:t>
      </w:r>
    </w:p>
    <w:p>
      <w:pPr>
        <w:spacing w:after="0" w:line="204" w:lineRule="exact"/>
        <w:rPr>
          <w:sz w:val="20"/>
          <w:szCs w:val="20"/>
          <w:color w:val="auto"/>
        </w:rPr>
      </w:pPr>
    </w:p>
    <w:p>
      <w:pPr>
        <w:spacing w:after="0"/>
        <w:rPr>
          <w:sz w:val="20"/>
          <w:szCs w:val="20"/>
          <w:color w:val="auto"/>
        </w:rPr>
      </w:pPr>
      <w:r>
        <w:rPr>
          <w:rFonts w:ascii="Arial" w:cs="Arial" w:eastAsia="Arial" w:hAnsi="Arial"/>
          <w:sz w:val="18"/>
          <w:szCs w:val="18"/>
          <w:color w:val="auto"/>
        </w:rPr>
        <w:t>Consolidated Financial Statements</w:t>
      </w:r>
    </w:p>
    <w:p>
      <w:pPr>
        <w:spacing w:after="0" w:line="23" w:lineRule="exact"/>
        <w:rPr>
          <w:sz w:val="20"/>
          <w:szCs w:val="20"/>
          <w:color w:val="auto"/>
        </w:rPr>
      </w:pPr>
    </w:p>
    <w:p>
      <w:pPr>
        <w:ind w:left="200"/>
        <w:spacing w:after="0"/>
        <w:rPr>
          <w:sz w:val="20"/>
          <w:szCs w:val="20"/>
          <w:color w:val="auto"/>
        </w:rPr>
      </w:pPr>
      <w:r>
        <w:rPr>
          <w:rFonts w:ascii="Arial" w:cs="Arial" w:eastAsia="Arial" w:hAnsi="Arial"/>
          <w:sz w:val="18"/>
          <w:szCs w:val="18"/>
          <w:color w:val="auto"/>
        </w:rPr>
        <w:t>as of December 31, 2017, 2016 and 2015</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With Report of Independent Registered Public Accounting Firm</w:t>
      </w:r>
    </w:p>
    <w:p>
      <w:pPr>
        <w:spacing w:after="0" w:line="225" w:lineRule="exact"/>
        <w:rPr>
          <w:sz w:val="20"/>
          <w:szCs w:val="20"/>
          <w:color w:val="auto"/>
        </w:rPr>
      </w:pPr>
    </w:p>
    <w:p>
      <w:pPr>
        <w:ind w:left="8900"/>
        <w:spacing w:after="0"/>
        <w:rPr>
          <w:sz w:val="20"/>
          <w:szCs w:val="20"/>
          <w:color w:val="auto"/>
        </w:rPr>
      </w:pPr>
      <w:r>
        <w:rPr>
          <w:rFonts w:ascii="Arial" w:cs="Arial" w:eastAsia="Arial" w:hAnsi="Arial"/>
          <w:sz w:val="18"/>
          <w:szCs w:val="18"/>
          <w:color w:val="auto"/>
        </w:rPr>
        <w:t>Deloitte LATCO</w:t>
      </w:r>
    </w:p>
    <w:p>
      <w:pPr>
        <w:spacing w:after="0" w:line="23" w:lineRule="exact"/>
        <w:rPr>
          <w:sz w:val="20"/>
          <w:szCs w:val="20"/>
          <w:color w:val="auto"/>
        </w:rPr>
      </w:pPr>
    </w:p>
    <w:p>
      <w:pPr>
        <w:ind w:left="8900"/>
        <w:spacing w:after="0"/>
        <w:rPr>
          <w:sz w:val="20"/>
          <w:szCs w:val="20"/>
          <w:color w:val="auto"/>
        </w:rPr>
      </w:pPr>
      <w:r>
        <w:rPr>
          <w:rFonts w:ascii="Arial" w:cs="Arial" w:eastAsia="Arial" w:hAnsi="Arial"/>
          <w:sz w:val="18"/>
          <w:szCs w:val="18"/>
          <w:color w:val="auto"/>
        </w:rPr>
        <w:t>Firma miembro de</w:t>
      </w:r>
    </w:p>
    <w:p>
      <w:pPr>
        <w:spacing w:after="0" w:line="9" w:lineRule="exact"/>
        <w:rPr>
          <w:sz w:val="20"/>
          <w:szCs w:val="20"/>
          <w:color w:val="auto"/>
        </w:rPr>
      </w:pPr>
    </w:p>
    <w:p>
      <w:pPr>
        <w:ind w:left="8900"/>
        <w:spacing w:after="0"/>
        <w:rPr>
          <w:sz w:val="20"/>
          <w:szCs w:val="20"/>
          <w:color w:val="auto"/>
        </w:rPr>
      </w:pPr>
      <w:r>
        <w:rPr>
          <w:rFonts w:ascii="Arial" w:cs="Arial" w:eastAsia="Arial" w:hAnsi="Arial"/>
          <w:sz w:val="16"/>
          <w:szCs w:val="16"/>
          <w:color w:val="auto"/>
        </w:rPr>
        <w:t>Deloitte Touche Tohmatsu Limited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448945</wp:posOffset>
            </wp:positionV>
            <wp:extent cx="7246620" cy="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23" w:name="page124"/>
    <w:bookmarkEnd w:id="123"/>
    <w:p>
      <w:pP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8200" w:type="dxa"/>
            <w:vAlign w:val="bottom"/>
            <w:gridSpan w:val="8"/>
          </w:tcPr>
          <w:p>
            <w:pPr>
              <w:ind w:left="180"/>
              <w:spacing w:after="0"/>
              <w:rPr>
                <w:sz w:val="20"/>
                <w:szCs w:val="20"/>
                <w:color w:val="auto"/>
              </w:rPr>
            </w:pPr>
            <w:r>
              <w:rPr>
                <w:rFonts w:ascii="Arial" w:cs="Arial" w:eastAsia="Arial" w:hAnsi="Arial"/>
                <w:sz w:val="18"/>
                <w:szCs w:val="18"/>
                <w:b w:val="1"/>
                <w:bCs w:val="1"/>
                <w:color w:val="auto"/>
              </w:rPr>
              <w:t>and Subsidiaries</w:t>
            </w:r>
          </w:p>
        </w:tc>
        <w:tc>
          <w:tcPr>
            <w:tcW w:w="23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00"/>
        </w:trPr>
        <w:tc>
          <w:tcPr>
            <w:tcW w:w="8220" w:type="dxa"/>
            <w:vAlign w:val="bottom"/>
            <w:gridSpan w:val="9"/>
          </w:tcPr>
          <w:p>
            <w:pPr>
              <w:spacing w:after="0"/>
              <w:rPr>
                <w:sz w:val="20"/>
                <w:szCs w:val="20"/>
                <w:color w:val="auto"/>
              </w:rPr>
            </w:pPr>
            <w:r>
              <w:rPr>
                <w:rFonts w:ascii="Arial" w:cs="Arial" w:eastAsia="Arial" w:hAnsi="Arial"/>
                <w:sz w:val="18"/>
                <w:szCs w:val="18"/>
                <w:color w:val="auto"/>
              </w:rPr>
              <w:t>Consolidated Financial Statements</w:t>
            </w:r>
          </w:p>
        </w:tc>
        <w:tc>
          <w:tcPr>
            <w:tcW w:w="23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8200" w:type="dxa"/>
            <w:vAlign w:val="bottom"/>
            <w:gridSpan w:val="8"/>
          </w:tcPr>
          <w:p>
            <w:pPr>
              <w:ind w:left="180"/>
              <w:spacing w:after="0"/>
              <w:rPr>
                <w:sz w:val="20"/>
                <w:szCs w:val="20"/>
                <w:color w:val="auto"/>
              </w:rPr>
            </w:pPr>
            <w:r>
              <w:rPr>
                <w:rFonts w:ascii="Arial" w:cs="Arial" w:eastAsia="Arial" w:hAnsi="Arial"/>
                <w:sz w:val="18"/>
                <w:szCs w:val="18"/>
                <w:color w:val="auto"/>
              </w:rPr>
              <w:t>as of December 31, 2017, 2016 and 2015</w:t>
            </w:r>
          </w:p>
        </w:tc>
        <w:tc>
          <w:tcPr>
            <w:tcW w:w="23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8220" w:type="dxa"/>
            <w:vAlign w:val="bottom"/>
            <w:gridSpan w:val="9"/>
          </w:tcPr>
          <w:p>
            <w:pPr>
              <w:spacing w:after="0"/>
              <w:rPr>
                <w:sz w:val="20"/>
                <w:szCs w:val="20"/>
                <w:color w:val="auto"/>
              </w:rPr>
            </w:pPr>
            <w:r>
              <w:rPr>
                <w:rFonts w:ascii="Arial" w:cs="Arial" w:eastAsia="Arial" w:hAnsi="Arial"/>
                <w:sz w:val="18"/>
                <w:szCs w:val="18"/>
                <w:b w:val="1"/>
                <w:bCs w:val="1"/>
                <w:color w:val="auto"/>
              </w:rPr>
              <w:t>Contents</w:t>
            </w:r>
          </w:p>
        </w:tc>
        <w:tc>
          <w:tcPr>
            <w:tcW w:w="2380" w:type="dxa"/>
            <w:vAlign w:val="bottom"/>
          </w:tcPr>
          <w:p>
            <w:pPr>
              <w:spacing w:after="0"/>
              <w:rPr>
                <w:sz w:val="24"/>
                <w:szCs w:val="24"/>
                <w:color w:val="auto"/>
              </w:rPr>
            </w:pPr>
          </w:p>
        </w:tc>
        <w:tc>
          <w:tcPr>
            <w:tcW w:w="840" w:type="dxa"/>
            <w:vAlign w:val="bottom"/>
            <w:gridSpan w:val="3"/>
          </w:tcPr>
          <w:p>
            <w:pPr>
              <w:ind w:left="40"/>
              <w:spacing w:after="0"/>
              <w:rPr>
                <w:sz w:val="20"/>
                <w:szCs w:val="20"/>
                <w:color w:val="auto"/>
              </w:rPr>
            </w:pPr>
            <w:r>
              <w:rPr>
                <w:rFonts w:ascii="Arial" w:cs="Arial" w:eastAsia="Arial" w:hAnsi="Arial"/>
                <w:sz w:val="18"/>
                <w:szCs w:val="18"/>
                <w:b w:val="1"/>
                <w:bCs w:val="1"/>
                <w:color w:val="auto"/>
              </w:rPr>
              <w:t>Pages</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0" w:type="dxa"/>
            <w:vAlign w:val="bottom"/>
          </w:tcPr>
          <w:p>
            <w:pPr>
              <w:spacing w:after="0"/>
              <w:rPr>
                <w:sz w:val="18"/>
                <w:szCs w:val="18"/>
                <w:color w:val="auto"/>
              </w:rPr>
            </w:pPr>
          </w:p>
        </w:tc>
        <w:tc>
          <w:tcPr>
            <w:tcW w:w="27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8200" w:type="dxa"/>
            <w:vAlign w:val="bottom"/>
            <w:gridSpan w:val="8"/>
            <w:shd w:val="clear" w:color="auto" w:fill="CCEEFF"/>
          </w:tcPr>
          <w:p>
            <w:pPr>
              <w:spacing w:after="0" w:line="176" w:lineRule="exact"/>
              <w:rPr>
                <w:rFonts w:ascii="Arial" w:cs="Arial" w:eastAsia="Arial" w:hAnsi="Arial"/>
                <w:sz w:val="18"/>
                <w:szCs w:val="18"/>
                <w:color w:val="0000EE"/>
              </w:rPr>
            </w:pPr>
            <w:hyperlink w:anchor="page125">
              <w:r>
                <w:rPr>
                  <w:rFonts w:ascii="Arial" w:cs="Arial" w:eastAsia="Arial" w:hAnsi="Arial"/>
                  <w:sz w:val="18"/>
                  <w:szCs w:val="18"/>
                  <w:color w:val="0000EE"/>
                </w:rPr>
                <w:t>Report of Independent Registered Public Accounting Firm</w:t>
              </w:r>
            </w:hyperlink>
          </w:p>
        </w:tc>
        <w:tc>
          <w:tcPr>
            <w:tcW w:w="238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240" w:type="dxa"/>
            <w:vAlign w:val="bottom"/>
            <w:shd w:val="clear" w:color="auto" w:fill="CCEEFF"/>
          </w:tcPr>
          <w:p>
            <w:pPr>
              <w:jc w:val="right"/>
              <w:spacing w:after="0" w:line="176" w:lineRule="exact"/>
              <w:rPr>
                <w:rFonts w:ascii="Arial" w:cs="Arial" w:eastAsia="Arial" w:hAnsi="Arial"/>
                <w:sz w:val="18"/>
                <w:szCs w:val="18"/>
                <w:color w:val="0000EE"/>
                <w:w w:val="81"/>
              </w:rPr>
            </w:pPr>
            <w:hyperlink w:anchor="page125">
              <w:r>
                <w:rPr>
                  <w:rFonts w:ascii="Arial" w:cs="Arial" w:eastAsia="Arial" w:hAnsi="Arial"/>
                  <w:sz w:val="18"/>
                  <w:szCs w:val="18"/>
                  <w:color w:val="0000EE"/>
                  <w:w w:val="81"/>
                </w:rPr>
                <w:t>F-3</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0" w:type="dxa"/>
            <w:vAlign w:val="bottom"/>
            <w:tcBorders>
              <w:top w:val="single" w:sz="8" w:color="0000EE"/>
            </w:tcBorders>
          </w:tcPr>
          <w:p>
            <w:pPr>
              <w:spacing w:after="0"/>
              <w:rPr>
                <w:sz w:val="18"/>
                <w:szCs w:val="18"/>
                <w:color w:val="auto"/>
              </w:rPr>
            </w:pPr>
          </w:p>
        </w:tc>
        <w:tc>
          <w:tcPr>
            <w:tcW w:w="276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20" w:type="dxa"/>
            <w:vAlign w:val="bottom"/>
            <w:tcBorders>
              <w:top w:val="single" w:sz="8" w:color="0000EE"/>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2380" w:type="dxa"/>
            <w:vAlign w:val="bottom"/>
            <w:tcBorders>
              <w:top w:val="single" w:sz="8" w:color="CCEEFF"/>
            </w:tcBorders>
          </w:tcPr>
          <w:p>
            <w:pPr>
              <w:spacing w:after="0"/>
              <w:rPr>
                <w:sz w:val="18"/>
                <w:szCs w:val="18"/>
                <w:color w:val="auto"/>
              </w:rPr>
            </w:pPr>
          </w:p>
        </w:tc>
        <w:tc>
          <w:tcPr>
            <w:tcW w:w="2380" w:type="dxa"/>
            <w:vAlign w:val="bottom"/>
            <w:tcBorders>
              <w:top w:val="single" w:sz="8" w:color="CCEEFF"/>
            </w:tcBorders>
          </w:tcPr>
          <w:p>
            <w:pPr>
              <w:spacing w:after="0"/>
              <w:rPr>
                <w:sz w:val="18"/>
                <w:szCs w:val="18"/>
                <w:color w:val="auto"/>
              </w:rPr>
            </w:pPr>
          </w:p>
        </w:tc>
        <w:tc>
          <w:tcPr>
            <w:tcW w:w="580" w:type="dxa"/>
            <w:vAlign w:val="bottom"/>
            <w:tcBorders>
              <w:top w:val="single" w:sz="8" w:color="CCEEFF"/>
            </w:tcBorders>
          </w:tcPr>
          <w:p>
            <w:pPr>
              <w:spacing w:after="0"/>
              <w:rPr>
                <w:sz w:val="18"/>
                <w:szCs w:val="18"/>
                <w:color w:val="auto"/>
              </w:rPr>
            </w:pPr>
          </w:p>
        </w:tc>
        <w:tc>
          <w:tcPr>
            <w:tcW w:w="240" w:type="dxa"/>
            <w:vAlign w:val="bottom"/>
            <w:tcBorders>
              <w:top w:val="single" w:sz="8" w:color="0000EE"/>
            </w:tcBorders>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200" w:type="dxa"/>
            <w:vAlign w:val="bottom"/>
            <w:gridSpan w:val="8"/>
            <w:shd w:val="clear" w:color="auto" w:fill="CCEEFF"/>
          </w:tcPr>
          <w:p>
            <w:pPr>
              <w:spacing w:after="0"/>
              <w:rPr>
                <w:sz w:val="20"/>
                <w:szCs w:val="20"/>
                <w:color w:val="auto"/>
              </w:rPr>
            </w:pPr>
            <w:r>
              <w:rPr>
                <w:rFonts w:ascii="Arial" w:cs="Arial" w:eastAsia="Arial" w:hAnsi="Arial"/>
                <w:sz w:val="18"/>
                <w:szCs w:val="18"/>
                <w:color w:val="auto"/>
              </w:rPr>
              <w:t>Audited consolidated financial statements:</w:t>
            </w:r>
          </w:p>
        </w:tc>
        <w:tc>
          <w:tcPr>
            <w:tcW w:w="23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7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8200" w:type="dxa"/>
            <w:vAlign w:val="bottom"/>
            <w:gridSpan w:val="8"/>
            <w:shd w:val="clear" w:color="auto" w:fill="CCEEFF"/>
          </w:tcPr>
          <w:p>
            <w:pPr>
              <w:ind w:left="480"/>
              <w:spacing w:after="0" w:line="176" w:lineRule="exact"/>
              <w:rPr>
                <w:rFonts w:ascii="Arial" w:cs="Arial" w:eastAsia="Arial" w:hAnsi="Arial"/>
                <w:sz w:val="18"/>
                <w:szCs w:val="18"/>
                <w:color w:val="0000EE"/>
              </w:rPr>
            </w:pPr>
            <w:hyperlink w:anchor="page126">
              <w:r>
                <w:rPr>
                  <w:rFonts w:ascii="Arial" w:cs="Arial" w:eastAsia="Arial" w:hAnsi="Arial"/>
                  <w:sz w:val="18"/>
                  <w:szCs w:val="18"/>
                  <w:color w:val="0000EE"/>
                </w:rPr>
                <w:t>Consolidated statements of financial position</w:t>
              </w:r>
            </w:hyperlink>
          </w:p>
        </w:tc>
        <w:tc>
          <w:tcPr>
            <w:tcW w:w="238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240" w:type="dxa"/>
            <w:vAlign w:val="bottom"/>
            <w:shd w:val="clear" w:color="auto" w:fill="CCEEFF"/>
          </w:tcPr>
          <w:p>
            <w:pPr>
              <w:jc w:val="right"/>
              <w:spacing w:after="0" w:line="176" w:lineRule="exact"/>
              <w:rPr>
                <w:rFonts w:ascii="Arial" w:cs="Arial" w:eastAsia="Arial" w:hAnsi="Arial"/>
                <w:sz w:val="18"/>
                <w:szCs w:val="18"/>
                <w:color w:val="0000EE"/>
                <w:w w:val="81"/>
              </w:rPr>
            </w:pPr>
            <w:hyperlink w:anchor="page126">
              <w:r>
                <w:rPr>
                  <w:rFonts w:ascii="Arial" w:cs="Arial" w:eastAsia="Arial" w:hAnsi="Arial"/>
                  <w:sz w:val="18"/>
                  <w:szCs w:val="18"/>
                  <w:color w:val="0000EE"/>
                  <w:w w:val="81"/>
                </w:rPr>
                <w:t>F-4</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76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1620" w:type="dxa"/>
            <w:vAlign w:val="bottom"/>
            <w:tcBorders>
              <w:top w:val="single" w:sz="8" w:color="CCEEFF"/>
            </w:tcBorders>
            <w:shd w:val="clear" w:color="auto" w:fill="CCEEFF"/>
          </w:tcPr>
          <w:p>
            <w:pPr>
              <w:spacing w:after="0" w:line="20" w:lineRule="exact"/>
              <w:rPr>
                <w:sz w:val="1"/>
                <w:szCs w:val="1"/>
                <w:color w:val="auto"/>
              </w:rPr>
            </w:pPr>
          </w:p>
        </w:tc>
        <w:tc>
          <w:tcPr>
            <w:tcW w:w="2380" w:type="dxa"/>
            <w:vAlign w:val="bottom"/>
            <w:tcBorders>
              <w:top w:val="single" w:sz="8" w:color="CCEEFF"/>
            </w:tcBorders>
            <w:shd w:val="clear" w:color="auto" w:fill="CCEEFF"/>
          </w:tcPr>
          <w:p>
            <w:pPr>
              <w:spacing w:after="0" w:line="20" w:lineRule="exact"/>
              <w:rPr>
                <w:sz w:val="1"/>
                <w:szCs w:val="1"/>
                <w:color w:val="auto"/>
              </w:rPr>
            </w:pPr>
          </w:p>
        </w:tc>
        <w:tc>
          <w:tcPr>
            <w:tcW w:w="238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tcPr>
          <w:p>
            <w:pPr>
              <w:spacing w:after="0"/>
              <w:rPr>
                <w:sz w:val="15"/>
                <w:szCs w:val="15"/>
                <w:color w:val="auto"/>
              </w:rPr>
            </w:pPr>
          </w:p>
        </w:tc>
        <w:tc>
          <w:tcPr>
            <w:tcW w:w="8200" w:type="dxa"/>
            <w:vAlign w:val="bottom"/>
            <w:gridSpan w:val="8"/>
          </w:tcPr>
          <w:p>
            <w:pPr>
              <w:ind w:left="480"/>
              <w:spacing w:after="0" w:line="176" w:lineRule="exact"/>
              <w:rPr>
                <w:rFonts w:ascii="Arial" w:cs="Arial" w:eastAsia="Arial" w:hAnsi="Arial"/>
                <w:sz w:val="18"/>
                <w:szCs w:val="18"/>
                <w:color w:val="0000EE"/>
              </w:rPr>
            </w:pPr>
            <w:hyperlink w:anchor="page127">
              <w:r>
                <w:rPr>
                  <w:rFonts w:ascii="Arial" w:cs="Arial" w:eastAsia="Arial" w:hAnsi="Arial"/>
                  <w:sz w:val="18"/>
                  <w:szCs w:val="18"/>
                  <w:color w:val="0000EE"/>
                </w:rPr>
                <w:t>Consolidated statements of profit or loss</w:t>
              </w:r>
            </w:hyperlink>
          </w:p>
        </w:tc>
        <w:tc>
          <w:tcPr>
            <w:tcW w:w="238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240" w:type="dxa"/>
            <w:vAlign w:val="bottom"/>
          </w:tcPr>
          <w:p>
            <w:pPr>
              <w:jc w:val="right"/>
              <w:spacing w:after="0" w:line="176" w:lineRule="exact"/>
              <w:rPr>
                <w:rFonts w:ascii="Arial" w:cs="Arial" w:eastAsia="Arial" w:hAnsi="Arial"/>
                <w:sz w:val="18"/>
                <w:szCs w:val="18"/>
                <w:color w:val="0000EE"/>
                <w:w w:val="81"/>
              </w:rPr>
            </w:pPr>
            <w:hyperlink w:anchor="page127">
              <w:r>
                <w:rPr>
                  <w:rFonts w:ascii="Arial" w:cs="Arial" w:eastAsia="Arial" w:hAnsi="Arial"/>
                  <w:sz w:val="18"/>
                  <w:szCs w:val="18"/>
                  <w:color w:val="0000EE"/>
                  <w:w w:val="81"/>
                </w:rPr>
                <w:t>F-5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76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62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tcPr>
          <w:p>
            <w:pPr>
              <w:spacing w:after="0"/>
              <w:rPr>
                <w:sz w:val="15"/>
                <w:szCs w:val="15"/>
                <w:color w:val="auto"/>
              </w:rPr>
            </w:pPr>
          </w:p>
        </w:tc>
        <w:tc>
          <w:tcPr>
            <w:tcW w:w="8200" w:type="dxa"/>
            <w:vAlign w:val="bottom"/>
            <w:gridSpan w:val="8"/>
            <w:shd w:val="clear" w:color="auto" w:fill="CCEEFF"/>
          </w:tcPr>
          <w:p>
            <w:pPr>
              <w:ind w:left="480"/>
              <w:spacing w:after="0" w:line="176" w:lineRule="exact"/>
              <w:rPr>
                <w:rFonts w:ascii="Arial" w:cs="Arial" w:eastAsia="Arial" w:hAnsi="Arial"/>
                <w:sz w:val="18"/>
                <w:szCs w:val="18"/>
                <w:color w:val="0000EE"/>
              </w:rPr>
            </w:pPr>
            <w:hyperlink w:anchor="page128">
              <w:r>
                <w:rPr>
                  <w:rFonts w:ascii="Arial" w:cs="Arial" w:eastAsia="Arial" w:hAnsi="Arial"/>
                  <w:sz w:val="18"/>
                  <w:szCs w:val="18"/>
                  <w:color w:val="0000EE"/>
                </w:rPr>
                <w:t>Consolidated statements of profit or loss and other comprehensive income</w:t>
              </w:r>
            </w:hyperlink>
          </w:p>
        </w:tc>
        <w:tc>
          <w:tcPr>
            <w:tcW w:w="238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240" w:type="dxa"/>
            <w:vAlign w:val="bottom"/>
            <w:shd w:val="clear" w:color="auto" w:fill="CCEEFF"/>
          </w:tcPr>
          <w:p>
            <w:pPr>
              <w:jc w:val="right"/>
              <w:spacing w:after="0" w:line="176" w:lineRule="exact"/>
              <w:rPr>
                <w:rFonts w:ascii="Arial" w:cs="Arial" w:eastAsia="Arial" w:hAnsi="Arial"/>
                <w:sz w:val="18"/>
                <w:szCs w:val="18"/>
                <w:color w:val="0000EE"/>
                <w:w w:val="81"/>
              </w:rPr>
            </w:pPr>
            <w:hyperlink w:anchor="page128">
              <w:r>
                <w:rPr>
                  <w:rFonts w:ascii="Arial" w:cs="Arial" w:eastAsia="Arial" w:hAnsi="Arial"/>
                  <w:sz w:val="18"/>
                  <w:szCs w:val="18"/>
                  <w:color w:val="0000EE"/>
                  <w:w w:val="81"/>
                </w:rPr>
                <w:t>F-6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76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20" w:type="dxa"/>
            <w:vAlign w:val="bottom"/>
            <w:tcBorders>
              <w:top w:val="single" w:sz="8" w:color="0000EE"/>
            </w:tcBorders>
            <w:shd w:val="clear" w:color="auto" w:fill="CCEEFF"/>
          </w:tcPr>
          <w:p>
            <w:pPr>
              <w:spacing w:after="0" w:line="20" w:lineRule="exact"/>
              <w:rPr>
                <w:sz w:val="1"/>
                <w:szCs w:val="1"/>
                <w:color w:val="auto"/>
              </w:rPr>
            </w:pPr>
          </w:p>
        </w:tc>
        <w:tc>
          <w:tcPr>
            <w:tcW w:w="1620" w:type="dxa"/>
            <w:vAlign w:val="bottom"/>
            <w:tcBorders>
              <w:top w:val="single" w:sz="8" w:color="0000EE"/>
            </w:tcBorders>
            <w:shd w:val="clear" w:color="auto" w:fill="CCEEFF"/>
          </w:tcPr>
          <w:p>
            <w:pPr>
              <w:spacing w:after="0" w:line="20" w:lineRule="exact"/>
              <w:rPr>
                <w:sz w:val="1"/>
                <w:szCs w:val="1"/>
                <w:color w:val="auto"/>
              </w:rPr>
            </w:pPr>
          </w:p>
        </w:tc>
        <w:tc>
          <w:tcPr>
            <w:tcW w:w="2380" w:type="dxa"/>
            <w:vAlign w:val="bottom"/>
            <w:tcBorders>
              <w:top w:val="single" w:sz="8" w:color="CCEEFF"/>
            </w:tcBorders>
            <w:shd w:val="clear" w:color="auto" w:fill="CCEEFF"/>
          </w:tcPr>
          <w:p>
            <w:pPr>
              <w:spacing w:after="0" w:line="20" w:lineRule="exact"/>
              <w:rPr>
                <w:sz w:val="1"/>
                <w:szCs w:val="1"/>
                <w:color w:val="auto"/>
              </w:rPr>
            </w:pPr>
          </w:p>
        </w:tc>
        <w:tc>
          <w:tcPr>
            <w:tcW w:w="238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tcPr>
          <w:p>
            <w:pPr>
              <w:spacing w:after="0"/>
              <w:rPr>
                <w:sz w:val="15"/>
                <w:szCs w:val="15"/>
                <w:color w:val="auto"/>
              </w:rPr>
            </w:pPr>
          </w:p>
        </w:tc>
        <w:tc>
          <w:tcPr>
            <w:tcW w:w="8200" w:type="dxa"/>
            <w:vAlign w:val="bottom"/>
            <w:gridSpan w:val="8"/>
          </w:tcPr>
          <w:p>
            <w:pPr>
              <w:ind w:left="480"/>
              <w:spacing w:after="0" w:line="176" w:lineRule="exact"/>
              <w:rPr>
                <w:rFonts w:ascii="Arial" w:cs="Arial" w:eastAsia="Arial" w:hAnsi="Arial"/>
                <w:sz w:val="18"/>
                <w:szCs w:val="18"/>
                <w:color w:val="0000EE"/>
              </w:rPr>
            </w:pPr>
            <w:hyperlink w:anchor="page129">
              <w:r>
                <w:rPr>
                  <w:rFonts w:ascii="Arial" w:cs="Arial" w:eastAsia="Arial" w:hAnsi="Arial"/>
                  <w:sz w:val="18"/>
                  <w:szCs w:val="18"/>
                  <w:color w:val="0000EE"/>
                </w:rPr>
                <w:t>Consolidated statements of changes in equity</w:t>
              </w:r>
            </w:hyperlink>
          </w:p>
        </w:tc>
        <w:tc>
          <w:tcPr>
            <w:tcW w:w="238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240" w:type="dxa"/>
            <w:vAlign w:val="bottom"/>
          </w:tcPr>
          <w:p>
            <w:pPr>
              <w:jc w:val="right"/>
              <w:spacing w:after="0" w:line="176" w:lineRule="exact"/>
              <w:rPr>
                <w:rFonts w:ascii="Arial" w:cs="Arial" w:eastAsia="Arial" w:hAnsi="Arial"/>
                <w:sz w:val="18"/>
                <w:szCs w:val="18"/>
                <w:color w:val="0000EE"/>
                <w:w w:val="81"/>
              </w:rPr>
            </w:pPr>
            <w:hyperlink w:anchor="page129">
              <w:r>
                <w:rPr>
                  <w:rFonts w:ascii="Arial" w:cs="Arial" w:eastAsia="Arial" w:hAnsi="Arial"/>
                  <w:sz w:val="18"/>
                  <w:szCs w:val="18"/>
                  <w:color w:val="0000EE"/>
                  <w:w w:val="81"/>
                </w:rPr>
                <w:t>F-7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76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62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tcPr>
          <w:p>
            <w:pPr>
              <w:spacing w:after="0"/>
              <w:rPr>
                <w:sz w:val="15"/>
                <w:szCs w:val="15"/>
                <w:color w:val="auto"/>
              </w:rPr>
            </w:pPr>
          </w:p>
        </w:tc>
        <w:tc>
          <w:tcPr>
            <w:tcW w:w="8200" w:type="dxa"/>
            <w:vAlign w:val="bottom"/>
            <w:gridSpan w:val="8"/>
            <w:shd w:val="clear" w:color="auto" w:fill="CCEEFF"/>
          </w:tcPr>
          <w:p>
            <w:pPr>
              <w:ind w:left="480"/>
              <w:spacing w:after="0" w:line="176" w:lineRule="exact"/>
              <w:rPr>
                <w:rFonts w:ascii="Arial" w:cs="Arial" w:eastAsia="Arial" w:hAnsi="Arial"/>
                <w:sz w:val="18"/>
                <w:szCs w:val="18"/>
                <w:color w:val="0000EE"/>
              </w:rPr>
            </w:pPr>
            <w:hyperlink w:anchor="page130">
              <w:r>
                <w:rPr>
                  <w:rFonts w:ascii="Arial" w:cs="Arial" w:eastAsia="Arial" w:hAnsi="Arial"/>
                  <w:sz w:val="18"/>
                  <w:szCs w:val="18"/>
                  <w:color w:val="0000EE"/>
                </w:rPr>
                <w:t>Consolidated statements of cash flows</w:t>
              </w:r>
            </w:hyperlink>
          </w:p>
        </w:tc>
        <w:tc>
          <w:tcPr>
            <w:tcW w:w="238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240" w:type="dxa"/>
            <w:vAlign w:val="bottom"/>
            <w:shd w:val="clear" w:color="auto" w:fill="CCEEFF"/>
          </w:tcPr>
          <w:p>
            <w:pPr>
              <w:jc w:val="right"/>
              <w:spacing w:after="0" w:line="176" w:lineRule="exact"/>
              <w:rPr>
                <w:rFonts w:ascii="Arial" w:cs="Arial" w:eastAsia="Arial" w:hAnsi="Arial"/>
                <w:sz w:val="18"/>
                <w:szCs w:val="18"/>
                <w:color w:val="0000EE"/>
                <w:w w:val="81"/>
              </w:rPr>
            </w:pPr>
            <w:hyperlink w:anchor="page130">
              <w:r>
                <w:rPr>
                  <w:rFonts w:ascii="Arial" w:cs="Arial" w:eastAsia="Arial" w:hAnsi="Arial"/>
                  <w:sz w:val="18"/>
                  <w:szCs w:val="18"/>
                  <w:color w:val="0000EE"/>
                  <w:w w:val="81"/>
                </w:rPr>
                <w:t>F-8</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76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1620" w:type="dxa"/>
            <w:vAlign w:val="bottom"/>
            <w:tcBorders>
              <w:top w:val="single" w:sz="8" w:color="CCEEFF"/>
            </w:tcBorders>
            <w:shd w:val="clear" w:color="auto" w:fill="CCEEFF"/>
          </w:tcPr>
          <w:p>
            <w:pPr>
              <w:spacing w:after="0" w:line="20" w:lineRule="exact"/>
              <w:rPr>
                <w:sz w:val="1"/>
                <w:szCs w:val="1"/>
                <w:color w:val="auto"/>
              </w:rPr>
            </w:pPr>
          </w:p>
        </w:tc>
        <w:tc>
          <w:tcPr>
            <w:tcW w:w="2380" w:type="dxa"/>
            <w:vAlign w:val="bottom"/>
            <w:tcBorders>
              <w:top w:val="single" w:sz="8" w:color="CCEEFF"/>
            </w:tcBorders>
            <w:shd w:val="clear" w:color="auto" w:fill="CCEEFF"/>
          </w:tcPr>
          <w:p>
            <w:pPr>
              <w:spacing w:after="0" w:line="20" w:lineRule="exact"/>
              <w:rPr>
                <w:sz w:val="1"/>
                <w:szCs w:val="1"/>
                <w:color w:val="auto"/>
              </w:rPr>
            </w:pPr>
          </w:p>
        </w:tc>
        <w:tc>
          <w:tcPr>
            <w:tcW w:w="238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tcPr>
          <w:p>
            <w:pPr>
              <w:spacing w:after="0"/>
              <w:rPr>
                <w:sz w:val="15"/>
                <w:szCs w:val="15"/>
                <w:color w:val="auto"/>
              </w:rPr>
            </w:pPr>
          </w:p>
        </w:tc>
        <w:tc>
          <w:tcPr>
            <w:tcW w:w="8200" w:type="dxa"/>
            <w:vAlign w:val="bottom"/>
            <w:gridSpan w:val="8"/>
          </w:tcPr>
          <w:p>
            <w:pPr>
              <w:ind w:left="480"/>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Notes to the consolidated financial statements</w:t>
              </w:r>
            </w:hyperlink>
          </w:p>
        </w:tc>
        <w:tc>
          <w:tcPr>
            <w:tcW w:w="3200" w:type="dxa"/>
            <w:vAlign w:val="bottom"/>
            <w:gridSpan w:val="3"/>
          </w:tcPr>
          <w:p>
            <w:pPr>
              <w:jc w:val="right"/>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F-9 - F-102</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453"/>
        </w:trPr>
        <w:tc>
          <w:tcPr>
            <w:tcW w:w="20" w:type="dxa"/>
            <w:vAlign w:val="bottom"/>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760" w:type="dxa"/>
            <w:vAlign w:val="bottom"/>
            <w:tcBorders>
              <w:top w:val="single" w:sz="8" w:color="0000EE"/>
              <w:bottom w:val="single" w:sz="8" w:color="auto"/>
            </w:tcBorders>
          </w:tcPr>
          <w:p>
            <w:pPr>
              <w:spacing w:after="0"/>
              <w:rPr>
                <w:sz w:val="24"/>
                <w:szCs w:val="24"/>
                <w:color w:val="auto"/>
              </w:rPr>
            </w:pPr>
          </w:p>
        </w:tc>
        <w:tc>
          <w:tcPr>
            <w:tcW w:w="140" w:type="dxa"/>
            <w:vAlign w:val="bottom"/>
            <w:tcBorders>
              <w:top w:val="single" w:sz="8" w:color="0000EE"/>
              <w:bottom w:val="single" w:sz="8" w:color="auto"/>
            </w:tcBorders>
          </w:tcPr>
          <w:p>
            <w:pPr>
              <w:spacing w:after="0"/>
              <w:rPr>
                <w:sz w:val="24"/>
                <w:szCs w:val="24"/>
                <w:color w:val="auto"/>
              </w:rPr>
            </w:pPr>
          </w:p>
        </w:tc>
        <w:tc>
          <w:tcPr>
            <w:tcW w:w="340" w:type="dxa"/>
            <w:vAlign w:val="bottom"/>
            <w:tcBorders>
              <w:top w:val="single" w:sz="8" w:color="0000EE"/>
              <w:bottom w:val="single" w:sz="8" w:color="auto"/>
            </w:tcBorders>
          </w:tcPr>
          <w:p>
            <w:pPr>
              <w:spacing w:after="0"/>
              <w:rPr>
                <w:sz w:val="24"/>
                <w:szCs w:val="24"/>
                <w:color w:val="auto"/>
              </w:rPr>
            </w:pPr>
          </w:p>
        </w:tc>
        <w:tc>
          <w:tcPr>
            <w:tcW w:w="60" w:type="dxa"/>
            <w:vAlign w:val="bottom"/>
            <w:tcBorders>
              <w:top w:val="single" w:sz="8" w:color="0000EE"/>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4000" w:type="dxa"/>
            <w:vAlign w:val="bottom"/>
            <w:tcBorders>
              <w:bottom w:val="single" w:sz="8" w:color="auto"/>
            </w:tcBorders>
            <w:gridSpan w:val="2"/>
          </w:tcPr>
          <w:p>
            <w:pPr>
              <w:ind w:left="1380"/>
              <w:spacing w:after="0"/>
              <w:rPr>
                <w:sz w:val="20"/>
                <w:szCs w:val="20"/>
                <w:color w:val="auto"/>
              </w:rPr>
            </w:pPr>
            <w:r>
              <w:rPr>
                <w:rFonts w:ascii="Arial" w:cs="Arial" w:eastAsia="Arial" w:hAnsi="Arial"/>
                <w:sz w:val="18"/>
                <w:szCs w:val="18"/>
                <w:color w:val="auto"/>
              </w:rPr>
              <w:t>F-2</w:t>
            </w:r>
          </w:p>
        </w:tc>
        <w:tc>
          <w:tcPr>
            <w:tcW w:w="2380" w:type="dxa"/>
            <w:vAlign w:val="bottom"/>
            <w:tcBorders>
              <w:bottom w:val="single" w:sz="8" w:color="auto"/>
            </w:tcBorders>
          </w:tcPr>
          <w:p>
            <w:pPr>
              <w:spacing w:after="0"/>
              <w:rPr>
                <w:sz w:val="24"/>
                <w:szCs w:val="24"/>
                <w:color w:val="auto"/>
              </w:rPr>
            </w:pPr>
          </w:p>
        </w:tc>
        <w:tc>
          <w:tcPr>
            <w:tcW w:w="580" w:type="dxa"/>
            <w:vAlign w:val="bottom"/>
            <w:tcBorders>
              <w:top w:val="single" w:sz="8" w:color="0000EE"/>
              <w:bottom w:val="single" w:sz="8" w:color="auto"/>
            </w:tcBorders>
          </w:tcPr>
          <w:p>
            <w:pPr>
              <w:spacing w:after="0"/>
              <w:rPr>
                <w:sz w:val="24"/>
                <w:szCs w:val="24"/>
                <w:color w:val="auto"/>
              </w:rPr>
            </w:pPr>
          </w:p>
        </w:tc>
        <w:tc>
          <w:tcPr>
            <w:tcW w:w="240" w:type="dxa"/>
            <w:vAlign w:val="bottom"/>
            <w:tcBorders>
              <w:top w:val="single" w:sz="8" w:color="0000EE"/>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24" w:name="page125"/>
    <w:bookmarkEnd w:id="124"/>
    <w:p>
      <w:pPr>
        <w:ind w:left="8820"/>
        <w:spacing w:after="0"/>
        <w:rPr>
          <w:sz w:val="20"/>
          <w:szCs w:val="20"/>
          <w:color w:val="auto"/>
        </w:rPr>
      </w:pPr>
      <w:r>
        <w:rPr>
          <w:rFonts w:ascii="Arial" w:cs="Arial" w:eastAsia="Arial" w:hAnsi="Arial"/>
          <w:sz w:val="14"/>
          <w:szCs w:val="14"/>
          <w:b w:val="1"/>
          <w:bCs w:val="1"/>
          <w:color w:val="auto"/>
        </w:rPr>
        <w:t>Deloitte, lnc.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-86995</wp:posOffset>
            </wp:positionV>
            <wp:extent cx="1577975" cy="42862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8">
                      <a:extLst>
                        <a:ext uri="{28A0092B-C50C-407E-A947-70E740481C1C}"/>
                      </a:extLst>
                    </a:blip>
                    <a:srcRect/>
                    <a:stretch>
                      <a:fillRect/>
                    </a:stretch>
                  </pic:blipFill>
                  <pic:spPr bwMode="auto">
                    <a:xfrm>
                      <a:off x="0" y="0"/>
                      <a:ext cx="1577975" cy="428625"/>
                    </a:xfrm>
                    <a:prstGeom prst="rect">
                      <a:avLst/>
                    </a:prstGeom>
                    <a:noFill/>
                  </pic:spPr>
                </pic:pic>
              </a:graphicData>
            </a:graphic>
          </wp:anchor>
        </w:drawing>
      </w:r>
    </w:p>
    <w:p>
      <w:pPr>
        <w:ind w:left="8820"/>
        <w:spacing w:after="0" w:line="226" w:lineRule="auto"/>
        <w:rPr>
          <w:sz w:val="20"/>
          <w:szCs w:val="20"/>
          <w:color w:val="auto"/>
        </w:rPr>
      </w:pPr>
      <w:r>
        <w:rPr>
          <w:rFonts w:ascii="Arial" w:cs="Arial" w:eastAsia="Arial" w:hAnsi="Arial"/>
          <w:sz w:val="14"/>
          <w:szCs w:val="14"/>
          <w:color w:val="auto"/>
        </w:rPr>
        <w:t>Contadores Públicos Autorizados</w:t>
      </w:r>
    </w:p>
    <w:p>
      <w:pPr>
        <w:ind w:left="8820"/>
        <w:spacing w:after="0" w:line="222" w:lineRule="auto"/>
        <w:rPr>
          <w:sz w:val="20"/>
          <w:szCs w:val="20"/>
          <w:color w:val="auto"/>
        </w:rPr>
      </w:pPr>
      <w:r>
        <w:rPr>
          <w:rFonts w:ascii="Arial" w:cs="Arial" w:eastAsia="Arial" w:hAnsi="Arial"/>
          <w:sz w:val="14"/>
          <w:szCs w:val="14"/>
          <w:color w:val="auto"/>
        </w:rPr>
        <w:t>RUC 16292-152-155203 D.V. 65</w:t>
      </w:r>
    </w:p>
    <w:p>
      <w:pPr>
        <w:ind w:left="8820"/>
        <w:spacing w:after="0" w:line="221" w:lineRule="auto"/>
        <w:rPr>
          <w:sz w:val="20"/>
          <w:szCs w:val="20"/>
          <w:color w:val="auto"/>
        </w:rPr>
      </w:pPr>
      <w:r>
        <w:rPr>
          <w:rFonts w:ascii="Arial" w:cs="Arial" w:eastAsia="Arial" w:hAnsi="Arial"/>
          <w:sz w:val="14"/>
          <w:szCs w:val="14"/>
          <w:color w:val="auto"/>
        </w:rPr>
        <w:t>Torre Banco Panamá, piso 12</w:t>
      </w:r>
    </w:p>
    <w:p>
      <w:pPr>
        <w:ind w:left="8820"/>
        <w:spacing w:after="0" w:line="222" w:lineRule="auto"/>
        <w:rPr>
          <w:sz w:val="20"/>
          <w:szCs w:val="20"/>
          <w:color w:val="auto"/>
        </w:rPr>
      </w:pPr>
      <w:r>
        <w:rPr>
          <w:rFonts w:ascii="Arial" w:cs="Arial" w:eastAsia="Arial" w:hAnsi="Arial"/>
          <w:sz w:val="14"/>
          <w:szCs w:val="14"/>
          <w:color w:val="auto"/>
        </w:rPr>
        <w:t>Avenida Boulevard y la Rotonda</w:t>
      </w:r>
    </w:p>
    <w:p>
      <w:pPr>
        <w:ind w:left="8820"/>
        <w:spacing w:after="0" w:line="221" w:lineRule="auto"/>
        <w:rPr>
          <w:sz w:val="20"/>
          <w:szCs w:val="20"/>
          <w:color w:val="auto"/>
        </w:rPr>
      </w:pPr>
      <w:r>
        <w:rPr>
          <w:rFonts w:ascii="Arial" w:cs="Arial" w:eastAsia="Arial" w:hAnsi="Arial"/>
          <w:sz w:val="14"/>
          <w:szCs w:val="14"/>
          <w:color w:val="auto"/>
        </w:rPr>
        <w:t>Costa del Este, Panamá</w:t>
      </w:r>
    </w:p>
    <w:p>
      <w:pPr>
        <w:ind w:left="8820"/>
        <w:spacing w:after="0" w:line="222" w:lineRule="auto"/>
        <w:rPr>
          <w:sz w:val="20"/>
          <w:szCs w:val="20"/>
          <w:color w:val="auto"/>
        </w:rPr>
      </w:pPr>
      <w:r>
        <w:rPr>
          <w:rFonts w:ascii="Arial" w:cs="Arial" w:eastAsia="Arial" w:hAnsi="Arial"/>
          <w:sz w:val="14"/>
          <w:szCs w:val="14"/>
          <w:color w:val="auto"/>
        </w:rPr>
        <w:t>Apartado 0816-01558</w:t>
      </w:r>
    </w:p>
    <w:p>
      <w:pPr>
        <w:ind w:left="8820"/>
        <w:spacing w:after="0"/>
        <w:rPr>
          <w:sz w:val="20"/>
          <w:szCs w:val="20"/>
          <w:color w:val="auto"/>
        </w:rPr>
      </w:pPr>
      <w:r>
        <w:rPr>
          <w:rFonts w:ascii="Arial" w:cs="Arial" w:eastAsia="Arial" w:hAnsi="Arial"/>
          <w:sz w:val="14"/>
          <w:szCs w:val="14"/>
          <w:color w:val="auto"/>
        </w:rPr>
        <w:t>Panamá, Rep. de Panamá</w:t>
      </w:r>
    </w:p>
    <w:p>
      <w:pPr>
        <w:spacing w:after="0" w:line="191" w:lineRule="exact"/>
        <w:rPr>
          <w:sz w:val="20"/>
          <w:szCs w:val="20"/>
          <w:color w:val="auto"/>
        </w:rPr>
      </w:pPr>
    </w:p>
    <w:p>
      <w:pPr>
        <w:ind w:left="8820"/>
        <w:spacing w:after="0"/>
        <w:rPr>
          <w:sz w:val="20"/>
          <w:szCs w:val="20"/>
          <w:color w:val="auto"/>
        </w:rPr>
      </w:pPr>
      <w:r>
        <w:rPr>
          <w:rFonts w:ascii="Arial" w:cs="Arial" w:eastAsia="Arial" w:hAnsi="Arial"/>
          <w:sz w:val="14"/>
          <w:szCs w:val="14"/>
          <w:color w:val="auto"/>
        </w:rPr>
        <w:t>Teléfono: (507) 303-4100</w:t>
      </w:r>
    </w:p>
    <w:p>
      <w:pPr>
        <w:ind w:left="8820"/>
        <w:spacing w:after="0" w:line="221" w:lineRule="auto"/>
        <w:rPr>
          <w:sz w:val="20"/>
          <w:szCs w:val="20"/>
          <w:color w:val="auto"/>
        </w:rPr>
      </w:pPr>
      <w:r>
        <w:rPr>
          <w:rFonts w:ascii="Arial" w:cs="Arial" w:eastAsia="Arial" w:hAnsi="Arial"/>
          <w:sz w:val="14"/>
          <w:szCs w:val="14"/>
          <w:color w:val="auto"/>
        </w:rPr>
        <w:t>Fax: (507) 269-2386</w:t>
      </w:r>
    </w:p>
    <w:p>
      <w:pPr>
        <w:ind w:left="8820"/>
        <w:spacing w:after="0" w:line="221" w:lineRule="auto"/>
        <w:rPr>
          <w:sz w:val="20"/>
          <w:szCs w:val="20"/>
          <w:color w:val="auto"/>
        </w:rPr>
      </w:pPr>
      <w:r>
        <w:rPr>
          <w:rFonts w:ascii="Arial" w:cs="Arial" w:eastAsia="Arial" w:hAnsi="Arial"/>
          <w:sz w:val="14"/>
          <w:szCs w:val="14"/>
          <w:color w:val="auto"/>
        </w:rPr>
        <w:t>infopanama@deloitte.com</w:t>
      </w:r>
    </w:p>
    <w:p>
      <w:pPr>
        <w:spacing w:after="0" w:line="1" w:lineRule="exact"/>
        <w:rPr>
          <w:sz w:val="20"/>
          <w:szCs w:val="20"/>
          <w:color w:val="auto"/>
        </w:rPr>
      </w:pPr>
    </w:p>
    <w:p>
      <w:pPr>
        <w:ind w:left="8820"/>
        <w:spacing w:after="0"/>
        <w:rPr>
          <w:sz w:val="20"/>
          <w:szCs w:val="20"/>
          <w:color w:val="auto"/>
        </w:rPr>
      </w:pPr>
      <w:r>
        <w:rPr>
          <w:rFonts w:ascii="Arial" w:cs="Arial" w:eastAsia="Arial" w:hAnsi="Arial"/>
          <w:sz w:val="14"/>
          <w:szCs w:val="14"/>
          <w:color w:val="auto"/>
        </w:rPr>
        <w:t>www.deloitte.com/pa</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REPORT OF INDEPENDENT REGISTERED PUBLIC ACCOUNTING FIRM</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18"/>
          <w:szCs w:val="18"/>
          <w:color w:val="auto"/>
        </w:rPr>
        <w:t>To the Board of Directors and Stockholders of</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Opinion on the Consolidated Financial Statements</w:t>
      </w:r>
    </w:p>
    <w:p>
      <w:pPr>
        <w:spacing w:after="0" w:line="229"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We have audited the accompanying consolidated statements of financial position of Banco Latinoamericano de Comercio Exterior, S.A. and subsidiaries (the "Bank") as of December 31, 2017 and 2016, and the related consolidated statements of profit or loss, profit or loss and other comprehensive income, changes in equity, and cash flows for each of the three years in the period ended December 31, 2017 and the related notes (collectively referred to as the "consolidated financial statements"). In our opinion, such consolidated financial statements present fairly, in all material respects, the financial position of the Bank as of December 31, 2017 and 2016, and the results of their operations and their cash flows for each of the three years in the period ended December 31, 2017, in conformity with International Financial Reporting Standards, as issued by the International Accounting Standards Board.</w:t>
      </w:r>
    </w:p>
    <w:p>
      <w:pPr>
        <w:spacing w:after="0" w:line="16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We have also audited, in accordance with the standards of the Public Company Accounting Oversight Board (United States) (PCAOB), the Bank's internal control over financial reporting as of December 31, 2017, based on the criteria established in </w:t>
      </w:r>
      <w:r>
        <w:rPr>
          <w:rFonts w:ascii="Arial" w:cs="Arial" w:eastAsia="Arial" w:hAnsi="Arial"/>
          <w:sz w:val="18"/>
          <w:szCs w:val="18"/>
          <w:i w:val="1"/>
          <w:iCs w:val="1"/>
          <w:color w:val="auto"/>
        </w:rPr>
        <w:t>Internal Control - Integrated Framework (2013)</w:t>
      </w:r>
      <w:r>
        <w:rPr>
          <w:rFonts w:ascii="Arial" w:cs="Arial" w:eastAsia="Arial" w:hAnsi="Arial"/>
          <w:sz w:val="18"/>
          <w:szCs w:val="18"/>
          <w:color w:val="auto"/>
        </w:rPr>
        <w:t xml:space="preserve"> issued by the Committee of Sponsoring Organizations of the Treadway Commission and our report dated April 30, 2018 expressed an unqualified opinion on the Bank's internal control over financial reporting.</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Basis for Opinion</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These consolidated financial statements are the responsibility of the Bank's management. Our responsibility is to express an opinion on the Bank 's consolidated financial statements based on our audits. We are a public accounting firm registered with the PCAOB and are required to be independent with respect to the Bank in accordance with the U.S. federal securities laws and the applicable rules and regulations of the Securities and Exchange Commission and the PCAOB.</w:t>
      </w:r>
    </w:p>
    <w:p>
      <w:pPr>
        <w:spacing w:after="0" w:line="187"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We conducted our audits in accordance with the standards of the PCAOB. Those standards require that we plan and perform the audit to obtain reasonable assurance about whether the consolidated financial statements are free of material misstatement, whether due to error or fraud. Our audits included performing procedures to assess the risks of material misstatement of the consolidated financial statements, whether due to error or fraud, and performing procedures that respond to those risks. Such procedures included examining, on a test basis, evidence regarding the amounts and disclosures in the consolidated financial statements. Our audits also included evaluating the accounting principles used and significant estimates made by management, as well as evaluating the overall presentation of the consolidated financial statements. We believe that our audits provide a reasonable basis for our opinion.</w:t>
      </w:r>
    </w:p>
    <w:p>
      <w:pPr>
        <w:spacing w:after="0" w:line="381" w:lineRule="exact"/>
        <w:rPr>
          <w:sz w:val="20"/>
          <w:szCs w:val="20"/>
          <w:color w:val="auto"/>
        </w:rPr>
      </w:pPr>
    </w:p>
    <w:p>
      <w:pPr>
        <w:spacing w:after="0"/>
        <w:rPr>
          <w:sz w:val="20"/>
          <w:szCs w:val="20"/>
          <w:color w:val="auto"/>
        </w:rPr>
      </w:pPr>
      <w:r>
        <w:rPr>
          <w:rFonts w:ascii="Arial" w:cs="Arial" w:eastAsia="Arial" w:hAnsi="Arial"/>
          <w:sz w:val="18"/>
          <w:szCs w:val="18"/>
          <w:color w:val="auto"/>
        </w:rPr>
        <w:t>/s/ Deloitte, Inc.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2658745" cy="889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9">
                      <a:extLst>
                        <a:ext uri="{28A0092B-C50C-407E-A947-70E740481C1C}"/>
                      </a:extLst>
                    </a:blip>
                    <a:srcRect/>
                    <a:stretch>
                      <a:fillRect/>
                    </a:stretch>
                  </pic:blipFill>
                  <pic:spPr bwMode="auto">
                    <a:xfrm>
                      <a:off x="0" y="0"/>
                      <a:ext cx="2658745" cy="8890"/>
                    </a:xfrm>
                    <a:prstGeom prst="rect">
                      <a:avLst/>
                    </a:prstGeom>
                    <a:noFill/>
                  </pic:spPr>
                </pic:pic>
              </a:graphicData>
            </a:graphic>
          </wp:anchor>
        </w:drawing>
      </w:r>
    </w:p>
    <w:p>
      <w:pPr>
        <w:spacing w:after="0" w:line="219" w:lineRule="exact"/>
        <w:rPr>
          <w:sz w:val="20"/>
          <w:szCs w:val="20"/>
          <w:color w:val="auto"/>
        </w:rPr>
      </w:pPr>
    </w:p>
    <w:p>
      <w:pPr>
        <w:spacing w:after="0"/>
        <w:rPr>
          <w:sz w:val="20"/>
          <w:szCs w:val="20"/>
          <w:color w:val="auto"/>
        </w:rPr>
      </w:pPr>
      <w:r>
        <w:rPr>
          <w:rFonts w:ascii="Arial" w:cs="Arial" w:eastAsia="Arial" w:hAnsi="Arial"/>
          <w:sz w:val="18"/>
          <w:szCs w:val="18"/>
          <w:color w:val="auto"/>
        </w:rPr>
        <w:t>April 30, 2018</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18"/>
          <w:szCs w:val="18"/>
          <w:color w:val="auto"/>
        </w:rPr>
        <w:t>We have served as the Bank's auditor since 2007.</w:t>
      </w:r>
    </w:p>
    <w:p>
      <w:pPr>
        <w:spacing w:after="0" w:line="220" w:lineRule="exact"/>
        <w:rPr>
          <w:sz w:val="20"/>
          <w:szCs w:val="20"/>
          <w:color w:val="auto"/>
        </w:rPr>
      </w:pPr>
    </w:p>
    <w:p>
      <w:pPr>
        <w:ind w:left="8820"/>
        <w:spacing w:after="0"/>
        <w:rPr>
          <w:sz w:val="20"/>
          <w:szCs w:val="20"/>
          <w:color w:val="auto"/>
        </w:rPr>
      </w:pPr>
      <w:r>
        <w:rPr>
          <w:rFonts w:ascii="Arial" w:cs="Arial" w:eastAsia="Arial" w:hAnsi="Arial"/>
          <w:sz w:val="14"/>
          <w:szCs w:val="14"/>
          <w:color w:val="auto"/>
        </w:rPr>
        <w:t>Deloitte LATCO</w:t>
      </w:r>
    </w:p>
    <w:p>
      <w:pPr>
        <w:ind w:left="8820"/>
        <w:spacing w:after="0" w:line="221" w:lineRule="auto"/>
        <w:rPr>
          <w:sz w:val="20"/>
          <w:szCs w:val="20"/>
          <w:color w:val="auto"/>
        </w:rPr>
      </w:pPr>
      <w:r>
        <w:rPr>
          <w:rFonts w:ascii="Arial" w:cs="Arial" w:eastAsia="Arial" w:hAnsi="Arial"/>
          <w:sz w:val="14"/>
          <w:szCs w:val="14"/>
          <w:color w:val="auto"/>
        </w:rPr>
        <w:t>Firma miembro de</w:t>
      </w:r>
    </w:p>
    <w:p>
      <w:pPr>
        <w:ind w:left="8820"/>
        <w:spacing w:after="0"/>
        <w:rPr>
          <w:sz w:val="20"/>
          <w:szCs w:val="20"/>
          <w:color w:val="auto"/>
        </w:rPr>
      </w:pPr>
      <w:r>
        <w:rPr>
          <w:rFonts w:ascii="Arial" w:cs="Arial" w:eastAsia="Arial" w:hAnsi="Arial"/>
          <w:sz w:val="14"/>
          <w:szCs w:val="14"/>
          <w:color w:val="auto"/>
        </w:rPr>
        <w:t>Deloitte Touche Tohmatsu Limited</w:t>
      </w:r>
    </w:p>
    <w:p>
      <w:pPr>
        <w:spacing w:after="0" w:line="19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4" w:right="239" w:bottom="1440" w:gutter="0" w:footer="0" w:header="0"/>
        </w:sectPr>
      </w:pPr>
    </w:p>
    <w:bookmarkStart w:id="125" w:name="page126"/>
    <w:bookmarkEnd w:id="1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and 2016</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20" w:type="dxa"/>
            <w:vAlign w:val="bottom"/>
          </w:tcPr>
          <w:p>
            <w:pPr>
              <w:spacing w:after="0"/>
              <w:rPr>
                <w:sz w:val="21"/>
                <w:szCs w:val="21"/>
                <w:color w:val="auto"/>
              </w:rPr>
            </w:pPr>
          </w:p>
        </w:tc>
        <w:tc>
          <w:tcPr>
            <w:tcW w:w="6480" w:type="dxa"/>
            <w:vAlign w:val="bottom"/>
            <w:tcBorders>
              <w:bottom w:val="single" w:sz="8" w:color="CCEEFF"/>
            </w:tcBorders>
          </w:tcPr>
          <w:p>
            <w:pPr>
              <w:spacing w:after="0"/>
              <w:rPr>
                <w:sz w:val="21"/>
                <w:szCs w:val="21"/>
                <w:color w:val="auto"/>
              </w:rPr>
            </w:pPr>
          </w:p>
        </w:tc>
        <w:tc>
          <w:tcPr>
            <w:tcW w:w="1640" w:type="dxa"/>
            <w:vAlign w:val="bottom"/>
            <w:tcBorders>
              <w:bottom w:val="single" w:sz="8" w:color="CCEEFF"/>
            </w:tcBorders>
          </w:tcPr>
          <w:p>
            <w:pPr>
              <w:ind w:left="620"/>
              <w:spacing w:after="0"/>
              <w:rPr>
                <w:sz w:val="20"/>
                <w:szCs w:val="20"/>
                <w:color w:val="auto"/>
              </w:rPr>
            </w:pPr>
            <w:r>
              <w:rPr>
                <w:rFonts w:ascii="Arial" w:cs="Arial" w:eastAsia="Arial" w:hAnsi="Arial"/>
                <w:sz w:val="18"/>
                <w:szCs w:val="18"/>
                <w:b w:val="1"/>
                <w:bCs w:val="1"/>
                <w:color w:val="auto"/>
              </w:rPr>
              <w:t>Notes</w:t>
            </w: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1"/>
                <w:szCs w:val="21"/>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6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1640" w:type="dxa"/>
            <w:vAlign w:val="bottom"/>
          </w:tcPr>
          <w:p>
            <w:pPr>
              <w:jc w:val="center"/>
              <w:spacing w:after="0"/>
              <w:rPr>
                <w:sz w:val="20"/>
                <w:szCs w:val="20"/>
                <w:color w:val="auto"/>
              </w:rPr>
            </w:pPr>
            <w:r>
              <w:rPr>
                <w:rFonts w:ascii="Arial" w:cs="Arial" w:eastAsia="Arial" w:hAnsi="Arial"/>
                <w:sz w:val="18"/>
                <w:szCs w:val="18"/>
                <w:color w:val="auto"/>
                <w:w w:val="87"/>
              </w:rPr>
              <w:t>4,18,27.2</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672,048</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1,069,538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w:t>
            </w:r>
          </w:p>
        </w:tc>
        <w:tc>
          <w:tcPr>
            <w:tcW w:w="16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ind w:left="160"/>
              <w:spacing w:after="0"/>
              <w:rPr>
                <w:sz w:val="20"/>
                <w:szCs w:val="20"/>
                <w:color w:val="auto"/>
              </w:rPr>
            </w:pPr>
            <w:r>
              <w:rPr>
                <w:rFonts w:ascii="Arial" w:cs="Arial" w:eastAsia="Arial" w:hAnsi="Arial"/>
                <w:sz w:val="18"/>
                <w:szCs w:val="18"/>
                <w:color w:val="auto"/>
              </w:rPr>
              <w:t>At fair value through OCI</w:t>
            </w:r>
          </w:p>
        </w:tc>
        <w:tc>
          <w:tcPr>
            <w:tcW w:w="1640" w:type="dxa"/>
            <w:vAlign w:val="bottom"/>
          </w:tcPr>
          <w:p>
            <w:pPr>
              <w:jc w:val="center"/>
              <w:spacing w:after="0"/>
              <w:rPr>
                <w:sz w:val="20"/>
                <w:szCs w:val="20"/>
                <w:color w:val="auto"/>
              </w:rPr>
            </w:pPr>
            <w:r>
              <w:rPr>
                <w:rFonts w:ascii="Arial" w:cs="Arial" w:eastAsia="Arial" w:hAnsi="Arial"/>
                <w:sz w:val="18"/>
                <w:szCs w:val="18"/>
                <w:color w:val="auto"/>
                <w:w w:val="91"/>
              </w:rPr>
              <w:t>5.2,18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25,135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30,607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amortized cost, net</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5.3,18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68,934</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77,214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spacing w:after="0"/>
              <w:rPr>
                <w:sz w:val="20"/>
                <w:szCs w:val="20"/>
                <w:color w:val="auto"/>
              </w:rPr>
            </w:pPr>
            <w:r>
              <w:rPr>
                <w:rFonts w:ascii="Arial" w:cs="Arial" w:eastAsia="Arial" w:hAnsi="Arial"/>
                <w:sz w:val="18"/>
                <w:szCs w:val="18"/>
                <w:color w:val="auto"/>
              </w:rPr>
              <w:t>Loans</w:t>
            </w:r>
          </w:p>
        </w:tc>
        <w:tc>
          <w:tcPr>
            <w:tcW w:w="1640" w:type="dxa"/>
            <w:vAlign w:val="bottom"/>
          </w:tcPr>
          <w:p>
            <w:pPr>
              <w:jc w:val="center"/>
              <w:spacing w:after="0"/>
              <w:rPr>
                <w:sz w:val="20"/>
                <w:szCs w:val="20"/>
                <w:color w:val="auto"/>
              </w:rPr>
            </w:pPr>
            <w:r>
              <w:rPr>
                <w:rFonts w:ascii="Arial" w:cs="Arial" w:eastAsia="Arial" w:hAnsi="Arial"/>
                <w:sz w:val="18"/>
                <w:szCs w:val="18"/>
                <w:color w:val="auto"/>
                <w:w w:val="89"/>
              </w:rPr>
              <w:t>5.5,27.2,27.3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5,505,658</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6,020,731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Less:</w:t>
            </w:r>
          </w:p>
        </w:tc>
        <w:tc>
          <w:tcPr>
            <w:tcW w:w="16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ind w:left="320"/>
              <w:spacing w:after="0"/>
              <w:rPr>
                <w:sz w:val="20"/>
                <w:szCs w:val="20"/>
                <w:color w:val="auto"/>
              </w:rPr>
            </w:pPr>
            <w:r>
              <w:rPr>
                <w:rFonts w:ascii="Arial" w:cs="Arial" w:eastAsia="Arial" w:hAnsi="Arial"/>
                <w:sz w:val="18"/>
                <w:szCs w:val="18"/>
                <w:color w:val="auto"/>
              </w:rPr>
              <w:t>Allowance for expected credit losses</w:t>
            </w:r>
          </w:p>
        </w:tc>
        <w:tc>
          <w:tcPr>
            <w:tcW w:w="1640" w:type="dxa"/>
            <w:vAlign w:val="bottom"/>
          </w:tcPr>
          <w:p>
            <w:pPr>
              <w:jc w:val="center"/>
              <w:spacing w:after="0"/>
              <w:rPr>
                <w:sz w:val="20"/>
                <w:szCs w:val="20"/>
                <w:color w:val="auto"/>
              </w:rPr>
            </w:pPr>
            <w:r>
              <w:rPr>
                <w:rFonts w:ascii="Arial" w:cs="Arial" w:eastAsia="Arial" w:hAnsi="Arial"/>
                <w:sz w:val="18"/>
                <w:szCs w:val="18"/>
                <w:color w:val="auto"/>
                <w:w w:val="90"/>
              </w:rPr>
              <w:t>5.5,17,27.2</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81,294</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105,988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Unearned interest and deferred fees</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5.5,27.2</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4,985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7,249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80" w:type="dxa"/>
            <w:vAlign w:val="bottom"/>
          </w:tcPr>
          <w:p>
            <w:pPr>
              <w:spacing w:after="0"/>
              <w:rPr>
                <w:sz w:val="20"/>
                <w:szCs w:val="20"/>
                <w:color w:val="auto"/>
              </w:rPr>
            </w:pPr>
            <w:r>
              <w:rPr>
                <w:rFonts w:ascii="Arial" w:cs="Arial" w:eastAsia="Arial" w:hAnsi="Arial"/>
                <w:sz w:val="18"/>
                <w:szCs w:val="18"/>
                <w:color w:val="auto"/>
              </w:rPr>
              <w:t>Loans, net</w:t>
            </w:r>
          </w:p>
        </w:tc>
        <w:tc>
          <w:tcPr>
            <w:tcW w:w="164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5,419,379</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5,907,494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8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80" w:type="dxa"/>
            <w:vAlign w:val="bottom"/>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640" w:type="dxa"/>
            <w:vAlign w:val="bottom"/>
          </w:tcPr>
          <w:p>
            <w:pPr>
              <w:jc w:val="center"/>
              <w:spacing w:after="0"/>
              <w:rPr>
                <w:sz w:val="20"/>
                <w:szCs w:val="20"/>
                <w:color w:val="auto"/>
              </w:rPr>
            </w:pPr>
            <w:r>
              <w:rPr>
                <w:rFonts w:ascii="Arial" w:cs="Arial" w:eastAsia="Arial" w:hAnsi="Arial"/>
                <w:sz w:val="18"/>
                <w:szCs w:val="18"/>
                <w:color w:val="auto"/>
                <w:w w:val="89"/>
              </w:rPr>
              <w:t>5.6,5.7,17,18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13,338</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9,352</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8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80" w:type="dxa"/>
            <w:vAlign w:val="bottom"/>
          </w:tcPr>
          <w:p>
            <w:pPr>
              <w:spacing w:after="0"/>
              <w:rPr>
                <w:sz w:val="20"/>
                <w:szCs w:val="20"/>
                <w:color w:val="auto"/>
              </w:rPr>
            </w:pPr>
            <w:r>
              <w:rPr>
                <w:rFonts w:ascii="Arial" w:cs="Arial" w:eastAsia="Arial" w:hAnsi="Arial"/>
                <w:sz w:val="18"/>
                <w:szCs w:val="18"/>
                <w:color w:val="auto"/>
              </w:rPr>
              <w:t>Property and equipment, net</w:t>
            </w:r>
          </w:p>
        </w:tc>
        <w:tc>
          <w:tcPr>
            <w:tcW w:w="1640" w:type="dxa"/>
            <w:vAlign w:val="bottom"/>
          </w:tcPr>
          <w:p>
            <w:pPr>
              <w:jc w:val="center"/>
              <w:spacing w:after="0"/>
              <w:rPr>
                <w:sz w:val="20"/>
                <w:szCs w:val="20"/>
                <w:color w:val="auto"/>
              </w:rPr>
            </w:pPr>
            <w:r>
              <w:rPr>
                <w:rFonts w:ascii="Arial" w:cs="Arial" w:eastAsia="Arial" w:hAnsi="Arial"/>
                <w:sz w:val="18"/>
                <w:szCs w:val="18"/>
                <w:color w:val="auto"/>
                <w:w w:val="85"/>
              </w:rPr>
              <w:t>7,17</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7,420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8,549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5"/>
              </w:rPr>
              <w:t>8,17</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5,425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2,909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8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6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ind w:left="160"/>
              <w:spacing w:after="0"/>
              <w:rPr>
                <w:sz w:val="20"/>
                <w:szCs w:val="20"/>
                <w:color w:val="auto"/>
              </w:rPr>
            </w:pPr>
            <w:r>
              <w:rPr>
                <w:rFonts w:ascii="Arial" w:cs="Arial" w:eastAsia="Arial" w:hAnsi="Arial"/>
                <w:sz w:val="18"/>
                <w:szCs w:val="18"/>
                <w:color w:val="auto"/>
              </w:rPr>
              <w:t>Customers' liabilities under acceptances</w:t>
            </w:r>
          </w:p>
        </w:tc>
        <w:tc>
          <w:tcPr>
            <w:tcW w:w="1640" w:type="dxa"/>
            <w:vAlign w:val="bottom"/>
          </w:tcPr>
          <w:p>
            <w:pPr>
              <w:jc w:val="center"/>
              <w:spacing w:after="0"/>
              <w:rPr>
                <w:sz w:val="20"/>
                <w:szCs w:val="20"/>
                <w:color w:val="auto"/>
              </w:rPr>
            </w:pPr>
            <w:r>
              <w:rPr>
                <w:rFonts w:ascii="Arial" w:cs="Arial" w:eastAsia="Arial" w:hAnsi="Arial"/>
                <w:sz w:val="18"/>
                <w:szCs w:val="18"/>
                <w:color w:val="auto"/>
                <w:w w:val="93"/>
              </w:rPr>
              <w:t>18,17</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6,369</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19,387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Accrued interest receivable</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18,17</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30,872</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44,187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tcPr>
          <w:p>
            <w:pPr>
              <w:ind w:left="160"/>
              <w:spacing w:after="0"/>
              <w:rPr>
                <w:sz w:val="20"/>
                <w:szCs w:val="20"/>
                <w:color w:val="auto"/>
              </w:rPr>
            </w:pPr>
            <w:r>
              <w:rPr>
                <w:rFonts w:ascii="Arial" w:cs="Arial" w:eastAsia="Arial" w:hAnsi="Arial"/>
                <w:sz w:val="18"/>
                <w:szCs w:val="18"/>
                <w:color w:val="auto"/>
              </w:rPr>
              <w:t>Other assets</w:t>
            </w:r>
          </w:p>
        </w:tc>
        <w:tc>
          <w:tcPr>
            <w:tcW w:w="1640" w:type="dxa"/>
            <w:vAlign w:val="bottom"/>
          </w:tcPr>
          <w:p>
            <w:pPr>
              <w:jc w:val="center"/>
              <w:spacing w:after="0"/>
              <w:rPr>
                <w:sz w:val="20"/>
                <w:szCs w:val="20"/>
                <w:color w:val="auto"/>
              </w:rPr>
            </w:pPr>
            <w:r>
              <w:rPr>
                <w:rFonts w:ascii="Arial" w:cs="Arial" w:eastAsia="Arial" w:hAnsi="Arial"/>
                <w:sz w:val="18"/>
                <w:szCs w:val="18"/>
                <w:color w:val="auto"/>
                <w:w w:val="85"/>
              </w:rPr>
              <w:t>9,17</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18,827</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11,546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of other assets</w:t>
            </w:r>
          </w:p>
        </w:tc>
        <w:tc>
          <w:tcPr>
            <w:tcW w:w="164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56,068</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75,120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64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assets</w:t>
            </w:r>
          </w:p>
        </w:tc>
        <w:tc>
          <w:tcPr>
            <w:tcW w:w="1640" w:type="dxa"/>
            <w:vAlign w:val="bottom"/>
            <w:tcBorders>
              <w:bottom w:val="single" w:sz="8" w:color="CCEEFF"/>
            </w:tcBorders>
          </w:tcPr>
          <w:p>
            <w:pPr>
              <w:spacing w:after="0"/>
              <w:rPr>
                <w:sz w:val="22"/>
                <w:szCs w:val="22"/>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6,267,747</w:t>
            </w:r>
          </w:p>
        </w:tc>
        <w:tc>
          <w:tcPr>
            <w:tcW w:w="220" w:type="dxa"/>
            <w:vAlign w:val="bottom"/>
            <w:tcBorders>
              <w:bottom w:val="single" w:sz="8" w:color="CCEEFF"/>
            </w:tcBorders>
          </w:tcPr>
          <w:p>
            <w:pPr>
              <w:spacing w:after="0"/>
              <w:rPr>
                <w:sz w:val="22"/>
                <w:szCs w:val="22"/>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7,180,783</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6480" w:type="dxa"/>
            <w:vAlign w:val="bottom"/>
            <w:shd w:val="clear" w:color="auto" w:fill="CCEEFF"/>
          </w:tcPr>
          <w:p>
            <w:pPr>
              <w:spacing w:after="0"/>
              <w:rPr>
                <w:sz w:val="17"/>
                <w:szCs w:val="17"/>
                <w:color w:val="auto"/>
              </w:rPr>
            </w:pPr>
          </w:p>
        </w:tc>
        <w:tc>
          <w:tcPr>
            <w:tcW w:w="164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80" w:type="dxa"/>
            <w:vAlign w:val="bottom"/>
          </w:tcPr>
          <w:p>
            <w:pPr>
              <w:spacing w:after="0"/>
              <w:rPr>
                <w:sz w:val="20"/>
                <w:szCs w:val="20"/>
                <w:color w:val="auto"/>
              </w:rPr>
            </w:pPr>
            <w:r>
              <w:rPr>
                <w:rFonts w:ascii="Arial" w:cs="Arial" w:eastAsia="Arial" w:hAnsi="Arial"/>
                <w:sz w:val="18"/>
                <w:szCs w:val="18"/>
                <w:b w:val="1"/>
                <w:bCs w:val="1"/>
                <w:color w:val="auto"/>
              </w:rPr>
              <w:t>Liabilities and stockholders' equity</w:t>
            </w:r>
          </w:p>
        </w:tc>
        <w:tc>
          <w:tcPr>
            <w:tcW w:w="16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10,18,27.2,27.3</w:t>
            </w: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ind w:left="160"/>
              <w:spacing w:after="0"/>
              <w:rPr>
                <w:sz w:val="20"/>
                <w:szCs w:val="20"/>
                <w:color w:val="auto"/>
              </w:rPr>
            </w:pPr>
            <w:r>
              <w:rPr>
                <w:rFonts w:ascii="Arial" w:cs="Arial" w:eastAsia="Arial" w:hAnsi="Arial"/>
                <w:sz w:val="18"/>
                <w:szCs w:val="18"/>
                <w:color w:val="auto"/>
              </w:rPr>
              <w:t>Noninterest-bearing - Demand</w:t>
            </w:r>
          </w:p>
        </w:tc>
        <w:tc>
          <w:tcPr>
            <w:tcW w:w="164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420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1,617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Interest-bearing - Demand</w:t>
            </w:r>
          </w:p>
        </w:tc>
        <w:tc>
          <w:tcPr>
            <w:tcW w:w="164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81,644</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125,397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tcPr>
          <w:p>
            <w:pPr>
              <w:ind w:left="160"/>
              <w:spacing w:after="0"/>
              <w:rPr>
                <w:sz w:val="20"/>
                <w:szCs w:val="20"/>
                <w:color w:val="auto"/>
              </w:rPr>
            </w:pPr>
            <w:r>
              <w:rPr>
                <w:rFonts w:ascii="Arial" w:cs="Arial" w:eastAsia="Arial" w:hAnsi="Arial"/>
                <w:sz w:val="18"/>
                <w:szCs w:val="18"/>
                <w:color w:val="auto"/>
              </w:rPr>
              <w:t>Time</w:t>
            </w:r>
          </w:p>
        </w:tc>
        <w:tc>
          <w:tcPr>
            <w:tcW w:w="1640" w:type="dxa"/>
            <w:vAlign w:val="bottom"/>
          </w:tcPr>
          <w:p>
            <w:pPr>
              <w:spacing w:after="0"/>
              <w:rPr>
                <w:sz w:val="19"/>
                <w:szCs w:val="19"/>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2,846,780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2,675,838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164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2,928,844</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2,802,852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48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payable</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5.6,5.7,18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34,943</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59,686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8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Financial liabilities through profit or loss</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5.1,5.7,18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spacing w:after="0"/>
              <w:rPr>
                <w:sz w:val="20"/>
                <w:szCs w:val="20"/>
                <w:color w:val="auto"/>
              </w:rPr>
            </w:pPr>
            <w:r>
              <w:rPr>
                <w:rFonts w:ascii="Arial" w:cs="Arial" w:eastAsia="Arial" w:hAnsi="Arial"/>
                <w:sz w:val="18"/>
                <w:szCs w:val="18"/>
                <w:color w:val="auto"/>
              </w:rPr>
              <w:t>Short-term borrowings and debt</w:t>
            </w:r>
          </w:p>
        </w:tc>
        <w:tc>
          <w:tcPr>
            <w:tcW w:w="1640" w:type="dxa"/>
            <w:vAlign w:val="bottom"/>
          </w:tcPr>
          <w:p>
            <w:pPr>
              <w:jc w:val="center"/>
              <w:spacing w:after="0"/>
              <w:rPr>
                <w:sz w:val="20"/>
                <w:szCs w:val="20"/>
                <w:color w:val="auto"/>
              </w:rPr>
            </w:pPr>
            <w:r>
              <w:rPr>
                <w:rFonts w:ascii="Arial" w:cs="Arial" w:eastAsia="Arial" w:hAnsi="Arial"/>
                <w:sz w:val="18"/>
                <w:szCs w:val="18"/>
                <w:color w:val="auto"/>
                <w:w w:val="89"/>
              </w:rPr>
              <w:t>12.1,18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1,072,723</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1,470,075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12.2,18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1,138,844</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1,776,738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8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64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ind w:left="160"/>
              <w:spacing w:after="0"/>
              <w:rPr>
                <w:sz w:val="20"/>
                <w:szCs w:val="20"/>
                <w:color w:val="auto"/>
              </w:rPr>
            </w:pPr>
            <w:r>
              <w:rPr>
                <w:rFonts w:ascii="Arial" w:cs="Arial" w:eastAsia="Arial" w:hAnsi="Arial"/>
                <w:sz w:val="18"/>
                <w:szCs w:val="18"/>
                <w:color w:val="auto"/>
              </w:rPr>
              <w:t>Acceptances outstanding</w:t>
            </w:r>
          </w:p>
        </w:tc>
        <w:tc>
          <w:tcPr>
            <w:tcW w:w="1640" w:type="dxa"/>
            <w:vAlign w:val="bottom"/>
          </w:tcPr>
          <w:p>
            <w:pPr>
              <w:jc w:val="center"/>
              <w:spacing w:after="0"/>
              <w:rPr>
                <w:sz w:val="20"/>
                <w:szCs w:val="20"/>
                <w:color w:val="auto"/>
              </w:rPr>
            </w:pPr>
            <w:r>
              <w:rPr>
                <w:rFonts w:ascii="Arial" w:cs="Arial" w:eastAsia="Arial" w:hAnsi="Arial"/>
                <w:sz w:val="18"/>
                <w:szCs w:val="18"/>
                <w:color w:val="auto"/>
                <w:w w:val="89"/>
              </w:rPr>
              <w:t>18</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6,369</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19,387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Accrued interest payable</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15,816</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16,603</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480" w:type="dxa"/>
            <w:vAlign w:val="bottom"/>
          </w:tcPr>
          <w:p>
            <w:pPr>
              <w:ind w:left="160"/>
              <w:spacing w:after="0" w:line="201" w:lineRule="exact"/>
              <w:rPr>
                <w:sz w:val="20"/>
                <w:szCs w:val="20"/>
                <w:color w:val="auto"/>
              </w:rPr>
            </w:pPr>
            <w:r>
              <w:rPr>
                <w:rFonts w:ascii="Arial" w:cs="Arial" w:eastAsia="Arial" w:hAnsi="Arial"/>
                <w:sz w:val="18"/>
                <w:szCs w:val="18"/>
                <w:color w:val="auto"/>
                <w:w w:val="94"/>
              </w:rPr>
              <w:t>Allowance for expected credit losses on loan commitments and financial guarantees</w:t>
            </w:r>
          </w:p>
        </w:tc>
        <w:tc>
          <w:tcPr>
            <w:tcW w:w="164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480" w:type="dxa"/>
            <w:vAlign w:val="bottom"/>
          </w:tcPr>
          <w:p>
            <w:pPr>
              <w:ind w:left="280"/>
              <w:spacing w:after="0"/>
              <w:rPr>
                <w:sz w:val="20"/>
                <w:szCs w:val="20"/>
                <w:color w:val="auto"/>
              </w:rPr>
            </w:pPr>
            <w:r>
              <w:rPr>
                <w:rFonts w:ascii="Arial" w:cs="Arial" w:eastAsia="Arial" w:hAnsi="Arial"/>
                <w:sz w:val="18"/>
                <w:szCs w:val="18"/>
                <w:color w:val="auto"/>
              </w:rPr>
              <w:t>contracts</w:t>
            </w:r>
          </w:p>
        </w:tc>
        <w:tc>
          <w:tcPr>
            <w:tcW w:w="1640" w:type="dxa"/>
            <w:vAlign w:val="bottom"/>
          </w:tcPr>
          <w:p>
            <w:pPr>
              <w:jc w:val="center"/>
              <w:spacing w:after="0"/>
              <w:rPr>
                <w:sz w:val="20"/>
                <w:szCs w:val="20"/>
                <w:color w:val="auto"/>
              </w:rPr>
            </w:pPr>
            <w:r>
              <w:rPr>
                <w:rFonts w:ascii="Arial" w:cs="Arial" w:eastAsia="Arial" w:hAnsi="Arial"/>
                <w:sz w:val="18"/>
                <w:szCs w:val="18"/>
                <w:color w:val="auto"/>
                <w:w w:val="99"/>
              </w:rPr>
              <w:t>6</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6,845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5,776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liabilities</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20,551</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18,328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liabilities</w:t>
            </w:r>
          </w:p>
        </w:tc>
        <w:tc>
          <w:tcPr>
            <w:tcW w:w="164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49,581</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60,094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64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5,224,935</w:t>
            </w:r>
          </w:p>
        </w:tc>
        <w:tc>
          <w:tcPr>
            <w:tcW w:w="2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6,169,469</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48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Stockholders' equity:</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14,15,16,19</w:t>
            </w: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spacing w:after="0"/>
              <w:rPr>
                <w:sz w:val="20"/>
                <w:szCs w:val="20"/>
                <w:color w:val="auto"/>
              </w:rPr>
            </w:pPr>
            <w:r>
              <w:rPr>
                <w:rFonts w:ascii="Arial" w:cs="Arial" w:eastAsia="Arial" w:hAnsi="Arial"/>
                <w:sz w:val="18"/>
                <w:szCs w:val="18"/>
                <w:color w:val="auto"/>
              </w:rPr>
              <w:t>Common stock</w:t>
            </w:r>
          </w:p>
        </w:tc>
        <w:tc>
          <w:tcPr>
            <w:tcW w:w="164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279,980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15</w:t>
            </w:r>
          </w:p>
        </w:tc>
        <w:tc>
          <w:tcPr>
            <w:tcW w:w="1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(63,248)</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(69,176)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164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119,941</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120,594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164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95,210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80" w:type="dxa"/>
            <w:vAlign w:val="bottom"/>
          </w:tcPr>
          <w:p>
            <w:pPr>
              <w:spacing w:after="0"/>
              <w:rPr>
                <w:sz w:val="20"/>
                <w:szCs w:val="20"/>
                <w:color w:val="auto"/>
              </w:rPr>
            </w:pPr>
            <w:r>
              <w:rPr>
                <w:rFonts w:ascii="Arial" w:cs="Arial" w:eastAsia="Arial" w:hAnsi="Arial"/>
                <w:sz w:val="18"/>
                <w:szCs w:val="18"/>
                <w:color w:val="auto"/>
              </w:rPr>
              <w:t>Retained earnings</w:t>
            </w:r>
          </w:p>
        </w:tc>
        <w:tc>
          <w:tcPr>
            <w:tcW w:w="164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608,966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587,507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color w:val="auto"/>
              </w:rPr>
              <w:t>Accumulated other comprehensive income (loss)</w:t>
            </w:r>
          </w:p>
        </w:tc>
        <w:tc>
          <w:tcPr>
            <w:tcW w:w="1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5.2,5.6,19</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1,963</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(2,801)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stockholders' equity</w:t>
            </w:r>
          </w:p>
        </w:tc>
        <w:tc>
          <w:tcPr>
            <w:tcW w:w="164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1,042,812</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1,011,314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4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 and stockholders' equity</w:t>
            </w:r>
          </w:p>
        </w:tc>
        <w:tc>
          <w:tcPr>
            <w:tcW w:w="1640" w:type="dxa"/>
            <w:vAlign w:val="bottom"/>
            <w:tcBorders>
              <w:bottom w:val="single" w:sz="8" w:color="CCEEFF"/>
            </w:tcBorders>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6,267,747</w:t>
            </w:r>
          </w:p>
        </w:tc>
        <w:tc>
          <w:tcPr>
            <w:tcW w:w="220" w:type="dxa"/>
            <w:vAlign w:val="bottom"/>
            <w:tcBorders>
              <w:bottom w:val="single" w:sz="8" w:color="CCEEFF"/>
            </w:tcBorders>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7,180,783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80" w:type="dxa"/>
            <w:vAlign w:val="bottom"/>
          </w:tcPr>
          <w:p>
            <w:pPr>
              <w:spacing w:after="0" w:line="20" w:lineRule="exact"/>
              <w:rPr>
                <w:sz w:val="1"/>
                <w:szCs w:val="1"/>
                <w:color w:val="auto"/>
              </w:rPr>
            </w:pPr>
          </w:p>
        </w:tc>
        <w:tc>
          <w:tcPr>
            <w:tcW w:w="164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26" w:name="page127"/>
    <w:bookmarkEnd w:id="1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20" w:type="dxa"/>
            <w:vAlign w:val="bottom"/>
          </w:tcPr>
          <w:p>
            <w:pPr>
              <w:spacing w:after="0"/>
              <w:rPr>
                <w:sz w:val="21"/>
                <w:szCs w:val="21"/>
                <w:color w:val="auto"/>
              </w:rPr>
            </w:pPr>
          </w:p>
        </w:tc>
        <w:tc>
          <w:tcPr>
            <w:tcW w:w="6300" w:type="dxa"/>
            <w:vAlign w:val="bottom"/>
          </w:tcPr>
          <w:p>
            <w:pPr>
              <w:spacing w:after="0"/>
              <w:rPr>
                <w:sz w:val="21"/>
                <w:szCs w:val="21"/>
                <w:color w:val="auto"/>
              </w:rPr>
            </w:pPr>
          </w:p>
        </w:tc>
        <w:tc>
          <w:tcPr>
            <w:tcW w:w="1140" w:type="dxa"/>
            <w:vAlign w:val="bottom"/>
          </w:tcPr>
          <w:p>
            <w:pPr>
              <w:ind w:left="280"/>
              <w:spacing w:after="0"/>
              <w:rPr>
                <w:sz w:val="20"/>
                <w:szCs w:val="20"/>
                <w:color w:val="auto"/>
              </w:rPr>
            </w:pPr>
            <w:r>
              <w:rPr>
                <w:rFonts w:ascii="Arial" w:cs="Arial" w:eastAsia="Arial" w:hAnsi="Arial"/>
                <w:sz w:val="18"/>
                <w:szCs w:val="18"/>
                <w:b w:val="1"/>
                <w:bCs w:val="1"/>
                <w:color w:val="auto"/>
              </w:rPr>
              <w:t>Notes</w:t>
            </w: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2017</w:t>
            </w:r>
          </w:p>
        </w:tc>
        <w:tc>
          <w:tcPr>
            <w:tcW w:w="200" w:type="dxa"/>
            <w:vAlign w:val="bottom"/>
          </w:tcPr>
          <w:p>
            <w:pPr>
              <w:spacing w:after="0"/>
              <w:rPr>
                <w:sz w:val="21"/>
                <w:szCs w:val="21"/>
                <w:color w:val="auto"/>
              </w:rPr>
            </w:pPr>
          </w:p>
        </w:tc>
        <w:tc>
          <w:tcPr>
            <w:tcW w:w="114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1"/>
                <w:szCs w:val="21"/>
                <w:color w:val="auto"/>
              </w:rPr>
            </w:pPr>
          </w:p>
        </w:tc>
        <w:tc>
          <w:tcPr>
            <w:tcW w:w="114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3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1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Deposits</w:t>
            </w:r>
          </w:p>
        </w:tc>
        <w:tc>
          <w:tcPr>
            <w:tcW w:w="1140" w:type="dxa"/>
            <w:vAlign w:val="bottom"/>
          </w:tcPr>
          <w:p>
            <w:pPr>
              <w:spacing w:after="0"/>
              <w:rPr>
                <w:sz w:val="18"/>
                <w:szCs w:val="18"/>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10,261</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4,472</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2,050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At fair value through OCI</w:t>
            </w:r>
          </w:p>
        </w:tc>
        <w:tc>
          <w:tcPr>
            <w:tcW w:w="11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545</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2,254</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6,033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Securities at amortized cost</w:t>
            </w:r>
          </w:p>
        </w:tc>
        <w:tc>
          <w:tcPr>
            <w:tcW w:w="1140" w:type="dxa"/>
            <w:vAlign w:val="bottom"/>
          </w:tcPr>
          <w:p>
            <w:pPr>
              <w:spacing w:after="0"/>
              <w:rPr>
                <w:sz w:val="18"/>
                <w:szCs w:val="18"/>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1,947</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2,780</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2,371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Loans</w:t>
            </w:r>
          </w:p>
        </w:tc>
        <w:tc>
          <w:tcPr>
            <w:tcW w:w="114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213,326</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236,392</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209,858</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income</w:t>
            </w:r>
          </w:p>
        </w:tc>
        <w:tc>
          <w:tcPr>
            <w:tcW w:w="1140" w:type="dxa"/>
            <w:vAlign w:val="bottom"/>
            <w:tcBorders>
              <w:bottom w:val="single" w:sz="8" w:color="CCEEFF"/>
            </w:tcBorders>
          </w:tcPr>
          <w:p>
            <w:pPr>
              <w:jc w:val="center"/>
              <w:ind w:right="30"/>
              <w:spacing w:after="0"/>
              <w:rPr>
                <w:sz w:val="20"/>
                <w:szCs w:val="20"/>
                <w:color w:val="auto"/>
              </w:rPr>
            </w:pPr>
            <w:r>
              <w:rPr>
                <w:rFonts w:ascii="Arial" w:cs="Arial" w:eastAsia="Arial" w:hAnsi="Arial"/>
                <w:sz w:val="18"/>
                <w:szCs w:val="18"/>
                <w:color w:val="auto"/>
                <w:w w:val="89"/>
              </w:rPr>
              <w:t>17</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226,079</w:t>
            </w:r>
          </w:p>
        </w:tc>
        <w:tc>
          <w:tcPr>
            <w:tcW w:w="20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245,898</w:t>
            </w:r>
          </w:p>
        </w:tc>
        <w:tc>
          <w:tcPr>
            <w:tcW w:w="22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220,312</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expense:</w:t>
            </w:r>
          </w:p>
        </w:tc>
        <w:tc>
          <w:tcPr>
            <w:tcW w:w="11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Deposits</w:t>
            </w:r>
          </w:p>
        </w:tc>
        <w:tc>
          <w:tcPr>
            <w:tcW w:w="1140" w:type="dxa"/>
            <w:vAlign w:val="bottom"/>
          </w:tcPr>
          <w:p>
            <w:pPr>
              <w:spacing w:after="0"/>
              <w:rPr>
                <w:sz w:val="18"/>
                <w:szCs w:val="18"/>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42,847</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20,131</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11,788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Short and long-term borrowings and debt</w:t>
            </w:r>
          </w:p>
        </w:tc>
        <w:tc>
          <w:tcPr>
            <w:tcW w:w="114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63,417</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70,558</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63,045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1140" w:type="dxa"/>
            <w:vAlign w:val="bottom"/>
            <w:tcBorders>
              <w:bottom w:val="single" w:sz="8" w:color="CCEEFF"/>
            </w:tcBorders>
          </w:tcPr>
          <w:p>
            <w:pPr>
              <w:jc w:val="center"/>
              <w:ind w:right="30"/>
              <w:spacing w:after="0"/>
              <w:rPr>
                <w:sz w:val="20"/>
                <w:szCs w:val="20"/>
                <w:color w:val="auto"/>
              </w:rPr>
            </w:pPr>
            <w:r>
              <w:rPr>
                <w:rFonts w:ascii="Arial" w:cs="Arial" w:eastAsia="Arial" w:hAnsi="Arial"/>
                <w:sz w:val="18"/>
                <w:szCs w:val="18"/>
                <w:color w:val="auto"/>
                <w:w w:val="89"/>
              </w:rPr>
              <w:t>17</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106,264</w:t>
            </w:r>
          </w:p>
        </w:tc>
        <w:tc>
          <w:tcPr>
            <w:tcW w:w="20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90,689</w:t>
            </w:r>
          </w:p>
        </w:tc>
        <w:tc>
          <w:tcPr>
            <w:tcW w:w="22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74,833</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3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630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1140" w:type="dxa"/>
            <w:vAlign w:val="bottom"/>
          </w:tcPr>
          <w:p>
            <w:pPr>
              <w:jc w:val="center"/>
              <w:ind w:right="30"/>
              <w:spacing w:after="0"/>
              <w:rPr>
                <w:sz w:val="20"/>
                <w:szCs w:val="20"/>
                <w:color w:val="auto"/>
              </w:rPr>
            </w:pPr>
            <w:r>
              <w:rPr>
                <w:rFonts w:ascii="Arial" w:cs="Arial" w:eastAsia="Arial" w:hAnsi="Arial"/>
                <w:sz w:val="18"/>
                <w:szCs w:val="18"/>
                <w:color w:val="auto"/>
                <w:w w:val="89"/>
              </w:rPr>
              <w:t>17</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119,815</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155,209</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145,479</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3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b w:val="1"/>
                <w:bCs w:val="1"/>
                <w:color w:val="auto"/>
              </w:rPr>
              <w:t>Other income:</w:t>
            </w:r>
          </w:p>
        </w:tc>
        <w:tc>
          <w:tcPr>
            <w:tcW w:w="11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Fees and commissions, net</w:t>
            </w:r>
          </w:p>
        </w:tc>
        <w:tc>
          <w:tcPr>
            <w:tcW w:w="114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9"/>
              </w:rPr>
              <w:t>21</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17,514</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14,306</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19,200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Loss on derivative financial instruments and foreign currency exchange, net</w:t>
            </w:r>
          </w:p>
        </w:tc>
        <w:tc>
          <w:tcPr>
            <w:tcW w:w="1140" w:type="dxa"/>
            <w:vAlign w:val="bottom"/>
          </w:tcPr>
          <w:p>
            <w:pPr>
              <w:jc w:val="center"/>
              <w:ind w:right="50"/>
              <w:spacing w:after="0"/>
              <w:rPr>
                <w:sz w:val="20"/>
                <w:szCs w:val="20"/>
                <w:color w:val="auto"/>
              </w:rPr>
            </w:pPr>
            <w:r>
              <w:rPr>
                <w:rFonts w:ascii="Arial" w:cs="Arial" w:eastAsia="Arial" w:hAnsi="Arial"/>
                <w:sz w:val="18"/>
                <w:szCs w:val="18"/>
                <w:color w:val="auto"/>
                <w:w w:val="95"/>
              </w:rPr>
              <w:t>5.6</w:t>
            </w:r>
          </w:p>
        </w:tc>
        <w:tc>
          <w:tcPr>
            <w:tcW w:w="1360" w:type="dxa"/>
            <w:vAlign w:val="bottom"/>
            <w:gridSpan w:val="2"/>
          </w:tcPr>
          <w:p>
            <w:pPr>
              <w:jc w:val="right"/>
              <w:ind w:right="140"/>
              <w:spacing w:after="0"/>
              <w:rPr>
                <w:sz w:val="20"/>
                <w:szCs w:val="20"/>
                <w:color w:val="auto"/>
              </w:rPr>
            </w:pPr>
            <w:r>
              <w:rPr>
                <w:rFonts w:ascii="Arial" w:cs="Arial" w:eastAsia="Arial" w:hAnsi="Arial"/>
                <w:sz w:val="18"/>
                <w:szCs w:val="18"/>
                <w:color w:val="auto"/>
              </w:rPr>
              <w:t>(437)</w:t>
            </w:r>
          </w:p>
        </w:tc>
        <w:tc>
          <w:tcPr>
            <w:tcW w:w="1360" w:type="dxa"/>
            <w:vAlign w:val="bottom"/>
            <w:gridSpan w:val="2"/>
          </w:tcPr>
          <w:p>
            <w:pPr>
              <w:jc w:val="right"/>
              <w:ind w:right="160"/>
              <w:spacing w:after="0"/>
              <w:rPr>
                <w:sz w:val="20"/>
                <w:szCs w:val="20"/>
                <w:color w:val="auto"/>
              </w:rPr>
            </w:pPr>
            <w:r>
              <w:rPr>
                <w:rFonts w:ascii="Arial" w:cs="Arial" w:eastAsia="Arial" w:hAnsi="Arial"/>
                <w:sz w:val="18"/>
                <w:szCs w:val="18"/>
                <w:color w:val="auto"/>
              </w:rPr>
              <w:t>(486)</w:t>
            </w:r>
          </w:p>
        </w:tc>
        <w:tc>
          <w:tcPr>
            <w:tcW w:w="1240" w:type="dxa"/>
            <w:vAlign w:val="bottom"/>
            <w:gridSpan w:val="3"/>
          </w:tcPr>
          <w:p>
            <w:pPr>
              <w:jc w:val="right"/>
              <w:ind w:right="4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(Loss) gain per financial instrument at fair value through profit or loss</w:t>
            </w:r>
          </w:p>
        </w:tc>
        <w:tc>
          <w:tcPr>
            <w:tcW w:w="114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9"/>
              </w:rPr>
              <w:t>22</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(732)</w:t>
            </w: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(2,883)</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5,731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Gain (loss) on sale of securities at fair value through OCI</w:t>
            </w:r>
          </w:p>
        </w:tc>
        <w:tc>
          <w:tcPr>
            <w:tcW w:w="1140" w:type="dxa"/>
            <w:vAlign w:val="bottom"/>
          </w:tcPr>
          <w:p>
            <w:pPr>
              <w:jc w:val="center"/>
              <w:ind w:right="50"/>
              <w:spacing w:after="0"/>
              <w:rPr>
                <w:sz w:val="20"/>
                <w:szCs w:val="20"/>
                <w:color w:val="auto"/>
              </w:rPr>
            </w:pPr>
            <w:r>
              <w:rPr>
                <w:rFonts w:ascii="Arial" w:cs="Arial" w:eastAsia="Arial" w:hAnsi="Arial"/>
                <w:sz w:val="18"/>
                <w:szCs w:val="18"/>
                <w:color w:val="auto"/>
                <w:w w:val="95"/>
              </w:rPr>
              <w:t>5.2</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249</w:t>
            </w:r>
          </w:p>
        </w:tc>
        <w:tc>
          <w:tcPr>
            <w:tcW w:w="1360" w:type="dxa"/>
            <w:vAlign w:val="bottom"/>
            <w:gridSpan w:val="2"/>
          </w:tcPr>
          <w:p>
            <w:pPr>
              <w:jc w:val="right"/>
              <w:ind w:right="160"/>
              <w:spacing w:after="0"/>
              <w:rPr>
                <w:sz w:val="20"/>
                <w:szCs w:val="20"/>
                <w:color w:val="auto"/>
              </w:rPr>
            </w:pPr>
            <w:r>
              <w:rPr>
                <w:rFonts w:ascii="Arial" w:cs="Arial" w:eastAsia="Arial" w:hAnsi="Arial"/>
                <w:sz w:val="18"/>
                <w:szCs w:val="18"/>
                <w:color w:val="auto"/>
              </w:rPr>
              <w:t>(356)</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363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Gain on sale of loans</w:t>
            </w:r>
          </w:p>
        </w:tc>
        <w:tc>
          <w:tcPr>
            <w:tcW w:w="11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95"/>
              </w:rPr>
              <w:t>5.4</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181</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806</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1,505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Other income</w:t>
            </w:r>
          </w:p>
        </w:tc>
        <w:tc>
          <w:tcPr>
            <w:tcW w:w="1140" w:type="dxa"/>
            <w:vAlign w:val="bottom"/>
          </w:tcPr>
          <w:p>
            <w:pPr>
              <w:spacing w:after="0"/>
              <w:rPr>
                <w:sz w:val="19"/>
                <w:szCs w:val="19"/>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1,723</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1,378</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1,603</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other income</w:t>
            </w:r>
          </w:p>
        </w:tc>
        <w:tc>
          <w:tcPr>
            <w:tcW w:w="11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18,498</w:t>
            </w:r>
          </w:p>
        </w:tc>
        <w:tc>
          <w:tcPr>
            <w:tcW w:w="2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12,765</w:t>
            </w: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28,379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3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11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138,313</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167,974</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173,858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Expenses:</w:t>
            </w:r>
          </w:p>
        </w:tc>
        <w:tc>
          <w:tcPr>
            <w:tcW w:w="11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Impairment loss from expected credit losses on loans at amortized cost</w:t>
            </w:r>
          </w:p>
        </w:tc>
        <w:tc>
          <w:tcPr>
            <w:tcW w:w="1140" w:type="dxa"/>
            <w:vAlign w:val="bottom"/>
          </w:tcPr>
          <w:p>
            <w:pPr>
              <w:jc w:val="center"/>
              <w:ind w:right="50"/>
              <w:spacing w:after="0"/>
              <w:rPr>
                <w:sz w:val="20"/>
                <w:szCs w:val="20"/>
                <w:color w:val="auto"/>
              </w:rPr>
            </w:pPr>
            <w:r>
              <w:rPr>
                <w:rFonts w:ascii="Arial" w:cs="Arial" w:eastAsia="Arial" w:hAnsi="Arial"/>
                <w:sz w:val="18"/>
                <w:szCs w:val="18"/>
                <w:color w:val="auto"/>
                <w:w w:val="95"/>
              </w:rPr>
              <w:t>5.5</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8,859</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34,760</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17,248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5"/>
              </w:rPr>
              <w:t>(Recovery) impairment loss from expected credit losses on investment securities</w:t>
            </w:r>
          </w:p>
        </w:tc>
        <w:tc>
          <w:tcPr>
            <w:tcW w:w="11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7"/>
              </w:rPr>
              <w:t>5.2,5.3</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(489)</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5,290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300" w:type="dxa"/>
            <w:vAlign w:val="bottom"/>
          </w:tcPr>
          <w:p>
            <w:pPr>
              <w:ind w:left="160"/>
              <w:spacing w:after="0" w:line="201" w:lineRule="exact"/>
              <w:rPr>
                <w:sz w:val="20"/>
                <w:szCs w:val="20"/>
                <w:color w:val="auto"/>
              </w:rPr>
            </w:pPr>
            <w:r>
              <w:rPr>
                <w:rFonts w:ascii="Arial" w:cs="Arial" w:eastAsia="Arial" w:hAnsi="Arial"/>
                <w:sz w:val="18"/>
                <w:szCs w:val="18"/>
                <w:color w:val="auto"/>
                <w:w w:val="94"/>
              </w:rPr>
              <w:t>Impairment loss (recovery) from expected credit losses on loan commitments and</w:t>
            </w:r>
          </w:p>
        </w:tc>
        <w:tc>
          <w:tcPr>
            <w:tcW w:w="114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300" w:type="dxa"/>
            <w:vAlign w:val="bottom"/>
          </w:tcPr>
          <w:p>
            <w:pPr>
              <w:ind w:left="280"/>
              <w:spacing w:after="0"/>
              <w:rPr>
                <w:sz w:val="20"/>
                <w:szCs w:val="20"/>
                <w:color w:val="auto"/>
              </w:rPr>
            </w:pPr>
            <w:r>
              <w:rPr>
                <w:rFonts w:ascii="Arial" w:cs="Arial" w:eastAsia="Arial" w:hAnsi="Arial"/>
                <w:sz w:val="18"/>
                <w:szCs w:val="18"/>
                <w:color w:val="auto"/>
              </w:rPr>
              <w:t>financial guarantee contracts</w:t>
            </w:r>
          </w:p>
        </w:tc>
        <w:tc>
          <w:tcPr>
            <w:tcW w:w="1140" w:type="dxa"/>
            <w:vAlign w:val="bottom"/>
          </w:tcPr>
          <w:p>
            <w:pPr>
              <w:jc w:val="center"/>
              <w:ind w:right="50"/>
              <w:spacing w:after="0"/>
              <w:rPr>
                <w:sz w:val="20"/>
                <w:szCs w:val="20"/>
                <w:color w:val="auto"/>
              </w:rPr>
            </w:pPr>
            <w:r>
              <w:rPr>
                <w:rFonts w:ascii="Arial" w:cs="Arial" w:eastAsia="Arial" w:hAnsi="Arial"/>
                <w:sz w:val="18"/>
                <w:szCs w:val="18"/>
                <w:color w:val="auto"/>
                <w:w w:val="79"/>
              </w:rPr>
              <w:t>6</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1,069</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352</w:t>
            </w:r>
          </w:p>
        </w:tc>
        <w:tc>
          <w:tcPr>
            <w:tcW w:w="1240" w:type="dxa"/>
            <w:vAlign w:val="bottom"/>
            <w:gridSpan w:val="3"/>
          </w:tcPr>
          <w:p>
            <w:pPr>
              <w:jc w:val="right"/>
              <w:ind w:right="40"/>
              <w:spacing w:after="0"/>
              <w:rPr>
                <w:sz w:val="20"/>
                <w:szCs w:val="20"/>
                <w:color w:val="auto"/>
              </w:rPr>
            </w:pPr>
            <w:r>
              <w:rPr>
                <w:rFonts w:ascii="Arial" w:cs="Arial" w:eastAsia="Arial" w:hAnsi="Arial"/>
                <w:sz w:val="18"/>
                <w:szCs w:val="18"/>
                <w:color w:val="auto"/>
              </w:rPr>
              <w:t>(4,448)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Salaries and other employee expenses</w:t>
            </w:r>
          </w:p>
        </w:tc>
        <w:tc>
          <w:tcPr>
            <w:tcW w:w="114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9"/>
              </w:rPr>
              <w:t>23</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27,653</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25,196</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30,435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1140" w:type="dxa"/>
            <w:vAlign w:val="bottom"/>
          </w:tcPr>
          <w:p>
            <w:pPr>
              <w:jc w:val="center"/>
              <w:ind w:right="50"/>
              <w:spacing w:after="0"/>
              <w:rPr>
                <w:sz w:val="20"/>
                <w:szCs w:val="20"/>
                <w:color w:val="auto"/>
              </w:rPr>
            </w:pPr>
            <w:r>
              <w:rPr>
                <w:rFonts w:ascii="Arial" w:cs="Arial" w:eastAsia="Arial" w:hAnsi="Arial"/>
                <w:sz w:val="18"/>
                <w:szCs w:val="18"/>
                <w:color w:val="auto"/>
                <w:w w:val="79"/>
              </w:rPr>
              <w:t>7</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1,578</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1,457</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1,371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Amortization of intangible assets</w:t>
            </w:r>
          </w:p>
        </w:tc>
        <w:tc>
          <w:tcPr>
            <w:tcW w:w="114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79"/>
              </w:rPr>
              <w:t>8</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838</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629</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Other expenses</w:t>
            </w:r>
          </w:p>
        </w:tc>
        <w:tc>
          <w:tcPr>
            <w:tcW w:w="1140" w:type="dxa"/>
            <w:vAlign w:val="bottom"/>
          </w:tcPr>
          <w:p>
            <w:pPr>
              <w:jc w:val="center"/>
              <w:ind w:right="30"/>
              <w:spacing w:after="0"/>
              <w:rPr>
                <w:sz w:val="20"/>
                <w:szCs w:val="20"/>
                <w:color w:val="auto"/>
              </w:rPr>
            </w:pPr>
            <w:r>
              <w:rPr>
                <w:rFonts w:ascii="Arial" w:cs="Arial" w:eastAsia="Arial" w:hAnsi="Arial"/>
                <w:sz w:val="18"/>
                <w:szCs w:val="18"/>
                <w:color w:val="auto"/>
                <w:w w:val="89"/>
              </w:rPr>
              <w:t>24</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16,806</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18,532</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19,382</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expenses</w:t>
            </w:r>
          </w:p>
        </w:tc>
        <w:tc>
          <w:tcPr>
            <w:tcW w:w="114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56,314</w:t>
            </w:r>
          </w:p>
        </w:tc>
        <w:tc>
          <w:tcPr>
            <w:tcW w:w="2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80,929</w:t>
            </w: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69,874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year</w:t>
            </w:r>
          </w:p>
        </w:tc>
        <w:tc>
          <w:tcPr>
            <w:tcW w:w="1140" w:type="dxa"/>
            <w:vAlign w:val="bottom"/>
            <w:tcBorders>
              <w:bottom w:val="single" w:sz="8" w:color="CCEEFF"/>
            </w:tcBorders>
          </w:tcPr>
          <w:p>
            <w:pPr>
              <w:spacing w:after="0"/>
              <w:rPr>
                <w:sz w:val="22"/>
                <w:szCs w:val="22"/>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81,999</w:t>
            </w:r>
          </w:p>
        </w:tc>
        <w:tc>
          <w:tcPr>
            <w:tcW w:w="200" w:type="dxa"/>
            <w:vAlign w:val="bottom"/>
            <w:tcBorders>
              <w:bottom w:val="single" w:sz="8" w:color="CCEEFF"/>
            </w:tcBorders>
          </w:tcPr>
          <w:p>
            <w:pPr>
              <w:spacing w:after="0"/>
              <w:rPr>
                <w:sz w:val="22"/>
                <w:szCs w:val="22"/>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87,045</w:t>
            </w:r>
          </w:p>
        </w:tc>
        <w:tc>
          <w:tcPr>
            <w:tcW w:w="220" w:type="dxa"/>
            <w:vAlign w:val="bottom"/>
            <w:tcBorders>
              <w:bottom w:val="single" w:sz="8" w:color="CCEEFF"/>
            </w:tcBorders>
          </w:tcPr>
          <w:p>
            <w:pPr>
              <w:spacing w:after="0"/>
              <w:rPr>
                <w:sz w:val="22"/>
                <w:szCs w:val="22"/>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103,984</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63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b w:val="1"/>
                <w:bCs w:val="1"/>
                <w:color w:val="auto"/>
              </w:rPr>
              <w:t>Earnings per share:</w:t>
            </w:r>
          </w:p>
        </w:tc>
        <w:tc>
          <w:tcPr>
            <w:tcW w:w="11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tcPr>
          <w:p>
            <w:pPr>
              <w:spacing w:after="0"/>
              <w:rPr>
                <w:sz w:val="21"/>
                <w:szCs w:val="21"/>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Basic</w:t>
            </w:r>
          </w:p>
        </w:tc>
        <w:tc>
          <w:tcPr>
            <w:tcW w:w="114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9"/>
              </w:rPr>
              <w:t>14</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2.09</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2.23</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2.67</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Diluted</w:t>
            </w:r>
          </w:p>
        </w:tc>
        <w:tc>
          <w:tcPr>
            <w:tcW w:w="1140" w:type="dxa"/>
            <w:vAlign w:val="bottom"/>
            <w:tcBorders>
              <w:top w:val="single" w:sz="8" w:color="CCEEFF"/>
              <w:bottom w:val="single" w:sz="8" w:color="CCEEFF"/>
            </w:tcBorders>
            <w:vMerge w:val="restart"/>
          </w:tcPr>
          <w:p>
            <w:pPr>
              <w:jc w:val="center"/>
              <w:ind w:right="30"/>
              <w:spacing w:after="0"/>
              <w:rPr>
                <w:sz w:val="20"/>
                <w:szCs w:val="20"/>
                <w:color w:val="auto"/>
              </w:rPr>
            </w:pPr>
            <w:r>
              <w:rPr>
                <w:rFonts w:ascii="Arial" w:cs="Arial" w:eastAsia="Arial" w:hAnsi="Arial"/>
                <w:sz w:val="18"/>
                <w:szCs w:val="18"/>
                <w:color w:val="auto"/>
                <w:w w:val="89"/>
              </w:rPr>
              <w:t>14</w:t>
            </w: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6300" w:type="dxa"/>
            <w:vAlign w:val="bottom"/>
            <w:tcBorders>
              <w:bottom w:val="single" w:sz="8" w:color="CCEEFF"/>
            </w:tcBorders>
            <w:vMerge w:val="continue"/>
          </w:tcPr>
          <w:p>
            <w:pPr>
              <w:spacing w:after="0"/>
              <w:rPr>
                <w:sz w:val="20"/>
                <w:szCs w:val="20"/>
                <w:color w:val="auto"/>
              </w:rPr>
            </w:pPr>
          </w:p>
        </w:tc>
        <w:tc>
          <w:tcPr>
            <w:tcW w:w="1140" w:type="dxa"/>
            <w:vAlign w:val="bottom"/>
            <w:tcBorders>
              <w:bottom w:val="single" w:sz="8" w:color="CCEEFF"/>
            </w:tcBorders>
            <w:vMerge w:val="continue"/>
          </w:tcPr>
          <w:p>
            <w:pPr>
              <w:spacing w:after="0"/>
              <w:rPr>
                <w:sz w:val="20"/>
                <w:szCs w:val="20"/>
                <w:color w:val="auto"/>
              </w:rPr>
            </w:pPr>
          </w:p>
        </w:tc>
        <w:tc>
          <w:tcPr>
            <w:tcW w:w="11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2.08</w:t>
            </w:r>
          </w:p>
        </w:tc>
        <w:tc>
          <w:tcPr>
            <w:tcW w:w="200" w:type="dxa"/>
            <w:vAlign w:val="bottom"/>
            <w:tcBorders>
              <w:bottom w:val="single" w:sz="8" w:color="CCEEFF"/>
            </w:tcBorders>
            <w:vMerge w:val="continue"/>
          </w:tcPr>
          <w:p>
            <w:pPr>
              <w:spacing w:after="0"/>
              <w:rPr>
                <w:sz w:val="20"/>
                <w:szCs w:val="20"/>
                <w:color w:val="auto"/>
              </w:rPr>
            </w:pPr>
          </w:p>
        </w:tc>
        <w:tc>
          <w:tcPr>
            <w:tcW w:w="11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2.22</w:t>
            </w:r>
          </w:p>
        </w:tc>
        <w:tc>
          <w:tcPr>
            <w:tcW w:w="220" w:type="dxa"/>
            <w:vAlign w:val="bottom"/>
            <w:tcBorders>
              <w:bottom w:val="single" w:sz="8" w:color="CCEEFF"/>
            </w:tcBorders>
            <w:vMerge w:val="continue"/>
          </w:tcPr>
          <w:p>
            <w:pPr>
              <w:spacing w:after="0"/>
              <w:rPr>
                <w:sz w:val="20"/>
                <w:szCs w:val="20"/>
                <w:color w:val="auto"/>
              </w:rPr>
            </w:pPr>
          </w:p>
        </w:tc>
        <w:tc>
          <w:tcPr>
            <w:tcW w:w="11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2.66</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63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basic shares</w:t>
            </w:r>
          </w:p>
        </w:tc>
        <w:tc>
          <w:tcPr>
            <w:tcW w:w="1140" w:type="dxa"/>
            <w:vAlign w:val="bottom"/>
            <w:tcBorders>
              <w:bottom w:val="single" w:sz="8" w:color="CCEEFF"/>
            </w:tcBorders>
            <w:shd w:val="clear" w:color="auto" w:fill="CCEEFF"/>
          </w:tcPr>
          <w:p>
            <w:pPr>
              <w:jc w:val="center"/>
              <w:ind w:right="30"/>
              <w:spacing w:after="0" w:line="190" w:lineRule="exact"/>
              <w:rPr>
                <w:sz w:val="20"/>
                <w:szCs w:val="20"/>
                <w:color w:val="auto"/>
              </w:rPr>
            </w:pPr>
            <w:r>
              <w:rPr>
                <w:rFonts w:ascii="Arial" w:cs="Arial" w:eastAsia="Arial" w:hAnsi="Arial"/>
                <w:sz w:val="18"/>
                <w:szCs w:val="18"/>
                <w:color w:val="auto"/>
                <w:w w:val="89"/>
              </w:rPr>
              <w:t>14</w:t>
            </w:r>
          </w:p>
        </w:tc>
        <w:tc>
          <w:tcPr>
            <w:tcW w:w="11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39,311</w:t>
            </w:r>
          </w:p>
        </w:tc>
        <w:tc>
          <w:tcPr>
            <w:tcW w:w="200" w:type="dxa"/>
            <w:vAlign w:val="bottom"/>
            <w:tcBorders>
              <w:bottom w:val="single" w:sz="8" w:color="CCEEFF"/>
            </w:tcBorders>
            <w:shd w:val="clear" w:color="auto" w:fill="CCEEFF"/>
          </w:tcPr>
          <w:p>
            <w:pPr>
              <w:spacing w:after="0"/>
              <w:rPr>
                <w:sz w:val="17"/>
                <w:szCs w:val="17"/>
                <w:color w:val="auto"/>
              </w:rPr>
            </w:pPr>
          </w:p>
        </w:tc>
        <w:tc>
          <w:tcPr>
            <w:tcW w:w="11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39,085</w:t>
            </w:r>
          </w:p>
        </w:tc>
        <w:tc>
          <w:tcPr>
            <w:tcW w:w="220" w:type="dxa"/>
            <w:vAlign w:val="bottom"/>
            <w:tcBorders>
              <w:bottom w:val="single" w:sz="8" w:color="CCEEFF"/>
            </w:tcBorders>
            <w:shd w:val="clear" w:color="auto" w:fill="CCEEFF"/>
          </w:tcPr>
          <w:p>
            <w:pPr>
              <w:spacing w:after="0"/>
              <w:rPr>
                <w:sz w:val="17"/>
                <w:szCs w:val="17"/>
                <w:color w:val="auto"/>
              </w:rPr>
            </w:pPr>
          </w:p>
        </w:tc>
        <w:tc>
          <w:tcPr>
            <w:tcW w:w="11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38,925</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00" w:type="dxa"/>
            <w:vAlign w:val="bottom"/>
            <w:vMerge w:val="restart"/>
          </w:tcPr>
          <w:p>
            <w:pPr>
              <w:spacing w:after="0"/>
              <w:rPr>
                <w:sz w:val="20"/>
                <w:szCs w:val="20"/>
                <w:color w:val="auto"/>
              </w:rPr>
            </w:pPr>
            <w:r>
              <w:rPr>
                <w:rFonts w:ascii="Arial" w:cs="Arial" w:eastAsia="Arial" w:hAnsi="Arial"/>
                <w:sz w:val="18"/>
                <w:szCs w:val="18"/>
                <w:color w:val="auto"/>
              </w:rPr>
              <w:t>Weighted average diluted shares</w:t>
            </w:r>
          </w:p>
        </w:tc>
        <w:tc>
          <w:tcPr>
            <w:tcW w:w="1140" w:type="dxa"/>
            <w:vAlign w:val="bottom"/>
            <w:vMerge w:val="restart"/>
          </w:tcPr>
          <w:p>
            <w:pPr>
              <w:jc w:val="center"/>
              <w:ind w:right="30"/>
              <w:spacing w:after="0"/>
              <w:rPr>
                <w:sz w:val="20"/>
                <w:szCs w:val="20"/>
                <w:color w:val="auto"/>
              </w:rPr>
            </w:pPr>
            <w:r>
              <w:rPr>
                <w:rFonts w:ascii="Arial" w:cs="Arial" w:eastAsia="Arial" w:hAnsi="Arial"/>
                <w:sz w:val="18"/>
                <w:szCs w:val="18"/>
                <w:color w:val="auto"/>
                <w:w w:val="89"/>
              </w:rPr>
              <w:t>14</w:t>
            </w: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6300" w:type="dxa"/>
            <w:vAlign w:val="bottom"/>
            <w:vMerge w:val="continue"/>
          </w:tcPr>
          <w:p>
            <w:pPr>
              <w:spacing w:after="0"/>
              <w:rPr>
                <w:sz w:val="17"/>
                <w:szCs w:val="17"/>
                <w:color w:val="auto"/>
              </w:rPr>
            </w:pPr>
          </w:p>
        </w:tc>
        <w:tc>
          <w:tcPr>
            <w:tcW w:w="1140" w:type="dxa"/>
            <w:vAlign w:val="bottom"/>
            <w:vMerge w:val="continue"/>
          </w:tcPr>
          <w:p>
            <w:pPr>
              <w:spacing w:after="0"/>
              <w:rPr>
                <w:sz w:val="17"/>
                <w:szCs w:val="17"/>
                <w:color w:val="auto"/>
              </w:rPr>
            </w:pPr>
          </w:p>
        </w:tc>
        <w:tc>
          <w:tcPr>
            <w:tcW w:w="11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39,329</w:t>
            </w:r>
          </w:p>
        </w:tc>
        <w:tc>
          <w:tcPr>
            <w:tcW w:w="200" w:type="dxa"/>
            <w:vAlign w:val="bottom"/>
            <w:vMerge w:val="continue"/>
          </w:tcPr>
          <w:p>
            <w:pPr>
              <w:spacing w:after="0"/>
              <w:rPr>
                <w:sz w:val="17"/>
                <w:szCs w:val="17"/>
                <w:color w:val="auto"/>
              </w:rPr>
            </w:pPr>
          </w:p>
        </w:tc>
        <w:tc>
          <w:tcPr>
            <w:tcW w:w="11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39,210</w:t>
            </w:r>
          </w:p>
        </w:tc>
        <w:tc>
          <w:tcPr>
            <w:tcW w:w="220" w:type="dxa"/>
            <w:vAlign w:val="bottom"/>
            <w:vMerge w:val="continue"/>
          </w:tcPr>
          <w:p>
            <w:pPr>
              <w:spacing w:after="0"/>
              <w:rPr>
                <w:sz w:val="17"/>
                <w:szCs w:val="17"/>
                <w:color w:val="auto"/>
              </w:rPr>
            </w:pPr>
          </w:p>
        </w:tc>
        <w:tc>
          <w:tcPr>
            <w:tcW w:w="11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39,113</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27" w:name="page128"/>
    <w:bookmarkEnd w:id="1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profit or loss and other comprehensive income</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20" w:type="dxa"/>
            <w:vAlign w:val="bottom"/>
          </w:tcPr>
          <w:p>
            <w:pPr>
              <w:spacing w:after="0"/>
              <w:rPr>
                <w:sz w:val="21"/>
                <w:szCs w:val="21"/>
                <w:color w:val="auto"/>
              </w:rPr>
            </w:pPr>
          </w:p>
        </w:tc>
        <w:tc>
          <w:tcPr>
            <w:tcW w:w="6440" w:type="dxa"/>
            <w:vAlign w:val="bottom"/>
          </w:tcPr>
          <w:p>
            <w:pPr>
              <w:spacing w:after="0"/>
              <w:rPr>
                <w:sz w:val="21"/>
                <w:szCs w:val="21"/>
                <w:color w:val="auto"/>
              </w:rPr>
            </w:pPr>
          </w:p>
        </w:tc>
        <w:tc>
          <w:tcPr>
            <w:tcW w:w="1000" w:type="dxa"/>
            <w:vAlign w:val="bottom"/>
          </w:tcPr>
          <w:p>
            <w:pPr>
              <w:jc w:val="center"/>
              <w:ind w:right="190"/>
              <w:spacing w:after="0"/>
              <w:rPr>
                <w:sz w:val="20"/>
                <w:szCs w:val="20"/>
                <w:color w:val="auto"/>
              </w:rPr>
            </w:pPr>
            <w:r>
              <w:rPr>
                <w:rFonts w:ascii="Arial" w:cs="Arial" w:eastAsia="Arial" w:hAnsi="Arial"/>
                <w:sz w:val="18"/>
                <w:szCs w:val="18"/>
                <w:b w:val="1"/>
                <w:bCs w:val="1"/>
                <w:color w:val="auto"/>
                <w:w w:val="87"/>
              </w:rPr>
              <w:t>Notes</w:t>
            </w: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2017</w:t>
            </w:r>
          </w:p>
        </w:tc>
        <w:tc>
          <w:tcPr>
            <w:tcW w:w="200" w:type="dxa"/>
            <w:vAlign w:val="bottom"/>
          </w:tcPr>
          <w:p>
            <w:pPr>
              <w:spacing w:after="0"/>
              <w:rPr>
                <w:sz w:val="21"/>
                <w:szCs w:val="21"/>
                <w:color w:val="auto"/>
              </w:rPr>
            </w:pPr>
          </w:p>
        </w:tc>
        <w:tc>
          <w:tcPr>
            <w:tcW w:w="114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1"/>
                <w:szCs w:val="21"/>
                <w:color w:val="auto"/>
              </w:rPr>
            </w:pPr>
          </w:p>
        </w:tc>
        <w:tc>
          <w:tcPr>
            <w:tcW w:w="114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4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4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year</w:t>
            </w:r>
          </w:p>
        </w:tc>
        <w:tc>
          <w:tcPr>
            <w:tcW w:w="100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81,999</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87,045</w:t>
            </w: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103,984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4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0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40" w:type="dxa"/>
            <w:vAlign w:val="bottom"/>
            <w:shd w:val="clear" w:color="auto" w:fill="CCEEFF"/>
          </w:tcPr>
          <w:p>
            <w:pPr>
              <w:spacing w:after="0"/>
              <w:rPr>
                <w:sz w:val="20"/>
                <w:szCs w:val="20"/>
                <w:color w:val="auto"/>
              </w:rPr>
            </w:pPr>
            <w:r>
              <w:rPr>
                <w:rFonts w:ascii="Arial" w:cs="Arial" w:eastAsia="Arial" w:hAnsi="Arial"/>
                <w:sz w:val="18"/>
                <w:szCs w:val="18"/>
                <w:b w:val="1"/>
                <w:bCs w:val="1"/>
                <w:color w:val="222222"/>
              </w:rPr>
              <w:t>Items that are not be reclassified subsequently to gains and losses:</w:t>
            </w:r>
          </w:p>
        </w:tc>
        <w:tc>
          <w:tcPr>
            <w:tcW w:w="10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40" w:type="dxa"/>
            <w:vAlign w:val="bottom"/>
          </w:tcPr>
          <w:p>
            <w:pPr>
              <w:ind w:left="160"/>
              <w:spacing w:after="0"/>
              <w:rPr>
                <w:sz w:val="20"/>
                <w:szCs w:val="20"/>
                <w:color w:val="auto"/>
              </w:rPr>
            </w:pPr>
            <w:r>
              <w:rPr>
                <w:rFonts w:ascii="Arial" w:cs="Arial" w:eastAsia="Arial" w:hAnsi="Arial"/>
                <w:sz w:val="18"/>
                <w:szCs w:val="18"/>
                <w:color w:val="222222"/>
                <w:w w:val="96"/>
              </w:rPr>
              <w:t>Change in fair value for revaluation by equity instrument to FVOCI, net of hedging</w:t>
            </w:r>
          </w:p>
        </w:tc>
        <w:tc>
          <w:tcPr>
            <w:tcW w:w="1000" w:type="dxa"/>
            <w:vAlign w:val="bottom"/>
          </w:tcPr>
          <w:p>
            <w:pPr>
              <w:jc w:val="center"/>
              <w:ind w:right="170"/>
              <w:spacing w:after="0"/>
              <w:rPr>
                <w:sz w:val="20"/>
                <w:szCs w:val="20"/>
                <w:color w:val="auto"/>
              </w:rPr>
            </w:pPr>
            <w:r>
              <w:rPr>
                <w:rFonts w:ascii="Arial" w:cs="Arial" w:eastAsia="Arial" w:hAnsi="Arial"/>
                <w:sz w:val="18"/>
                <w:szCs w:val="18"/>
                <w:color w:val="auto"/>
                <w:w w:val="89"/>
              </w:rPr>
              <w:t>19</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187</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40" w:type="dxa"/>
            <w:vAlign w:val="bottom"/>
          </w:tcPr>
          <w:p>
            <w:pPr>
              <w:spacing w:after="0"/>
              <w:rPr>
                <w:sz w:val="20"/>
                <w:szCs w:val="20"/>
                <w:color w:val="auto"/>
              </w:rPr>
            </w:pPr>
            <w:r>
              <w:rPr>
                <w:rFonts w:ascii="Arial" w:cs="Arial" w:eastAsia="Arial" w:hAnsi="Arial"/>
                <w:sz w:val="18"/>
                <w:szCs w:val="18"/>
                <w:b w:val="1"/>
                <w:bCs w:val="1"/>
                <w:color w:val="auto"/>
              </w:rPr>
              <w:t>Items that are or may be reclassified subsequently to gains and losses:</w:t>
            </w:r>
          </w:p>
        </w:tc>
        <w:tc>
          <w:tcPr>
            <w:tcW w:w="10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44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rPr>
              <w:t>Net change in unrealized gain (losses) on financial instruments at fair value</w:t>
            </w:r>
          </w:p>
        </w:tc>
        <w:tc>
          <w:tcPr>
            <w:tcW w:w="10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440" w:type="dxa"/>
            <w:vAlign w:val="bottom"/>
            <w:shd w:val="clear" w:color="auto" w:fill="CCEEFF"/>
          </w:tcPr>
          <w:p>
            <w:pPr>
              <w:ind w:left="280"/>
              <w:spacing w:after="0"/>
              <w:rPr>
                <w:sz w:val="20"/>
                <w:szCs w:val="20"/>
                <w:color w:val="auto"/>
              </w:rPr>
            </w:pPr>
            <w:r>
              <w:rPr>
                <w:rFonts w:ascii="Arial" w:cs="Arial" w:eastAsia="Arial" w:hAnsi="Arial"/>
                <w:sz w:val="18"/>
                <w:szCs w:val="18"/>
                <w:color w:val="auto"/>
              </w:rPr>
              <w:t>through OCI</w:t>
            </w:r>
          </w:p>
        </w:tc>
        <w:tc>
          <w:tcPr>
            <w:tcW w:w="1000" w:type="dxa"/>
            <w:vAlign w:val="bottom"/>
            <w:shd w:val="clear" w:color="auto" w:fill="CCEEFF"/>
          </w:tcPr>
          <w:p>
            <w:pPr>
              <w:jc w:val="center"/>
              <w:ind w:right="170"/>
              <w:spacing w:after="0"/>
              <w:rPr>
                <w:sz w:val="20"/>
                <w:szCs w:val="20"/>
                <w:color w:val="auto"/>
              </w:rPr>
            </w:pPr>
            <w:r>
              <w:rPr>
                <w:rFonts w:ascii="Arial" w:cs="Arial" w:eastAsia="Arial" w:hAnsi="Arial"/>
                <w:sz w:val="18"/>
                <w:szCs w:val="18"/>
                <w:color w:val="auto"/>
                <w:w w:val="89"/>
              </w:rPr>
              <w:t>19</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696</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8,078</w:t>
            </w: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(2,114)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40" w:type="dxa"/>
            <w:vAlign w:val="bottom"/>
          </w:tcPr>
          <w:p>
            <w:pPr>
              <w:ind w:left="160"/>
              <w:spacing w:after="0"/>
              <w:rPr>
                <w:sz w:val="20"/>
                <w:szCs w:val="20"/>
                <w:color w:val="auto"/>
              </w:rPr>
            </w:pPr>
            <w:r>
              <w:rPr>
                <w:rFonts w:ascii="Arial" w:cs="Arial" w:eastAsia="Arial" w:hAnsi="Arial"/>
                <w:sz w:val="18"/>
                <w:szCs w:val="18"/>
                <w:color w:val="auto"/>
              </w:rPr>
              <w:t>Net change in unrealized losses on derivative financial instruments</w:t>
            </w:r>
          </w:p>
        </w:tc>
        <w:tc>
          <w:tcPr>
            <w:tcW w:w="1000" w:type="dxa"/>
            <w:vAlign w:val="bottom"/>
          </w:tcPr>
          <w:p>
            <w:pPr>
              <w:jc w:val="center"/>
              <w:ind w:right="170"/>
              <w:spacing w:after="0"/>
              <w:rPr>
                <w:sz w:val="20"/>
                <w:szCs w:val="20"/>
                <w:color w:val="auto"/>
              </w:rPr>
            </w:pPr>
            <w:r>
              <w:rPr>
                <w:rFonts w:ascii="Arial" w:cs="Arial" w:eastAsia="Arial" w:hAnsi="Arial"/>
                <w:sz w:val="18"/>
                <w:szCs w:val="18"/>
                <w:color w:val="auto"/>
                <w:w w:val="89"/>
              </w:rPr>
              <w:t>19</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2,391</w:t>
            </w:r>
          </w:p>
        </w:tc>
        <w:tc>
          <w:tcPr>
            <w:tcW w:w="1360" w:type="dxa"/>
            <w:vAlign w:val="bottom"/>
            <w:gridSpan w:val="2"/>
          </w:tcPr>
          <w:p>
            <w:pPr>
              <w:jc w:val="right"/>
              <w:ind w:right="160"/>
              <w:spacing w:after="0"/>
              <w:rPr>
                <w:sz w:val="20"/>
                <w:szCs w:val="20"/>
                <w:color w:val="auto"/>
              </w:rPr>
            </w:pPr>
            <w:r>
              <w:rPr>
                <w:rFonts w:ascii="Arial" w:cs="Arial" w:eastAsia="Arial" w:hAnsi="Arial"/>
                <w:sz w:val="18"/>
                <w:szCs w:val="18"/>
                <w:color w:val="auto"/>
              </w:rPr>
              <w:t>(198)</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(730)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currency translation adjustment, net</w:t>
            </w:r>
          </w:p>
        </w:tc>
        <w:tc>
          <w:tcPr>
            <w:tcW w:w="100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(60)</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40" w:type="dxa"/>
            <w:vAlign w:val="bottom"/>
          </w:tcPr>
          <w:p>
            <w:pPr>
              <w:ind w:left="160"/>
              <w:spacing w:after="0"/>
              <w:rPr>
                <w:sz w:val="20"/>
                <w:szCs w:val="20"/>
                <w:color w:val="auto"/>
              </w:rPr>
            </w:pPr>
            <w:r>
              <w:rPr>
                <w:rFonts w:ascii="Arial" w:cs="Arial" w:eastAsia="Arial" w:hAnsi="Arial"/>
                <w:sz w:val="18"/>
                <w:szCs w:val="18"/>
                <w:color w:val="auto"/>
              </w:rPr>
              <w:t>Exchange difference in conversion of foreign operating currency</w:t>
            </w:r>
          </w:p>
        </w:tc>
        <w:tc>
          <w:tcPr>
            <w:tcW w:w="1000" w:type="dxa"/>
            <w:vAlign w:val="bottom"/>
          </w:tcPr>
          <w:p>
            <w:pPr>
              <w:spacing w:after="0"/>
              <w:rPr>
                <w:sz w:val="19"/>
                <w:szCs w:val="19"/>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1,550</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4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40" w:type="dxa"/>
            <w:vAlign w:val="bottom"/>
          </w:tcPr>
          <w:p>
            <w:pPr>
              <w:ind w:left="160"/>
              <w:spacing w:after="0"/>
              <w:rPr>
                <w:sz w:val="20"/>
                <w:szCs w:val="20"/>
                <w:color w:val="auto"/>
              </w:rPr>
            </w:pPr>
            <w:r>
              <w:rPr>
                <w:rFonts w:ascii="Arial" w:cs="Arial" w:eastAsia="Arial" w:hAnsi="Arial"/>
                <w:sz w:val="18"/>
                <w:szCs w:val="18"/>
                <w:color w:val="auto"/>
              </w:rPr>
              <w:t>Other comprehensive income (loss)</w:t>
            </w:r>
          </w:p>
        </w:tc>
        <w:tc>
          <w:tcPr>
            <w:tcW w:w="1000" w:type="dxa"/>
            <w:vAlign w:val="bottom"/>
          </w:tcPr>
          <w:p>
            <w:pPr>
              <w:jc w:val="center"/>
              <w:ind w:right="170"/>
              <w:spacing w:after="0"/>
              <w:rPr>
                <w:sz w:val="20"/>
                <w:szCs w:val="20"/>
                <w:color w:val="auto"/>
              </w:rPr>
            </w:pPr>
            <w:r>
              <w:rPr>
                <w:rFonts w:ascii="Arial" w:cs="Arial" w:eastAsia="Arial" w:hAnsi="Arial"/>
                <w:sz w:val="18"/>
                <w:szCs w:val="18"/>
                <w:color w:val="auto"/>
                <w:w w:val="89"/>
              </w:rPr>
              <w:t>19</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4,764</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7,880</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(2,844)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4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6440" w:type="dxa"/>
            <w:vAlign w:val="bottom"/>
          </w:tcPr>
          <w:p>
            <w:pPr>
              <w:spacing w:after="0"/>
              <w:rPr>
                <w:sz w:val="20"/>
                <w:szCs w:val="20"/>
                <w:color w:val="auto"/>
              </w:rPr>
            </w:pPr>
            <w:r>
              <w:rPr>
                <w:rFonts w:ascii="Arial" w:cs="Arial" w:eastAsia="Arial" w:hAnsi="Arial"/>
                <w:sz w:val="18"/>
                <w:szCs w:val="18"/>
                <w:color w:val="auto"/>
              </w:rPr>
              <w:t>Total comprehensive income for the year</w:t>
            </w:r>
          </w:p>
        </w:tc>
        <w:tc>
          <w:tcPr>
            <w:tcW w:w="1000" w:type="dxa"/>
            <w:vAlign w:val="bottom"/>
          </w:tcPr>
          <w:p>
            <w:pPr>
              <w:spacing w:after="0"/>
              <w:rPr>
                <w:sz w:val="21"/>
                <w:szCs w:val="21"/>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86,763</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94,925</w:t>
            </w:r>
          </w:p>
        </w:tc>
        <w:tc>
          <w:tcPr>
            <w:tcW w:w="1240" w:type="dxa"/>
            <w:vAlign w:val="bottom"/>
            <w:gridSpan w:val="2"/>
          </w:tcPr>
          <w:p>
            <w:pPr>
              <w:jc w:val="right"/>
              <w:ind w:right="100"/>
              <w:spacing w:after="0"/>
              <w:rPr>
                <w:sz w:val="20"/>
                <w:szCs w:val="20"/>
                <w:color w:val="auto"/>
              </w:rPr>
            </w:pPr>
            <w:r>
              <w:rPr>
                <w:rFonts w:ascii="Arial" w:cs="Arial" w:eastAsia="Arial" w:hAnsi="Arial"/>
                <w:sz w:val="18"/>
                <w:szCs w:val="18"/>
                <w:color w:val="auto"/>
              </w:rPr>
              <w:t>101,140</w:t>
            </w:r>
          </w:p>
        </w:tc>
        <w:tc>
          <w:tcPr>
            <w:tcW w:w="0" w:type="dxa"/>
            <w:vAlign w:val="bottom"/>
          </w:tcPr>
          <w:p>
            <w:pPr>
              <w:spacing w:after="0"/>
              <w:rPr>
                <w:sz w:val="1"/>
                <w:szCs w:val="1"/>
                <w:color w:val="auto"/>
              </w:rPr>
            </w:pPr>
          </w:p>
        </w:tc>
      </w:tr>
      <w:tr>
        <w:trPr>
          <w:trHeight w:val="20"/>
        </w:trPr>
        <w:tc>
          <w:tcPr>
            <w:tcW w:w="6460" w:type="dxa"/>
            <w:vAlign w:val="bottom"/>
            <w:gridSpan w:val="2"/>
            <w:vMerge w:val="restart"/>
          </w:tcPr>
          <w:p>
            <w:pPr>
              <w:spacing w:after="0"/>
              <w:rPr>
                <w:sz w:val="20"/>
                <w:szCs w:val="20"/>
                <w:color w:val="auto"/>
              </w:rPr>
            </w:pPr>
            <w:r>
              <w:rPr>
                <w:rFonts w:ascii="Arial" w:cs="Arial" w:eastAsia="Arial" w:hAnsi="Arial"/>
                <w:sz w:val="18"/>
                <w:szCs w:val="18"/>
                <w:color w:val="auto"/>
                <w:w w:val="91"/>
              </w:rPr>
              <w:t>The accompanying notes are an integral part of these consolidated financial statements.</w:t>
            </w:r>
          </w:p>
        </w:tc>
        <w:tc>
          <w:tcPr>
            <w:tcW w:w="100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6460" w:type="dxa"/>
            <w:vAlign w:val="bottom"/>
            <w:gridSpan w:val="2"/>
            <w:vMerge w:val="continue"/>
          </w:tcPr>
          <w:p>
            <w:pPr>
              <w:spacing w:after="0"/>
              <w:rPr>
                <w:sz w:val="24"/>
                <w:szCs w:val="24"/>
                <w:color w:val="auto"/>
              </w:rPr>
            </w:pPr>
          </w:p>
        </w:tc>
        <w:tc>
          <w:tcPr>
            <w:tcW w:w="10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6440" w:type="dxa"/>
            <w:vAlign w:val="bottom"/>
            <w:tcBorders>
              <w:bottom w:val="single" w:sz="8" w:color="auto"/>
            </w:tcBorders>
          </w:tcPr>
          <w:p>
            <w:pPr>
              <w:ind w:left="5580"/>
              <w:spacing w:after="0"/>
              <w:rPr>
                <w:sz w:val="20"/>
                <w:szCs w:val="20"/>
                <w:color w:val="auto"/>
              </w:rPr>
            </w:pPr>
            <w:r>
              <w:rPr>
                <w:rFonts w:ascii="Arial" w:cs="Arial" w:eastAsia="Arial" w:hAnsi="Arial"/>
                <w:sz w:val="18"/>
                <w:szCs w:val="18"/>
                <w:color w:val="auto"/>
              </w:rPr>
              <w:t>F-6</w:t>
            </w:r>
          </w:p>
        </w:tc>
        <w:tc>
          <w:tcPr>
            <w:tcW w:w="10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8" w:right="239" w:bottom="1440" w:gutter="0" w:footer="0" w:header="0"/>
        </w:sectPr>
      </w:pPr>
    </w:p>
    <w:bookmarkStart w:id="128" w:name="page129"/>
    <w:bookmarkEnd w:id="1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changes in equity</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25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4"/>
              </w:rPr>
              <w:t>Additional paid-</w:t>
            </w:r>
          </w:p>
        </w:tc>
        <w:tc>
          <w:tcPr>
            <w:tcW w:w="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in capital in</w:t>
            </w:r>
          </w:p>
        </w:tc>
        <w:tc>
          <w:tcPr>
            <w:tcW w:w="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Accumulated</w:t>
            </w: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0"/>
              </w:rPr>
              <w:t>excess of</w:t>
            </w:r>
          </w:p>
        </w:tc>
        <w:tc>
          <w:tcPr>
            <w:tcW w:w="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other</w:t>
            </w: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3"/>
          </w:tcPr>
          <w:p>
            <w:pPr>
              <w:jc w:val="center"/>
              <w:ind w:right="40"/>
              <w:spacing w:after="0"/>
              <w:rPr>
                <w:sz w:val="20"/>
                <w:szCs w:val="20"/>
                <w:color w:val="auto"/>
              </w:rPr>
            </w:pPr>
            <w:r>
              <w:rPr>
                <w:rFonts w:ascii="Arial" w:cs="Arial" w:eastAsia="Arial" w:hAnsi="Arial"/>
                <w:sz w:val="18"/>
                <w:szCs w:val="18"/>
                <w:b w:val="1"/>
                <w:bCs w:val="1"/>
                <w:color w:val="auto"/>
                <w:w w:val="86"/>
              </w:rPr>
              <w:t>assigned value of</w:t>
            </w:r>
          </w:p>
        </w:tc>
        <w:tc>
          <w:tcPr>
            <w:tcW w:w="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7"/>
              </w:rPr>
              <w:t>Retained</w:t>
            </w:r>
          </w:p>
        </w:tc>
        <w:tc>
          <w:tcPr>
            <w:tcW w:w="138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7"/>
              </w:rPr>
              <w:t>comprehensive</w:t>
            </w: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520" w:type="dxa"/>
            <w:vAlign w:val="bottom"/>
          </w:tcPr>
          <w:p>
            <w:pPr>
              <w:spacing w:after="0"/>
              <w:rPr>
                <w:sz w:val="20"/>
                <w:szCs w:val="20"/>
                <w:color w:val="auto"/>
              </w:rPr>
            </w:pPr>
          </w:p>
        </w:tc>
        <w:tc>
          <w:tcPr>
            <w:tcW w:w="1340" w:type="dxa"/>
            <w:vAlign w:val="bottom"/>
            <w:gridSpan w:val="2"/>
          </w:tcPr>
          <w:p>
            <w:pPr>
              <w:spacing w:after="0"/>
              <w:rPr>
                <w:sz w:val="20"/>
                <w:szCs w:val="20"/>
                <w:color w:val="auto"/>
              </w:rPr>
            </w:pPr>
            <w:r>
              <w:rPr>
                <w:rFonts w:ascii="Arial" w:cs="Arial" w:eastAsia="Arial" w:hAnsi="Arial"/>
                <w:sz w:val="18"/>
                <w:szCs w:val="18"/>
                <w:b w:val="1"/>
                <w:bCs w:val="1"/>
                <w:color w:val="auto"/>
              </w:rPr>
              <w:t>Common stock</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w w:val="85"/>
              </w:rPr>
              <w:t>Treasury stock</w:t>
            </w:r>
          </w:p>
        </w:tc>
        <w:tc>
          <w:tcPr>
            <w:tcW w:w="80" w:type="dxa"/>
            <w:vAlign w:val="bottom"/>
          </w:tcPr>
          <w:p>
            <w:pPr>
              <w:spacing w:after="0"/>
              <w:rPr>
                <w:sz w:val="20"/>
                <w:szCs w:val="20"/>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common stock</w:t>
            </w:r>
          </w:p>
        </w:tc>
        <w:tc>
          <w:tcPr>
            <w:tcW w:w="148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w w:val="92"/>
              </w:rPr>
              <w:t>Capital reserves</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5"/>
              </w:rPr>
              <w:t>earnings</w:t>
            </w:r>
          </w:p>
        </w:tc>
        <w:tc>
          <w:tcPr>
            <w:tcW w:w="60" w:type="dxa"/>
            <w:vAlign w:val="bottom"/>
          </w:tcPr>
          <w:p>
            <w:pPr>
              <w:spacing w:after="0"/>
              <w:rPr>
                <w:sz w:val="20"/>
                <w:szCs w:val="20"/>
                <w:color w:val="auto"/>
              </w:rPr>
            </w:pPr>
          </w:p>
        </w:tc>
        <w:tc>
          <w:tcPr>
            <w:tcW w:w="13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4"/>
              </w:rPr>
              <w:t>income (loss)</w:t>
            </w:r>
          </w:p>
        </w:tc>
        <w:tc>
          <w:tcPr>
            <w:tcW w:w="9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2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Balances at January 1, 2015</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279,980</w:t>
            </w: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(77,627)</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119,644</w:t>
            </w:r>
          </w:p>
        </w:tc>
        <w:tc>
          <w:tcPr>
            <w:tcW w:w="1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95,210</w:t>
            </w: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501,669</w:t>
            </w:r>
          </w:p>
        </w:tc>
        <w:tc>
          <w:tcPr>
            <w:tcW w:w="1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(7,837)</w:t>
            </w:r>
          </w:p>
        </w:tc>
        <w:tc>
          <w:tcPr>
            <w:tcW w:w="18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911,039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20" w:type="dxa"/>
            <w:vAlign w:val="bottom"/>
          </w:tcPr>
          <w:p>
            <w:pPr>
              <w:spacing w:after="0"/>
              <w:rPr>
                <w:sz w:val="20"/>
                <w:szCs w:val="20"/>
                <w:color w:val="auto"/>
              </w:rPr>
            </w:pPr>
            <w:r>
              <w:rPr>
                <w:rFonts w:ascii="Arial" w:cs="Arial" w:eastAsia="Arial" w:hAnsi="Arial"/>
                <w:sz w:val="18"/>
                <w:szCs w:val="18"/>
                <w:color w:val="auto"/>
              </w:rPr>
              <w:t>Profit for the year</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103,984</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tcPr>
          <w:p>
            <w:pPr>
              <w:jc w:val="right"/>
              <w:spacing w:after="0"/>
              <w:rPr>
                <w:sz w:val="20"/>
                <w:szCs w:val="20"/>
                <w:color w:val="auto"/>
              </w:rPr>
            </w:pPr>
            <w:r>
              <w:rPr>
                <w:rFonts w:ascii="Arial" w:cs="Arial" w:eastAsia="Arial" w:hAnsi="Arial"/>
                <w:sz w:val="18"/>
                <w:szCs w:val="18"/>
                <w:color w:val="auto"/>
              </w:rPr>
              <w:t>103,984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Other comprehensive income</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(2,844)</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(2,844)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20" w:type="dxa"/>
            <w:vAlign w:val="bottom"/>
          </w:tcPr>
          <w:p>
            <w:pPr>
              <w:spacing w:after="0"/>
              <w:rPr>
                <w:sz w:val="20"/>
                <w:szCs w:val="20"/>
                <w:color w:val="auto"/>
              </w:rPr>
            </w:pPr>
            <w:r>
              <w:rPr>
                <w:rFonts w:ascii="Arial" w:cs="Arial" w:eastAsia="Arial" w:hAnsi="Arial"/>
                <w:sz w:val="18"/>
                <w:szCs w:val="18"/>
                <w:color w:val="auto"/>
              </w:rPr>
              <w:t>Issuance of restricted stock</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1,259</w:t>
            </w:r>
          </w:p>
        </w:tc>
        <w:tc>
          <w:tcPr>
            <w:tcW w:w="1500" w:type="dxa"/>
            <w:vAlign w:val="bottom"/>
            <w:gridSpan w:val="3"/>
          </w:tcPr>
          <w:p>
            <w:pPr>
              <w:jc w:val="right"/>
              <w:ind w:right="60"/>
              <w:spacing w:after="0"/>
              <w:rPr>
                <w:sz w:val="20"/>
                <w:szCs w:val="20"/>
                <w:color w:val="auto"/>
              </w:rPr>
            </w:pPr>
            <w:r>
              <w:rPr>
                <w:rFonts w:ascii="Arial" w:cs="Arial" w:eastAsia="Arial" w:hAnsi="Arial"/>
                <w:sz w:val="18"/>
                <w:szCs w:val="18"/>
                <w:color w:val="auto"/>
              </w:rPr>
              <w:t>(1,259)</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5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Compensation cost - stock</w:t>
            </w:r>
          </w:p>
        </w:tc>
        <w:tc>
          <w:tcPr>
            <w:tcW w:w="1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520" w:type="dxa"/>
            <w:vAlign w:val="bottom"/>
            <w:shd w:val="clear" w:color="auto" w:fill="CCEEFF"/>
          </w:tcPr>
          <w:p>
            <w:pPr>
              <w:ind w:left="120"/>
              <w:spacing w:after="0"/>
              <w:rPr>
                <w:sz w:val="20"/>
                <w:szCs w:val="20"/>
                <w:color w:val="auto"/>
              </w:rPr>
            </w:pPr>
            <w:r>
              <w:rPr>
                <w:rFonts w:ascii="Arial" w:cs="Arial" w:eastAsia="Arial" w:hAnsi="Arial"/>
                <w:sz w:val="18"/>
                <w:szCs w:val="18"/>
                <w:color w:val="auto"/>
              </w:rPr>
              <w:t>options and stock units plans</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3,296</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3,296</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520" w:type="dxa"/>
            <w:vAlign w:val="bottom"/>
          </w:tcPr>
          <w:p>
            <w:pPr>
              <w:spacing w:after="0" w:line="201" w:lineRule="exact"/>
              <w:rPr>
                <w:sz w:val="20"/>
                <w:szCs w:val="20"/>
                <w:color w:val="auto"/>
              </w:rPr>
            </w:pPr>
            <w:r>
              <w:rPr>
                <w:rFonts w:ascii="Arial" w:cs="Arial" w:eastAsia="Arial" w:hAnsi="Arial"/>
                <w:sz w:val="18"/>
                <w:szCs w:val="18"/>
                <w:color w:val="auto"/>
                <w:w w:val="93"/>
              </w:rPr>
              <w:t>Exercised options and stock units</w:t>
            </w:r>
          </w:p>
        </w:tc>
        <w:tc>
          <w:tcPr>
            <w:tcW w:w="1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520" w:type="dxa"/>
            <w:vAlign w:val="bottom"/>
          </w:tcPr>
          <w:p>
            <w:pPr>
              <w:ind w:left="120"/>
              <w:spacing w:after="0"/>
              <w:rPr>
                <w:sz w:val="20"/>
                <w:szCs w:val="20"/>
                <w:color w:val="auto"/>
              </w:rPr>
            </w:pPr>
            <w:r>
              <w:rPr>
                <w:rFonts w:ascii="Arial" w:cs="Arial" w:eastAsia="Arial" w:hAnsi="Arial"/>
                <w:sz w:val="18"/>
                <w:szCs w:val="18"/>
                <w:color w:val="auto"/>
              </w:rPr>
              <w:t>vested</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2,971</w:t>
            </w:r>
          </w:p>
        </w:tc>
        <w:tc>
          <w:tcPr>
            <w:tcW w:w="1500" w:type="dxa"/>
            <w:vAlign w:val="bottom"/>
            <w:gridSpan w:val="3"/>
          </w:tcPr>
          <w:p>
            <w:pPr>
              <w:jc w:val="right"/>
              <w:ind w:right="60"/>
              <w:spacing w:after="0"/>
              <w:rPr>
                <w:sz w:val="20"/>
                <w:szCs w:val="20"/>
                <w:color w:val="auto"/>
              </w:rPr>
            </w:pPr>
            <w:r>
              <w:rPr>
                <w:rFonts w:ascii="Arial" w:cs="Arial" w:eastAsia="Arial" w:hAnsi="Arial"/>
                <w:sz w:val="18"/>
                <w:szCs w:val="18"/>
                <w:color w:val="auto"/>
              </w:rPr>
              <w:t>(1,504)</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tcPr>
          <w:p>
            <w:pPr>
              <w:jc w:val="right"/>
              <w:spacing w:after="0"/>
              <w:rPr>
                <w:sz w:val="20"/>
                <w:szCs w:val="20"/>
                <w:color w:val="auto"/>
              </w:rPr>
            </w:pPr>
            <w:r>
              <w:rPr>
                <w:rFonts w:ascii="Arial" w:cs="Arial" w:eastAsia="Arial" w:hAnsi="Arial"/>
                <w:sz w:val="18"/>
                <w:szCs w:val="18"/>
                <w:color w:val="auto"/>
              </w:rPr>
              <w:t>1,467</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5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Repurchase of "Class B" and</w:t>
            </w:r>
          </w:p>
        </w:tc>
        <w:tc>
          <w:tcPr>
            <w:tcW w:w="1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520" w:type="dxa"/>
            <w:vAlign w:val="bottom"/>
            <w:shd w:val="clear" w:color="auto" w:fill="CCEEFF"/>
          </w:tcPr>
          <w:p>
            <w:pPr>
              <w:ind w:left="120"/>
              <w:spacing w:after="0"/>
              <w:rPr>
                <w:sz w:val="20"/>
                <w:szCs w:val="20"/>
                <w:color w:val="auto"/>
              </w:rPr>
            </w:pPr>
            <w:r>
              <w:rPr>
                <w:rFonts w:ascii="Arial" w:cs="Arial" w:eastAsia="Arial" w:hAnsi="Arial"/>
                <w:sz w:val="18"/>
                <w:szCs w:val="18"/>
                <w:color w:val="auto"/>
              </w:rPr>
              <w:t>"Class E" common stock</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520" w:type="dxa"/>
            <w:vAlign w:val="bottom"/>
          </w:tcPr>
          <w:p>
            <w:pPr>
              <w:spacing w:after="0"/>
              <w:rPr>
                <w:sz w:val="20"/>
                <w:szCs w:val="20"/>
                <w:color w:val="auto"/>
              </w:rPr>
            </w:pPr>
            <w:r>
              <w:rPr>
                <w:rFonts w:ascii="Arial" w:cs="Arial" w:eastAsia="Arial" w:hAnsi="Arial"/>
                <w:sz w:val="18"/>
                <w:szCs w:val="18"/>
                <w:color w:val="auto"/>
              </w:rPr>
              <w:t>Dividends declared</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(45,011)</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(45,011)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2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3"/>
              </w:rPr>
              <w:t>Balances at December 31, 2015</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279,980</w:t>
            </w: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(73,397</w:t>
            </w:r>
          </w:p>
        </w:tc>
        <w:tc>
          <w:tcPr>
            <w:tcW w:w="12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120,177</w:t>
            </w:r>
          </w:p>
        </w:tc>
        <w:tc>
          <w:tcPr>
            <w:tcW w:w="1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95,210</w:t>
            </w: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560,642</w:t>
            </w:r>
          </w:p>
        </w:tc>
        <w:tc>
          <w:tcPr>
            <w:tcW w:w="1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(10,681</w:t>
            </w:r>
          </w:p>
        </w:tc>
        <w:tc>
          <w:tcPr>
            <w:tcW w:w="180" w:type="dxa"/>
            <w:vAlign w:val="bottom"/>
            <w:tcBorders>
              <w:top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971,931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25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year</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87,045</w:t>
            </w:r>
          </w:p>
        </w:tc>
        <w:tc>
          <w:tcPr>
            <w:tcW w:w="1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87,045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20" w:type="dxa"/>
            <w:vAlign w:val="bottom"/>
          </w:tcPr>
          <w:p>
            <w:pPr>
              <w:spacing w:after="0"/>
              <w:rPr>
                <w:sz w:val="20"/>
                <w:szCs w:val="20"/>
                <w:color w:val="auto"/>
              </w:rPr>
            </w:pPr>
            <w:r>
              <w:rPr>
                <w:rFonts w:ascii="Arial" w:cs="Arial" w:eastAsia="Arial" w:hAnsi="Arial"/>
                <w:sz w:val="18"/>
                <w:szCs w:val="18"/>
                <w:color w:val="auto"/>
              </w:rPr>
              <w:t>Other comprehensive income</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7,880</w:t>
            </w:r>
          </w:p>
        </w:tc>
        <w:tc>
          <w:tcPr>
            <w:tcW w:w="880" w:type="dxa"/>
            <w:vAlign w:val="bottom"/>
          </w:tcPr>
          <w:p>
            <w:pPr>
              <w:jc w:val="right"/>
              <w:spacing w:after="0"/>
              <w:rPr>
                <w:sz w:val="20"/>
                <w:szCs w:val="20"/>
                <w:color w:val="auto"/>
              </w:rPr>
            </w:pPr>
            <w:r>
              <w:rPr>
                <w:rFonts w:ascii="Arial" w:cs="Arial" w:eastAsia="Arial" w:hAnsi="Arial"/>
                <w:sz w:val="18"/>
                <w:szCs w:val="18"/>
                <w:color w:val="auto"/>
              </w:rPr>
              <w:t>7,880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Issuance of restricted stock</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1,259</w:t>
            </w:r>
          </w:p>
        </w:tc>
        <w:tc>
          <w:tcPr>
            <w:tcW w:w="15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(1,259)</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520" w:type="dxa"/>
            <w:vAlign w:val="bottom"/>
          </w:tcPr>
          <w:p>
            <w:pPr>
              <w:spacing w:after="0" w:line="201" w:lineRule="exact"/>
              <w:rPr>
                <w:sz w:val="20"/>
                <w:szCs w:val="20"/>
                <w:color w:val="auto"/>
              </w:rPr>
            </w:pPr>
            <w:r>
              <w:rPr>
                <w:rFonts w:ascii="Arial" w:cs="Arial" w:eastAsia="Arial" w:hAnsi="Arial"/>
                <w:sz w:val="18"/>
                <w:szCs w:val="18"/>
                <w:color w:val="auto"/>
              </w:rPr>
              <w:t>Compensation cost - stock</w:t>
            </w:r>
          </w:p>
        </w:tc>
        <w:tc>
          <w:tcPr>
            <w:tcW w:w="1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520" w:type="dxa"/>
            <w:vAlign w:val="bottom"/>
          </w:tcPr>
          <w:p>
            <w:pPr>
              <w:ind w:left="120"/>
              <w:spacing w:after="0"/>
              <w:rPr>
                <w:sz w:val="20"/>
                <w:szCs w:val="20"/>
                <w:color w:val="auto"/>
              </w:rPr>
            </w:pPr>
            <w:r>
              <w:rPr>
                <w:rFonts w:ascii="Arial" w:cs="Arial" w:eastAsia="Arial" w:hAnsi="Arial"/>
                <w:sz w:val="18"/>
                <w:szCs w:val="18"/>
                <w:color w:val="auto"/>
              </w:rPr>
              <w:t>options and stock units plans</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20"/>
              <w:spacing w:after="0"/>
              <w:rPr>
                <w:sz w:val="20"/>
                <w:szCs w:val="20"/>
                <w:color w:val="auto"/>
              </w:rPr>
            </w:pPr>
            <w:r>
              <w:rPr>
                <w:rFonts w:ascii="Arial" w:cs="Arial" w:eastAsia="Arial" w:hAnsi="Arial"/>
                <w:sz w:val="18"/>
                <w:szCs w:val="18"/>
                <w:color w:val="auto"/>
              </w:rPr>
              <w:t>3,063</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tcPr>
          <w:p>
            <w:pPr>
              <w:jc w:val="right"/>
              <w:spacing w:after="0"/>
              <w:rPr>
                <w:sz w:val="20"/>
                <w:szCs w:val="20"/>
                <w:color w:val="auto"/>
              </w:rPr>
            </w:pPr>
            <w:r>
              <w:rPr>
                <w:rFonts w:ascii="Arial" w:cs="Arial" w:eastAsia="Arial" w:hAnsi="Arial"/>
                <w:sz w:val="18"/>
                <w:szCs w:val="18"/>
                <w:color w:val="auto"/>
              </w:rPr>
              <w:t>3,063</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5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3"/>
              </w:rPr>
              <w:t>Exercised options and stock units</w:t>
            </w:r>
          </w:p>
        </w:tc>
        <w:tc>
          <w:tcPr>
            <w:tcW w:w="1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520" w:type="dxa"/>
            <w:vAlign w:val="bottom"/>
            <w:shd w:val="clear" w:color="auto" w:fill="CCEEFF"/>
          </w:tcPr>
          <w:p>
            <w:pPr>
              <w:ind w:left="120"/>
              <w:spacing w:after="0"/>
              <w:rPr>
                <w:sz w:val="20"/>
                <w:szCs w:val="20"/>
                <w:color w:val="auto"/>
              </w:rPr>
            </w:pPr>
            <w:r>
              <w:rPr>
                <w:rFonts w:ascii="Arial" w:cs="Arial" w:eastAsia="Arial" w:hAnsi="Arial"/>
                <w:sz w:val="18"/>
                <w:szCs w:val="18"/>
                <w:color w:val="auto"/>
              </w:rPr>
              <w:t>vested</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2,962</w:t>
            </w:r>
          </w:p>
        </w:tc>
        <w:tc>
          <w:tcPr>
            <w:tcW w:w="15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(1,387)</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1,575</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520" w:type="dxa"/>
            <w:vAlign w:val="bottom"/>
          </w:tcPr>
          <w:p>
            <w:pPr>
              <w:spacing w:after="0" w:line="201" w:lineRule="exact"/>
              <w:rPr>
                <w:sz w:val="20"/>
                <w:szCs w:val="20"/>
                <w:color w:val="auto"/>
              </w:rPr>
            </w:pPr>
            <w:r>
              <w:rPr>
                <w:rFonts w:ascii="Arial" w:cs="Arial" w:eastAsia="Arial" w:hAnsi="Arial"/>
                <w:sz w:val="18"/>
                <w:szCs w:val="18"/>
                <w:color w:val="auto"/>
              </w:rPr>
              <w:t>Repurchase of "Class B" and</w:t>
            </w:r>
          </w:p>
        </w:tc>
        <w:tc>
          <w:tcPr>
            <w:tcW w:w="1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520" w:type="dxa"/>
            <w:vAlign w:val="bottom"/>
          </w:tcPr>
          <w:p>
            <w:pPr>
              <w:ind w:left="120"/>
              <w:spacing w:after="0"/>
              <w:rPr>
                <w:sz w:val="20"/>
                <w:szCs w:val="20"/>
                <w:color w:val="auto"/>
              </w:rPr>
            </w:pPr>
            <w:r>
              <w:rPr>
                <w:rFonts w:ascii="Arial" w:cs="Arial" w:eastAsia="Arial" w:hAnsi="Arial"/>
                <w:sz w:val="18"/>
                <w:szCs w:val="18"/>
                <w:color w:val="auto"/>
              </w:rPr>
              <w:t>"Class E" common stock</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Dividends declared</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(60,180)</w:t>
            </w:r>
          </w:p>
        </w:tc>
        <w:tc>
          <w:tcPr>
            <w:tcW w:w="1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(60,180)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25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w w:val="93"/>
              </w:rPr>
              <w:t>Balances at December 31, 2016</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279,980</w:t>
            </w:r>
          </w:p>
        </w:tc>
        <w:tc>
          <w:tcPr>
            <w:tcW w:w="20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(69,176</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120,594</w:t>
            </w:r>
          </w:p>
        </w:tc>
        <w:tc>
          <w:tcPr>
            <w:tcW w:w="12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95,210</w:t>
            </w:r>
          </w:p>
        </w:tc>
        <w:tc>
          <w:tcPr>
            <w:tcW w:w="200" w:type="dxa"/>
            <w:vAlign w:val="bottom"/>
            <w:tcBorders>
              <w:bottom w:val="single" w:sz="8" w:color="CCEEFF"/>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587,507</w:t>
            </w:r>
          </w:p>
        </w:tc>
        <w:tc>
          <w:tcPr>
            <w:tcW w:w="12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(2,801</w:t>
            </w:r>
          </w:p>
        </w:tc>
        <w:tc>
          <w:tcPr>
            <w:tcW w:w="180" w:type="dxa"/>
            <w:vAlign w:val="bottom"/>
            <w:tcBorders>
              <w:bottom w:val="single" w:sz="8" w:color="CCEEFF"/>
            </w:tcBorders>
          </w:tcPr>
          <w:p>
            <w:pPr>
              <w:jc w:val="right"/>
              <w:ind w:right="40"/>
              <w:spacing w:after="0"/>
              <w:rPr>
                <w:sz w:val="20"/>
                <w:szCs w:val="20"/>
                <w:color w:val="auto"/>
              </w:rPr>
            </w:pPr>
            <w:r>
              <w:rPr>
                <w:rFonts w:ascii="Arial" w:cs="Arial" w:eastAsia="Arial" w:hAnsi="Arial"/>
                <w:sz w:val="16"/>
                <w:szCs w:val="16"/>
                <w:color w:val="auto"/>
                <w:w w:val="74"/>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1,011,314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25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520" w:type="dxa"/>
            <w:vAlign w:val="bottom"/>
          </w:tcPr>
          <w:p>
            <w:pPr>
              <w:spacing w:after="0"/>
              <w:rPr>
                <w:sz w:val="20"/>
                <w:szCs w:val="20"/>
                <w:color w:val="auto"/>
              </w:rPr>
            </w:pPr>
            <w:r>
              <w:rPr>
                <w:rFonts w:ascii="Arial" w:cs="Arial" w:eastAsia="Arial" w:hAnsi="Arial"/>
                <w:sz w:val="18"/>
                <w:szCs w:val="18"/>
                <w:color w:val="auto"/>
              </w:rPr>
              <w:t>Profit for the year</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81,999</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81,999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Other comprehensive income</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4,764</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4,764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20" w:type="dxa"/>
            <w:vAlign w:val="bottom"/>
          </w:tcPr>
          <w:p>
            <w:pPr>
              <w:spacing w:after="0"/>
              <w:rPr>
                <w:sz w:val="20"/>
                <w:szCs w:val="20"/>
                <w:color w:val="auto"/>
              </w:rPr>
            </w:pPr>
            <w:r>
              <w:rPr>
                <w:rFonts w:ascii="Arial" w:cs="Arial" w:eastAsia="Arial" w:hAnsi="Arial"/>
                <w:sz w:val="18"/>
                <w:szCs w:val="18"/>
                <w:color w:val="auto"/>
              </w:rPr>
              <w:t>Issuance of restricted stock</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1,259</w:t>
            </w:r>
          </w:p>
        </w:tc>
        <w:tc>
          <w:tcPr>
            <w:tcW w:w="1500" w:type="dxa"/>
            <w:vAlign w:val="bottom"/>
            <w:gridSpan w:val="3"/>
          </w:tcPr>
          <w:p>
            <w:pPr>
              <w:jc w:val="right"/>
              <w:ind w:right="60"/>
              <w:spacing w:after="0"/>
              <w:rPr>
                <w:sz w:val="20"/>
                <w:szCs w:val="20"/>
                <w:color w:val="auto"/>
              </w:rPr>
            </w:pPr>
            <w:r>
              <w:rPr>
                <w:rFonts w:ascii="Arial" w:cs="Arial" w:eastAsia="Arial" w:hAnsi="Arial"/>
                <w:sz w:val="18"/>
                <w:szCs w:val="18"/>
                <w:color w:val="auto"/>
              </w:rPr>
              <w:t>(1,229)</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tcPr>
          <w:p>
            <w:pPr>
              <w:jc w:val="right"/>
              <w:spacing w:after="0"/>
              <w:rPr>
                <w:sz w:val="20"/>
                <w:szCs w:val="20"/>
                <w:color w:val="auto"/>
              </w:rPr>
            </w:pPr>
            <w:r>
              <w:rPr>
                <w:rFonts w:ascii="Arial" w:cs="Arial" w:eastAsia="Arial" w:hAnsi="Arial"/>
                <w:sz w:val="18"/>
                <w:szCs w:val="18"/>
                <w:color w:val="auto"/>
              </w:rPr>
              <w:t>30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5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Compensation cost - stock</w:t>
            </w:r>
          </w:p>
        </w:tc>
        <w:tc>
          <w:tcPr>
            <w:tcW w:w="1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520" w:type="dxa"/>
            <w:vAlign w:val="bottom"/>
            <w:shd w:val="clear" w:color="auto" w:fill="CCEEFF"/>
          </w:tcPr>
          <w:p>
            <w:pPr>
              <w:ind w:left="120"/>
              <w:spacing w:after="0"/>
              <w:rPr>
                <w:sz w:val="20"/>
                <w:szCs w:val="20"/>
                <w:color w:val="auto"/>
              </w:rPr>
            </w:pPr>
            <w:r>
              <w:rPr>
                <w:rFonts w:ascii="Arial" w:cs="Arial" w:eastAsia="Arial" w:hAnsi="Arial"/>
                <w:sz w:val="18"/>
                <w:szCs w:val="18"/>
                <w:color w:val="auto"/>
              </w:rPr>
              <w:t>options and stock units plans</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296</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296</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520" w:type="dxa"/>
            <w:vAlign w:val="bottom"/>
          </w:tcPr>
          <w:p>
            <w:pPr>
              <w:spacing w:after="0" w:line="201" w:lineRule="exact"/>
              <w:rPr>
                <w:sz w:val="20"/>
                <w:szCs w:val="20"/>
                <w:color w:val="auto"/>
              </w:rPr>
            </w:pPr>
            <w:r>
              <w:rPr>
                <w:rFonts w:ascii="Arial" w:cs="Arial" w:eastAsia="Arial" w:hAnsi="Arial"/>
                <w:sz w:val="18"/>
                <w:szCs w:val="18"/>
                <w:color w:val="auto"/>
                <w:w w:val="93"/>
              </w:rPr>
              <w:t>Exercised options and stock units</w:t>
            </w:r>
          </w:p>
        </w:tc>
        <w:tc>
          <w:tcPr>
            <w:tcW w:w="1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520" w:type="dxa"/>
            <w:vAlign w:val="bottom"/>
          </w:tcPr>
          <w:p>
            <w:pPr>
              <w:ind w:left="120"/>
              <w:spacing w:after="0"/>
              <w:rPr>
                <w:sz w:val="20"/>
                <w:szCs w:val="20"/>
                <w:color w:val="auto"/>
              </w:rPr>
            </w:pPr>
            <w:r>
              <w:rPr>
                <w:rFonts w:ascii="Arial" w:cs="Arial" w:eastAsia="Arial" w:hAnsi="Arial"/>
                <w:sz w:val="18"/>
                <w:szCs w:val="18"/>
                <w:color w:val="auto"/>
              </w:rPr>
              <w:t>vested</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4,697</w:t>
            </w:r>
          </w:p>
        </w:tc>
        <w:tc>
          <w:tcPr>
            <w:tcW w:w="1500" w:type="dxa"/>
            <w:vAlign w:val="bottom"/>
            <w:gridSpan w:val="3"/>
          </w:tcPr>
          <w:p>
            <w:pPr>
              <w:jc w:val="right"/>
              <w:ind w:right="120"/>
              <w:spacing w:after="0"/>
              <w:rPr>
                <w:sz w:val="20"/>
                <w:szCs w:val="20"/>
                <w:color w:val="auto"/>
              </w:rPr>
            </w:pPr>
            <w:r>
              <w:rPr>
                <w:rFonts w:ascii="Arial" w:cs="Arial" w:eastAsia="Arial" w:hAnsi="Arial"/>
                <w:sz w:val="18"/>
                <w:szCs w:val="18"/>
                <w:color w:val="auto"/>
              </w:rPr>
              <w:t>280</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880" w:type="dxa"/>
            <w:vAlign w:val="bottom"/>
          </w:tcPr>
          <w:p>
            <w:pPr>
              <w:jc w:val="right"/>
              <w:spacing w:after="0"/>
              <w:rPr>
                <w:sz w:val="20"/>
                <w:szCs w:val="20"/>
                <w:color w:val="auto"/>
              </w:rPr>
            </w:pPr>
            <w:r>
              <w:rPr>
                <w:rFonts w:ascii="Arial" w:cs="Arial" w:eastAsia="Arial" w:hAnsi="Arial"/>
                <w:sz w:val="18"/>
                <w:szCs w:val="18"/>
                <w:color w:val="auto"/>
              </w:rPr>
              <w:t>4,977</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5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Repurchase of "Class B" and</w:t>
            </w:r>
          </w:p>
        </w:tc>
        <w:tc>
          <w:tcPr>
            <w:tcW w:w="1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520" w:type="dxa"/>
            <w:vAlign w:val="bottom"/>
            <w:shd w:val="clear" w:color="auto" w:fill="CCEEFF"/>
          </w:tcPr>
          <w:p>
            <w:pPr>
              <w:ind w:left="120"/>
              <w:spacing w:after="0"/>
              <w:rPr>
                <w:sz w:val="20"/>
                <w:szCs w:val="20"/>
                <w:color w:val="auto"/>
              </w:rPr>
            </w:pPr>
            <w:r>
              <w:rPr>
                <w:rFonts w:ascii="Arial" w:cs="Arial" w:eastAsia="Arial" w:hAnsi="Arial"/>
                <w:sz w:val="18"/>
                <w:szCs w:val="18"/>
                <w:color w:val="auto"/>
              </w:rPr>
              <w:t>"Class E" common stock</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15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520" w:type="dxa"/>
            <w:vAlign w:val="bottom"/>
          </w:tcPr>
          <w:p>
            <w:pPr>
              <w:spacing w:after="0"/>
              <w:rPr>
                <w:sz w:val="20"/>
                <w:szCs w:val="20"/>
                <w:color w:val="auto"/>
              </w:rPr>
            </w:pPr>
            <w:r>
              <w:rPr>
                <w:rFonts w:ascii="Arial" w:cs="Arial" w:eastAsia="Arial" w:hAnsi="Arial"/>
                <w:sz w:val="18"/>
                <w:szCs w:val="18"/>
                <w:color w:val="auto"/>
              </w:rPr>
              <w:t>Dividends declared</w:t>
            </w: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(60,540)</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(60,540)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25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3"/>
              </w:rPr>
              <w:t>Balances at December 31, 2017</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279,980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(63,248</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119,941</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95,210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608,966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1,963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1,042,812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5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29" w:name="page130"/>
    <w:bookmarkEnd w:id="1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7760" w:type="dxa"/>
            <w:vAlign w:val="bottom"/>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2017</w:t>
            </w:r>
          </w:p>
        </w:tc>
        <w:tc>
          <w:tcPr>
            <w:tcW w:w="260" w:type="dxa"/>
            <w:vAlign w:val="bottom"/>
          </w:tcPr>
          <w:p>
            <w:pPr>
              <w:spacing w:after="0"/>
              <w:rPr>
                <w:sz w:val="20"/>
                <w:szCs w:val="20"/>
                <w:color w:val="auto"/>
              </w:rPr>
            </w:pPr>
          </w:p>
        </w:tc>
        <w:tc>
          <w:tcPr>
            <w:tcW w:w="100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0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7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0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Profit for the year</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color w:val="auto"/>
              </w:rPr>
              <w:t>81,999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87,045</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103,984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Adjustments to reconcile profit for the year to net cash provided by operating activities:</w:t>
            </w:r>
          </w:p>
        </w:tc>
        <w:tc>
          <w:tcPr>
            <w:tcW w:w="10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Activities of derivative financial instruments used for hedging</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(26,363)</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21,333</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(2,279)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1,578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1,457</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1,371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color w:val="auto"/>
              </w:rPr>
              <w:t>838</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629</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596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Loss for disposal of equipment and leasehold improvements</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2,205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140</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Loss for disposal of intangible assets</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color w:val="auto"/>
              </w:rPr>
              <w:t>16</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9,439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35,115</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18,090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Net (gain) loss on sale of financial assets at fair value through OCI</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(249)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356</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(363)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296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3,063</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Interest income</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(226,079)</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(245,898)</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(220,312)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106,264</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90,689</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74,833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pledged deposits</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8,571</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(29,148)</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6,546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53,411</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2,545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loans at amortized cost</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479,226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650,217</w:t>
            </w:r>
          </w:p>
        </w:tc>
        <w:tc>
          <w:tcPr>
            <w:tcW w:w="11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(7,410)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Other assets</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(269)</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(39)</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(7,738)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0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Net increase due to depositors</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color w:val="auto"/>
              </w:rPr>
              <w:t>125,992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7,383</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288,775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Other liabilities</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(4,695)</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(1,774)</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6,398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provided by operating activities</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558,745</w:t>
            </w:r>
          </w:p>
        </w:tc>
        <w:tc>
          <w:tcPr>
            <w:tcW w:w="26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673,914</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268,402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received</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239,394</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247,167</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223,033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760" w:type="dxa"/>
            <w:vAlign w:val="bottom"/>
          </w:tcPr>
          <w:p>
            <w:pPr>
              <w:ind w:left="160"/>
              <w:spacing w:after="0"/>
              <w:rPr>
                <w:sz w:val="20"/>
                <w:szCs w:val="20"/>
                <w:color w:val="auto"/>
              </w:rPr>
            </w:pPr>
            <w:r>
              <w:rPr>
                <w:rFonts w:ascii="Arial" w:cs="Arial" w:eastAsia="Arial" w:hAnsi="Arial"/>
                <w:sz w:val="18"/>
                <w:szCs w:val="18"/>
                <w:color w:val="auto"/>
              </w:rPr>
              <w:t>Interest paid</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(107,051)</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(91,802)</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(71,972)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operating activities</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691,088</w:t>
            </w:r>
          </w:p>
        </w:tc>
        <w:tc>
          <w:tcPr>
            <w:tcW w:w="26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829,279</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419,463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7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0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(2,654)</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(3,973)</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(615)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intangible assets</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(3,370)</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(3,111)</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Proceeds from the redemption of of financial instruments at fair value through OCI</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107,088</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151,131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Proceeds from the sale of financial instruments at fair value through OCI</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17,040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102,655</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118,210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Proceeds from maturities of financial instruments at amortized cost</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color w:val="auto"/>
              </w:rPr>
              <w:t>18,258</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55,240</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44,923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Purchases of financial instruments at fair value through OCI</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(8,402)</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(84,153)</w:t>
            </w:r>
          </w:p>
        </w:tc>
        <w:tc>
          <w:tcPr>
            <w:tcW w:w="11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(86,629)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Purchases of financial instruments at amortized cost</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(9,978)</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(24,600)</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(96,920)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investing activities</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10,894</w:t>
            </w:r>
          </w:p>
        </w:tc>
        <w:tc>
          <w:tcPr>
            <w:tcW w:w="26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149,146</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130,100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7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0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w w:val="99"/>
              </w:rPr>
              <w:t>Net decrease in short-term borrowings and debt and securities sold under repurchase agreements</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(397,352)</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(1,074,366)</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(448,615)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219,905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403,489</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946,084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(857,799)</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(508,564)</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(462,559)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Dividends paid</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(60,605)</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(60,135)</w:t>
            </w:r>
          </w:p>
        </w:tc>
        <w:tc>
          <w:tcPr>
            <w:tcW w:w="11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(59,943)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Exercised stock options</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color w:val="auto"/>
              </w:rPr>
              <w:t>4,977</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1,575</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1,467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Repurchase of common stock</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b w:val="1"/>
                <w:bCs w:val="1"/>
                <w:color w:val="auto"/>
              </w:rPr>
              <w:t>Net cash used in financing activities</w:t>
            </w: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(1,090,901)</w:t>
            </w:r>
          </w:p>
        </w:tc>
        <w:tc>
          <w:tcPr>
            <w:tcW w:w="260" w:type="dxa"/>
            <w:vAlign w:val="bottom"/>
          </w:tcPr>
          <w:p>
            <w:pPr>
              <w:spacing w:after="0"/>
              <w:rPr>
                <w:sz w:val="18"/>
                <w:szCs w:val="18"/>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(1,238,001)</w:t>
            </w:r>
          </w:p>
        </w:tc>
        <w:tc>
          <w:tcPr>
            <w:tcW w:w="220" w:type="dxa"/>
            <w:vAlign w:val="bottom"/>
          </w:tcPr>
          <w:p>
            <w:pPr>
              <w:spacing w:after="0"/>
              <w:rPr>
                <w:sz w:val="18"/>
                <w:szCs w:val="18"/>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(23,566)</w:t>
            </w:r>
          </w:p>
        </w:tc>
        <w:tc>
          <w:tcPr>
            <w:tcW w:w="100" w:type="dxa"/>
            <w:vAlign w:val="bottom"/>
            <w:gridSpan w:val="2"/>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7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760" w:type="dxa"/>
            <w:vAlign w:val="bottom"/>
          </w:tcPr>
          <w:p>
            <w:pPr>
              <w:spacing w:after="0"/>
              <w:rPr>
                <w:sz w:val="20"/>
                <w:szCs w:val="20"/>
                <w:color w:val="auto"/>
              </w:rPr>
            </w:pPr>
            <w:r>
              <w:rPr>
                <w:rFonts w:ascii="Arial" w:cs="Arial" w:eastAsia="Arial" w:hAnsi="Arial"/>
                <w:sz w:val="18"/>
                <w:szCs w:val="18"/>
                <w:color w:val="auto"/>
              </w:rPr>
              <w:t>Net (decrease) increase in cash and cash equivalents</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(388,919)</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(259,576)</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525,997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76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 at beginning of the year</w:t>
            </w: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1,007,726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1,267,302</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741,305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760" w:type="dxa"/>
            <w:vAlign w:val="bottom"/>
          </w:tcPr>
          <w:p>
            <w:pPr>
              <w:spacing w:after="0"/>
              <w:rPr>
                <w:sz w:val="20"/>
                <w:szCs w:val="20"/>
                <w:color w:val="auto"/>
              </w:rPr>
            </w:pPr>
            <w:r>
              <w:rPr>
                <w:rFonts w:ascii="Arial" w:cs="Arial" w:eastAsia="Arial" w:hAnsi="Arial"/>
                <w:sz w:val="18"/>
                <w:szCs w:val="18"/>
                <w:b w:val="1"/>
                <w:bCs w:val="1"/>
                <w:color w:val="auto"/>
              </w:rPr>
              <w:t>Cash and cash equivalents at end of the year</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618,807</w:t>
            </w:r>
          </w:p>
        </w:tc>
        <w:tc>
          <w:tcPr>
            <w:tcW w:w="26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1,007,726</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1,267,302</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7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30" w:name="page131"/>
    <w:bookmarkEnd w:id="1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660" w:hanging="328"/>
        <w:spacing w:after="0"/>
        <w:tabs>
          <w:tab w:leader="none" w:pos="660" w:val="left"/>
        </w:tabs>
        <w:numPr>
          <w:ilvl w:val="0"/>
          <w:numId w:val="90"/>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operates under a general banking license issued by the National Banking Commission of Panama, predecessor of the Superintendency of Banks of Panama (the “SBP”).</w:t>
      </w:r>
    </w:p>
    <w:p>
      <w:pPr>
        <w:spacing w:after="0" w:line="170"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Bladex Head Office’s subsidiaries are the following:</w:t>
      </w:r>
    </w:p>
    <w:p>
      <w:pPr>
        <w:spacing w:after="0" w:line="225" w:lineRule="exact"/>
        <w:rPr>
          <w:sz w:val="20"/>
          <w:szCs w:val="20"/>
          <w:color w:val="auto"/>
        </w:rPr>
      </w:pPr>
    </w:p>
    <w:p>
      <w:pPr>
        <w:ind w:left="660" w:hanging="328"/>
        <w:spacing w:after="0" w:line="277" w:lineRule="auto"/>
        <w:tabs>
          <w:tab w:leader="none" w:pos="660" w:val="left"/>
        </w:tabs>
        <w:numPr>
          <w:ilvl w:val="0"/>
          <w:numId w:val="91"/>
        </w:numPr>
        <w:rPr>
          <w:rFonts w:ascii="Arial" w:cs="Arial" w:eastAsia="Arial" w:hAnsi="Arial"/>
          <w:sz w:val="18"/>
          <w:szCs w:val="18"/>
          <w:color w:val="auto"/>
        </w:rPr>
      </w:pPr>
      <w:r>
        <w:rPr>
          <w:rFonts w:ascii="Arial" w:cs="Arial" w:eastAsia="Arial" w:hAnsi="Arial"/>
          <w:sz w:val="18"/>
          <w:szCs w:val="18"/>
          <w:color w:val="auto"/>
        </w:rPr>
        <w:t>Bladex Holdings Inc. a wholly owned subsidiary, incorporated under the laws of the State of Delaware, United States of America (USA), on May 30, 2000. Bladex Holdings Inc. has ownership in Bladex Representacao Ltda.</w:t>
      </w:r>
    </w:p>
    <w:p>
      <w:pPr>
        <w:spacing w:after="0" w:line="170" w:lineRule="exact"/>
        <w:rPr>
          <w:rFonts w:ascii="Arial" w:cs="Arial" w:eastAsia="Arial" w:hAnsi="Arial"/>
          <w:sz w:val="18"/>
          <w:szCs w:val="18"/>
          <w:color w:val="auto"/>
        </w:rPr>
      </w:pPr>
    </w:p>
    <w:p>
      <w:pPr>
        <w:ind w:left="660" w:right="20" w:hanging="328"/>
        <w:spacing w:after="0" w:line="308" w:lineRule="auto"/>
        <w:tabs>
          <w:tab w:leader="none" w:pos="660" w:val="left"/>
        </w:tabs>
        <w:numPr>
          <w:ilvl w:val="0"/>
          <w:numId w:val="9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Representacao Ltda. is 99.999% owned by Bladex Head Office and the remaining 0.001% owned by Bladex Holdings Inc.</w:t>
      </w:r>
    </w:p>
    <w:p>
      <w:pPr>
        <w:spacing w:after="0" w:line="146" w:lineRule="exact"/>
        <w:rPr>
          <w:rFonts w:ascii="Arial" w:cs="Arial" w:eastAsia="Arial" w:hAnsi="Arial"/>
          <w:sz w:val="17"/>
          <w:szCs w:val="17"/>
          <w:color w:val="auto"/>
        </w:rPr>
      </w:pPr>
    </w:p>
    <w:p>
      <w:pPr>
        <w:jc w:val="both"/>
        <w:ind w:left="660" w:hanging="328"/>
        <w:spacing w:after="0" w:line="297" w:lineRule="auto"/>
        <w:tabs>
          <w:tab w:leader="none" w:pos="660" w:val="left"/>
        </w:tabs>
        <w:numPr>
          <w:ilvl w:val="0"/>
          <w:numId w:val="91"/>
        </w:numPr>
        <w:rPr>
          <w:rFonts w:ascii="Arial" w:cs="Arial" w:eastAsia="Arial" w:hAnsi="Arial"/>
          <w:sz w:val="16"/>
          <w:szCs w:val="16"/>
          <w:color w:val="auto"/>
        </w:rPr>
      </w:pPr>
      <w:r>
        <w:rPr>
          <w:rFonts w:ascii="Arial" w:cs="Arial" w:eastAsia="Arial" w:hAnsi="Arial"/>
          <w:sz w:val="16"/>
          <w:szCs w:val="16"/>
          <w:color w:val="auto"/>
        </w:rPr>
        <w:t>Bladex Investimentos Ltda. was incorporated under the laws of Brazil on May 3, 2011. Bladex Head Office owned 99% of Bladex Investimentos Ltda., and Bladex Holdings Inc. owned the remaining 1%. This company had invested substantially all of its assets in an investment fund, Alpha 4x Latam Fundo de Investimento Multimercado, incorporated in Brazil (“the Brazilian Fund”), registered with the Securities and Exchange Commission of Brazil (“CVM”, for its acronym in Portuguese). Bladex Investimentos Ltda. merged with Bladex Representacao Ltda. on April 2016, being the former the extinct company under Brazilian law and prevailing the acquiring company Bladex Representacao Ltda.</w:t>
      </w:r>
    </w:p>
    <w:p>
      <w:pPr>
        <w:spacing w:after="0" w:line="158" w:lineRule="exact"/>
        <w:rPr>
          <w:rFonts w:ascii="Arial" w:cs="Arial" w:eastAsia="Arial" w:hAnsi="Arial"/>
          <w:sz w:val="16"/>
          <w:szCs w:val="16"/>
          <w:color w:val="auto"/>
        </w:rPr>
      </w:pPr>
    </w:p>
    <w:p>
      <w:pPr>
        <w:ind w:left="660" w:hanging="328"/>
        <w:spacing w:after="0" w:line="277" w:lineRule="auto"/>
        <w:tabs>
          <w:tab w:leader="none" w:pos="660" w:val="left"/>
        </w:tabs>
        <w:numPr>
          <w:ilvl w:val="0"/>
          <w:numId w:val="91"/>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91"/>
        </w:numPr>
        <w:rPr>
          <w:rFonts w:ascii="Arial" w:cs="Arial" w:eastAsia="Arial" w:hAnsi="Arial"/>
          <w:sz w:val="18"/>
          <w:szCs w:val="18"/>
          <w:color w:val="auto"/>
        </w:rPr>
      </w:pPr>
      <w:r>
        <w:rPr>
          <w:rFonts w:ascii="Arial" w:cs="Arial" w:eastAsia="Arial" w:hAnsi="Arial"/>
          <w:sz w:val="18"/>
          <w:szCs w:val="18"/>
          <w:color w:val="auto"/>
        </w:rPr>
        <w:t>BLX Soluciones, S.A. de C.V., SOFOM, E.N.R.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1"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31" w:name="page132"/>
    <w:bookmarkEnd w:id="1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540" w:hanging="316"/>
        <w:spacing w:after="0"/>
        <w:tabs>
          <w:tab w:leader="none" w:pos="540" w:val="left"/>
        </w:tabs>
        <w:numPr>
          <w:ilvl w:val="0"/>
          <w:numId w:val="92"/>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has representative offices in Buenos Aires, Argentina; in Mexico City; in Lima, Peru; and in Bogota, Colombia.</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consolidated financial statements have been authorized for issue by resolution of the Board of Directors dated February 06, 2018.</w:t>
      </w:r>
    </w:p>
    <w:p>
      <w:pPr>
        <w:spacing w:after="0" w:line="221" w:lineRule="exact"/>
        <w:rPr>
          <w:sz w:val="20"/>
          <w:szCs w:val="20"/>
          <w:color w:val="auto"/>
        </w:rPr>
      </w:pPr>
    </w:p>
    <w:p>
      <w:pPr>
        <w:ind w:left="460" w:hanging="330"/>
        <w:spacing w:after="0"/>
        <w:tabs>
          <w:tab w:leader="none" w:pos="460" w:val="left"/>
        </w:tabs>
        <w:numPr>
          <w:ilvl w:val="0"/>
          <w:numId w:val="93"/>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2.1  Statement of compliance</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consolidated financial statements of Banco Latinoamericano de Comercio Exterior, S. A. and its subsidiaries have been prepared in accordance with International Financial Reporting Standards ("IFRS") as issued by the International Accounting Standards Board ("IASB"), and Interpretations issued by the IFRS Interpretation Committee (formerly known as IFRIC).</w:t>
      </w:r>
    </w:p>
    <w:p>
      <w:pPr>
        <w:spacing w:after="0" w:line="177" w:lineRule="exact"/>
        <w:rPr>
          <w:sz w:val="20"/>
          <w:szCs w:val="20"/>
          <w:color w:val="auto"/>
        </w:rPr>
      </w:pPr>
    </w:p>
    <w:p>
      <w:pPr>
        <w:ind w:left="340"/>
        <w:spacing w:after="0"/>
        <w:tabs>
          <w:tab w:leader="none" w:pos="680" w:val="left"/>
        </w:tabs>
        <w:rPr>
          <w:sz w:val="20"/>
          <w:szCs w:val="20"/>
          <w:color w:val="auto"/>
        </w:rPr>
      </w:pPr>
      <w:r>
        <w:rPr>
          <w:rFonts w:ascii="Arial" w:cs="Arial" w:eastAsia="Arial" w:hAnsi="Arial"/>
          <w:sz w:val="18"/>
          <w:szCs w:val="18"/>
          <w:b w:val="1"/>
          <w:bCs w:val="1"/>
          <w:color w:val="auto"/>
        </w:rPr>
        <w:t>2.2</w:t>
      </w:r>
      <w:r>
        <w:rPr>
          <w:sz w:val="20"/>
          <w:szCs w:val="20"/>
          <w:color w:val="auto"/>
        </w:rPr>
        <w:tab/>
      </w:r>
      <w:r>
        <w:rPr>
          <w:rFonts w:ascii="Arial" w:cs="Arial" w:eastAsia="Arial" w:hAnsi="Arial"/>
          <w:sz w:val="15"/>
          <w:szCs w:val="15"/>
          <w:b w:val="1"/>
          <w:bCs w:val="1"/>
          <w:color w:val="auto"/>
        </w:rPr>
        <w:t>Basis of valuation and presentation currency</w:t>
      </w:r>
    </w:p>
    <w:p>
      <w:pPr>
        <w:spacing w:after="0" w:line="229"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The consolidated financial statements have been prepared on the basis of fair value for financial assets and liabilities through profit or loss, derivative financial instruments, investments and other financial assets at fair value through other comprehensive income. The carrying values of recognized assets and liabilities that are designated as hedged items in fair value hedges, that would otherwise be carried at amortized cost, are adjusted to record changes in the fair values attributable to the risks that are being hedged in effective hedge relationships. Other financial assets and liabilities and other non-financial assets and liabilities are presented at amortized cost or on a historical cost basis.</w:t>
      </w:r>
    </w:p>
    <w:p>
      <w:pPr>
        <w:spacing w:after="0" w:line="173" w:lineRule="exact"/>
        <w:rPr>
          <w:sz w:val="20"/>
          <w:szCs w:val="20"/>
          <w:color w:val="auto"/>
        </w:rPr>
      </w:pPr>
    </w:p>
    <w:p>
      <w:pPr>
        <w:ind w:left="340" w:right="2240"/>
        <w:spacing w:after="0" w:line="277" w:lineRule="auto"/>
        <w:rPr>
          <w:sz w:val="20"/>
          <w:szCs w:val="20"/>
          <w:color w:val="auto"/>
        </w:rPr>
      </w:pPr>
      <w:r>
        <w:rPr>
          <w:rFonts w:ascii="Arial" w:cs="Arial" w:eastAsia="Arial" w:hAnsi="Arial"/>
          <w:sz w:val="18"/>
          <w:szCs w:val="18"/>
          <w:color w:val="auto"/>
        </w:rPr>
        <w:t>All amounts presented in the consolidated financial statements and notes are expressed in United States of America dollars (US dollar), which is the functional currency of the Bank.</w:t>
      </w:r>
    </w:p>
    <w:p>
      <w:pPr>
        <w:spacing w:after="0" w:line="166" w:lineRule="exact"/>
        <w:rPr>
          <w:sz w:val="20"/>
          <w:szCs w:val="20"/>
          <w:color w:val="auto"/>
        </w:rPr>
      </w:pPr>
    </w:p>
    <w:p>
      <w:pPr>
        <w:ind w:left="340"/>
        <w:spacing w:after="0"/>
        <w:tabs>
          <w:tab w:leader="none" w:pos="680" w:val="left"/>
        </w:tabs>
        <w:rPr>
          <w:sz w:val="20"/>
          <w:szCs w:val="20"/>
          <w:color w:val="auto"/>
        </w:rPr>
      </w:pPr>
      <w:r>
        <w:rPr>
          <w:rFonts w:ascii="Arial" w:cs="Arial" w:eastAsia="Arial" w:hAnsi="Arial"/>
          <w:sz w:val="18"/>
          <w:szCs w:val="18"/>
          <w:b w:val="1"/>
          <w:bCs w:val="1"/>
          <w:color w:val="auto"/>
        </w:rPr>
        <w:t>2.3</w:t>
      </w:r>
      <w:r>
        <w:rPr>
          <w:sz w:val="20"/>
          <w:szCs w:val="20"/>
          <w:color w:val="auto"/>
        </w:rPr>
        <w:tab/>
      </w:r>
      <w:r>
        <w:rPr>
          <w:rFonts w:ascii="Arial" w:cs="Arial" w:eastAsia="Arial" w:hAnsi="Arial"/>
          <w:sz w:val="15"/>
          <w:szCs w:val="15"/>
          <w:b w:val="1"/>
          <w:bCs w:val="1"/>
          <w:color w:val="auto"/>
        </w:rPr>
        <w:t>Basis of consolidation</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consolidated financial statements comprise the financial statements of Bladex and its subsidiaries. Bladex consolidates its subsidiaries from the date on which control is transferred to the Bank. All intercompany balances and transactions have been eliminated for consolidation purposes. Specifically, the Bank controls an investee if, and only if, the Bank has:</w:t>
      </w:r>
    </w:p>
    <w:p>
      <w:pPr>
        <w:spacing w:after="0" w:line="181" w:lineRule="exact"/>
        <w:rPr>
          <w:sz w:val="20"/>
          <w:szCs w:val="20"/>
          <w:color w:val="auto"/>
        </w:rPr>
      </w:pPr>
    </w:p>
    <w:p>
      <w:pPr>
        <w:ind w:left="1300" w:hanging="320"/>
        <w:spacing w:after="0"/>
        <w:tabs>
          <w:tab w:leader="none" w:pos="1300" w:val="left"/>
        </w:tabs>
        <w:numPr>
          <w:ilvl w:val="0"/>
          <w:numId w:val="94"/>
        </w:numPr>
        <w:rPr>
          <w:rFonts w:ascii="Arial" w:cs="Arial" w:eastAsia="Arial" w:hAnsi="Arial"/>
          <w:sz w:val="18"/>
          <w:szCs w:val="18"/>
          <w:color w:val="auto"/>
        </w:rPr>
      </w:pPr>
      <w:r>
        <w:rPr>
          <w:rFonts w:ascii="Arial" w:cs="Arial" w:eastAsia="Arial" w:hAnsi="Arial"/>
          <w:sz w:val="18"/>
          <w:szCs w:val="18"/>
          <w:color w:val="auto"/>
        </w:rPr>
        <w:t>Power over the investee. Existing rights that give it the current ability to direct the relevant activities of the investee.</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0"/>
          <w:numId w:val="94"/>
        </w:numPr>
        <w:rPr>
          <w:rFonts w:ascii="Arial" w:cs="Arial" w:eastAsia="Arial" w:hAnsi="Arial"/>
          <w:sz w:val="18"/>
          <w:szCs w:val="18"/>
          <w:color w:val="auto"/>
        </w:rPr>
      </w:pPr>
      <w:r>
        <w:rPr>
          <w:rFonts w:ascii="Arial" w:cs="Arial" w:eastAsia="Arial" w:hAnsi="Arial"/>
          <w:sz w:val="18"/>
          <w:szCs w:val="18"/>
          <w:color w:val="auto"/>
        </w:rPr>
        <w:t>Exposure, or rights, to variable returns from its involvement with the investee.</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94"/>
        </w:numPr>
        <w:rPr>
          <w:rFonts w:ascii="Arial" w:cs="Arial" w:eastAsia="Arial" w:hAnsi="Arial"/>
          <w:sz w:val="18"/>
          <w:szCs w:val="18"/>
          <w:color w:val="auto"/>
        </w:rPr>
      </w:pPr>
      <w:r>
        <w:rPr>
          <w:rFonts w:ascii="Arial" w:cs="Arial" w:eastAsia="Arial" w:hAnsi="Arial"/>
          <w:sz w:val="18"/>
          <w:szCs w:val="18"/>
          <w:color w:val="auto"/>
        </w:rPr>
        <w:t>The ability to use its power over the investee to affect its return.</w:t>
      </w:r>
    </w:p>
    <w:p>
      <w:pPr>
        <w:spacing w:after="0" w:line="21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Generally, there is a presumption that a majority of voting rights results in control. To support this presumption and when the Bank has less than the majority of the voting or similar rights of an investee, the Bank considers all relevant facts and circumstances in assessing whether it has power over an investee, including:</w:t>
      </w:r>
    </w:p>
    <w:p>
      <w:pPr>
        <w:spacing w:after="0" w:line="181" w:lineRule="exact"/>
        <w:rPr>
          <w:sz w:val="20"/>
          <w:szCs w:val="20"/>
          <w:color w:val="auto"/>
        </w:rPr>
      </w:pPr>
    </w:p>
    <w:p>
      <w:pPr>
        <w:ind w:left="1300" w:hanging="320"/>
        <w:spacing w:after="0"/>
        <w:tabs>
          <w:tab w:leader="none" w:pos="1300" w:val="left"/>
        </w:tabs>
        <w:numPr>
          <w:ilvl w:val="0"/>
          <w:numId w:val="95"/>
        </w:numPr>
        <w:rPr>
          <w:rFonts w:ascii="Arial" w:cs="Arial" w:eastAsia="Arial" w:hAnsi="Arial"/>
          <w:sz w:val="18"/>
          <w:szCs w:val="18"/>
          <w:color w:val="auto"/>
        </w:rPr>
      </w:pPr>
      <w:r>
        <w:rPr>
          <w:rFonts w:ascii="Arial" w:cs="Arial" w:eastAsia="Arial" w:hAnsi="Arial"/>
          <w:sz w:val="18"/>
          <w:szCs w:val="18"/>
          <w:color w:val="auto"/>
        </w:rPr>
        <w:t>The contractual arrangement(s) with the other vote holders of the investee</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0"/>
          <w:numId w:val="95"/>
        </w:numPr>
        <w:rPr>
          <w:rFonts w:ascii="Arial" w:cs="Arial" w:eastAsia="Arial" w:hAnsi="Arial"/>
          <w:sz w:val="18"/>
          <w:szCs w:val="18"/>
          <w:color w:val="auto"/>
        </w:rPr>
      </w:pPr>
      <w:r>
        <w:rPr>
          <w:rFonts w:ascii="Arial" w:cs="Arial" w:eastAsia="Arial" w:hAnsi="Arial"/>
          <w:sz w:val="18"/>
          <w:szCs w:val="18"/>
          <w:color w:val="auto"/>
        </w:rPr>
        <w:t>Rights arising from other contractual arrangements</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95"/>
        </w:numPr>
        <w:rPr>
          <w:rFonts w:ascii="Arial" w:cs="Arial" w:eastAsia="Arial" w:hAnsi="Arial"/>
          <w:sz w:val="18"/>
          <w:szCs w:val="18"/>
          <w:color w:val="auto"/>
        </w:rPr>
      </w:pPr>
      <w:r>
        <w:rPr>
          <w:rFonts w:ascii="Arial" w:cs="Arial" w:eastAsia="Arial" w:hAnsi="Arial"/>
          <w:sz w:val="18"/>
          <w:szCs w:val="18"/>
          <w:color w:val="auto"/>
        </w:rPr>
        <w:t>The Bank’s voting rights and potential voting rights.</w:t>
      </w:r>
    </w:p>
    <w:p>
      <w:pPr>
        <w:spacing w:after="0" w:line="211"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re-assesses whether or not it controls an investee if facts and circumstances indicate that there are changes to one or more of the three elements of control. Consolidation of a subsidiary begins when the Bank obtains control over the subsidiary and ceases when the Bank loses control of the subsidiary. Assets, liabilities, income and expenses of a subsidiary acquired or disposed of during the year are included in the consolidated financial statements from the date the Bank gains control until the date the Bank ceases to control the subsidiary.</w:t>
      </w:r>
    </w:p>
    <w:p>
      <w:pPr>
        <w:spacing w:after="0" w:line="17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Profit or loss and each component of other comprehensive income (“OCI”) are attributed to the equity holders of the parent of the Bank and to the non-controlling interests, even if this results in the non-controlling interests having a deficit balance. When necessary, adjustments are made to the financial statements of subsidiaries to bring their accounting policies in line with the Bank’s accounting policies.</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32" w:name="page133"/>
    <w:bookmarkEnd w:id="1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20" w:hanging="317"/>
        <w:spacing w:after="0"/>
        <w:tabs>
          <w:tab w:leader="none" w:pos="420" w:val="left"/>
        </w:tabs>
        <w:numPr>
          <w:ilvl w:val="0"/>
          <w:numId w:val="96"/>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2.3  Basis of consolidation (continued)</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A change in the ownership interest of a subsidiary, without a loss of control, is accounted for as an equity transaction. If the Bank loses control over a subsidiary, it derecognizes the related assets, liabilities, non-controlling interest and other components of equity, while any resultant gain or loss is recognized in the consolidated statement of profit or loss. Any investment retained is recognized at fair value.</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When loses control of a subsidiary, the gain/loss on disposal recognised in profit or loss is calculated as the difference between:</w:t>
      </w:r>
    </w:p>
    <w:p>
      <w:pPr>
        <w:spacing w:after="0" w:line="225" w:lineRule="exact"/>
        <w:rPr>
          <w:sz w:val="20"/>
          <w:szCs w:val="20"/>
          <w:color w:val="auto"/>
        </w:rPr>
      </w:pPr>
    </w:p>
    <w:p>
      <w:pPr>
        <w:ind w:left="1300" w:hanging="320"/>
        <w:spacing w:after="0"/>
        <w:tabs>
          <w:tab w:leader="none" w:pos="1300" w:val="left"/>
        </w:tabs>
        <w:numPr>
          <w:ilvl w:val="0"/>
          <w:numId w:val="97"/>
        </w:numPr>
        <w:rPr>
          <w:rFonts w:ascii="Arial" w:cs="Arial" w:eastAsia="Arial" w:hAnsi="Arial"/>
          <w:sz w:val="18"/>
          <w:szCs w:val="18"/>
          <w:color w:val="auto"/>
        </w:rPr>
      </w:pPr>
      <w:r>
        <w:rPr>
          <w:rFonts w:ascii="Arial" w:cs="Arial" w:eastAsia="Arial" w:hAnsi="Arial"/>
          <w:sz w:val="18"/>
          <w:szCs w:val="18"/>
          <w:color w:val="auto"/>
        </w:rPr>
        <w:t>The aggregate of the fair value of the consideration received and the fair value of any retained interest, and</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0"/>
          <w:numId w:val="97"/>
        </w:numPr>
        <w:rPr>
          <w:rFonts w:ascii="Arial" w:cs="Arial" w:eastAsia="Arial" w:hAnsi="Arial"/>
          <w:sz w:val="17"/>
          <w:szCs w:val="17"/>
          <w:color w:val="auto"/>
        </w:rPr>
      </w:pPr>
      <w:r>
        <w:rPr>
          <w:rFonts w:ascii="Arial" w:cs="Arial" w:eastAsia="Arial" w:hAnsi="Arial"/>
          <w:sz w:val="17"/>
          <w:szCs w:val="17"/>
          <w:color w:val="auto"/>
        </w:rPr>
        <w:t>The previous carrying amount of the assets (including goodwill), less liabilities of the subsidiary and any Non- Controlling Interest (NCI)</w:t>
      </w:r>
    </w:p>
    <w:p>
      <w:pPr>
        <w:spacing w:after="0" w:line="222"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All amounts previously recognised in other comprehensive income (loss) in relation to that subsidiary are accounted for as if had directly disposed of the related assets or liabilities of the subsidiary (i.e. reclassified to profit or loss or transferred to another category of equity as specified/permitted by applicable IFRSs).</w:t>
      </w:r>
    </w:p>
    <w:p>
      <w:pPr>
        <w:spacing w:after="0" w:line="18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 xml:space="preserve">The fair value of any investment retained in the former subsidiary at the date when control is lost is regarded as the fair value on initial recognition for subsequent accounting under IFRS 9 – “Financial </w:t>
      </w:r>
      <w:r>
        <w:rPr>
          <w:rFonts w:ascii="Arial" w:cs="Arial" w:eastAsia="Arial" w:hAnsi="Arial"/>
          <w:sz w:val="18"/>
          <w:szCs w:val="18"/>
          <w:i w:val="1"/>
          <w:iCs w:val="1"/>
          <w:color w:val="auto"/>
        </w:rPr>
        <w:t>Instruments</w:t>
      </w:r>
      <w:r>
        <w:rPr>
          <w:rFonts w:ascii="Arial" w:cs="Arial" w:eastAsia="Arial" w:hAnsi="Arial"/>
          <w:sz w:val="18"/>
          <w:szCs w:val="18"/>
          <w:color w:val="auto"/>
        </w:rPr>
        <w:t>” when applicable, the cost on initial recognition of an investment in an associate or a joint venture.</w:t>
      </w:r>
    </w:p>
    <w:p>
      <w:pPr>
        <w:spacing w:after="0" w:line="177" w:lineRule="exact"/>
        <w:rPr>
          <w:sz w:val="20"/>
          <w:szCs w:val="20"/>
          <w:color w:val="auto"/>
        </w:rPr>
      </w:pPr>
    </w:p>
    <w:p>
      <w:pPr>
        <w:ind w:left="500" w:hanging="316"/>
        <w:spacing w:after="0"/>
        <w:tabs>
          <w:tab w:leader="none" w:pos="500" w:val="left"/>
        </w:tabs>
        <w:numPr>
          <w:ilvl w:val="0"/>
          <w:numId w:val="98"/>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following are the significant accounting policies applied consistently by the Bank to all years presented in these consolidated financial statements.</w:t>
      </w:r>
    </w:p>
    <w:p>
      <w:pPr>
        <w:spacing w:after="0" w:line="24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 Currency and foreign currency transactions</w:t>
      </w:r>
    </w:p>
    <w:p>
      <w:pPr>
        <w:spacing w:after="0" w:line="225"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3.1.1</w:t>
      </w:r>
      <w:r>
        <w:rPr>
          <w:sz w:val="20"/>
          <w:szCs w:val="20"/>
          <w:color w:val="auto"/>
        </w:rPr>
        <w:tab/>
      </w:r>
      <w:r>
        <w:rPr>
          <w:rFonts w:ascii="Arial" w:cs="Arial" w:eastAsia="Arial" w:hAnsi="Arial"/>
          <w:sz w:val="16"/>
          <w:szCs w:val="16"/>
          <w:b w:val="1"/>
          <w:bCs w:val="1"/>
          <w:color w:val="auto"/>
        </w:rPr>
        <w:t>Foreign currency transactions</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For the purpose of consolidation of the financial statements, the Bank applies IAS 21- “</w:t>
      </w:r>
      <w:r>
        <w:rPr>
          <w:rFonts w:ascii="Arial" w:cs="Arial" w:eastAsia="Arial" w:hAnsi="Arial"/>
          <w:sz w:val="18"/>
          <w:szCs w:val="18"/>
          <w:i w:val="1"/>
          <w:iCs w:val="1"/>
          <w:color w:val="auto"/>
        </w:rPr>
        <w:t>The Effect of Change in Foreign Exchange Rates</w:t>
      </w:r>
      <w:r>
        <w:rPr>
          <w:rFonts w:ascii="Arial" w:cs="Arial" w:eastAsia="Arial" w:hAnsi="Arial"/>
          <w:sz w:val="18"/>
          <w:szCs w:val="18"/>
          <w:color w:val="auto"/>
        </w:rPr>
        <w:t>” to financial assets and financial liabilities that are monetary items and denominated in a foreign currency. This standard requires any foreign exchange gains and losses on monetary assets and monetary liabilities to be recognised in profit or loss. An exception is a monetary item that is designated as a hedging instrument in a cash flow hedge, a hedge of a net investment or a fair value hedge of an equity instrument for which an entity has elected to present changes in fair value in other comprehensive income (loss).</w:t>
      </w:r>
    </w:p>
    <w:p>
      <w:pPr>
        <w:spacing w:after="0" w:line="188"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For each entity, the Bank determines the functional currency, and items included in the consolidated financial statements of each entity are measured using the functional currency.</w:t>
      </w:r>
    </w:p>
    <w:p>
      <w:pPr>
        <w:spacing w:after="0" w:line="166"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3.1.2</w:t>
      </w:r>
      <w:r>
        <w:rPr>
          <w:sz w:val="20"/>
          <w:szCs w:val="20"/>
          <w:color w:val="auto"/>
        </w:rPr>
        <w:tab/>
      </w:r>
      <w:r>
        <w:rPr>
          <w:rFonts w:ascii="Arial" w:cs="Arial" w:eastAsia="Arial" w:hAnsi="Arial"/>
          <w:sz w:val="15"/>
          <w:szCs w:val="15"/>
          <w:b w:val="1"/>
          <w:bCs w:val="1"/>
          <w:color w:val="auto"/>
        </w:rPr>
        <w:t>Transactions and balances</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Assets and liabilities of foreign subsidiaries, whose local currency is considered their functional currency, are translated into the reporting currency, US dollars, using month-end spot foreign exchange rates. The Bank uses monthly-averaged exchange rates to translate revenues and expenses from local functional currency into US dollars. The effects of those translations adjustments are reported as a component of the accumulated other comprehensive income (loss) in the consolidated statement of changes in equity.</w:t>
      </w:r>
    </w:p>
    <w:p>
      <w:pPr>
        <w:spacing w:after="0" w:line="187"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Transactions whose terms are denominated in a currency other than the functional currency, including transactions denominated in local currency of the foreign entity with the US dollar as their functional currency, are recorded at the exchange rate prevailing at the date of the transaction. Assets and liabilities in foreign currency are translated into US dollar using month-end spot foreign exchange rates. The effects of translation of monetary assets and liabilities into US dollar are included in current year’s earnings in the gain (loss) on foreign currency exchange line item.</w:t>
      </w:r>
    </w:p>
    <w:p>
      <w:pPr>
        <w:spacing w:after="0" w:line="17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33" w:name="page134"/>
    <w:bookmarkEnd w:id="1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99"/>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 Currency and foreign currency transactions (continued)</w:t>
      </w:r>
    </w:p>
    <w:p>
      <w:pPr>
        <w:spacing w:after="0" w:line="225"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3.1.2</w:t>
      </w:r>
      <w:r>
        <w:rPr>
          <w:sz w:val="20"/>
          <w:szCs w:val="20"/>
          <w:color w:val="auto"/>
        </w:rPr>
        <w:tab/>
      </w:r>
      <w:r>
        <w:rPr>
          <w:rFonts w:ascii="Arial" w:cs="Arial" w:eastAsia="Arial" w:hAnsi="Arial"/>
          <w:sz w:val="15"/>
          <w:szCs w:val="15"/>
          <w:b w:val="1"/>
          <w:bCs w:val="1"/>
          <w:color w:val="auto"/>
        </w:rPr>
        <w:t>Transactions and balances (continued)</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Differences arising on settlement or translation of monetary items are recognized in the consolidated statement of profit or loss with the exception of monetary items that are designated as part of the hedge of the Bank’s net investment in a foreign operation. These are recognized in consolidated statements of other comprehensive income until the net investment is disposed of, at which time, the cumulative amount is classified to the consolidated statement of profit or loss. Tax charges and credits attributable to exchange differences on those monetary items are also recorded in consolidated statements of other comprehensive income, if applicable.</w:t>
      </w:r>
    </w:p>
    <w:p>
      <w:pPr>
        <w:spacing w:after="0" w:line="188" w:lineRule="exact"/>
        <w:rPr>
          <w:sz w:val="20"/>
          <w:szCs w:val="20"/>
          <w:color w:val="auto"/>
        </w:rPr>
      </w:pPr>
    </w:p>
    <w:p>
      <w:pPr>
        <w:jc w:val="both"/>
        <w:ind w:left="340" w:right="20"/>
        <w:spacing w:after="0" w:line="264" w:lineRule="auto"/>
        <w:rPr>
          <w:sz w:val="20"/>
          <w:szCs w:val="20"/>
          <w:color w:val="auto"/>
        </w:rPr>
      </w:pPr>
      <w:r>
        <w:rPr>
          <w:rFonts w:ascii="Arial" w:cs="Arial" w:eastAsia="Arial" w:hAnsi="Arial"/>
          <w:sz w:val="18"/>
          <w:szCs w:val="18"/>
          <w:color w:val="auto"/>
        </w:rPr>
        <w:t>Non-monetary assets and liabilities that are measured at fair value in a foreign currency are translated into the functional currency at the spot exchange rate at the date on which the fair value is determined. Non-monetary items that are measured based on historical cost in a foreign currency are translated using the spot exchange rate at the date of the transaction.</w:t>
      </w:r>
    </w:p>
    <w:p>
      <w:pPr>
        <w:spacing w:after="0" w:line="17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3.2 Cash and cash equivalents</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Cash equivalents include demand deposits in banks and interest-bearing deposits in banks with original maturities of three months or less, excluding pledged deposits.</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3.3 Financial instruments</w:t>
      </w:r>
    </w:p>
    <w:p>
      <w:pPr>
        <w:spacing w:after="0" w:line="225"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3.3.1</w:t>
      </w:r>
      <w:r>
        <w:rPr>
          <w:sz w:val="20"/>
          <w:szCs w:val="20"/>
          <w:color w:val="auto"/>
        </w:rPr>
        <w:tab/>
      </w:r>
      <w:r>
        <w:rPr>
          <w:rFonts w:ascii="Arial" w:cs="Arial" w:eastAsia="Arial" w:hAnsi="Arial"/>
          <w:sz w:val="16"/>
          <w:szCs w:val="16"/>
          <w:b w:val="1"/>
          <w:bCs w:val="1"/>
          <w:color w:val="auto"/>
        </w:rPr>
        <w:t>Date of recognition</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All financial assets and liabilities are initially recognized on the trade date, the date that the Bank becomes a party to the contractual provisions of the instrument. This includes regular way trades: purchases or sales of financial assets that require delivery of assets within the time frame generally established by regulation or convention in the market place.</w:t>
      </w:r>
    </w:p>
    <w:p>
      <w:pPr>
        <w:spacing w:after="0" w:line="177"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3.3.2</w:t>
      </w:r>
      <w:r>
        <w:rPr>
          <w:sz w:val="20"/>
          <w:szCs w:val="20"/>
          <w:color w:val="auto"/>
        </w:rPr>
        <w:tab/>
      </w:r>
      <w:r>
        <w:rPr>
          <w:rFonts w:ascii="Arial" w:cs="Arial" w:eastAsia="Arial" w:hAnsi="Arial"/>
          <w:sz w:val="16"/>
          <w:szCs w:val="16"/>
          <w:b w:val="1"/>
          <w:bCs w:val="1"/>
          <w:color w:val="auto"/>
        </w:rPr>
        <w:t>Initial measurement of financial instruments</w:t>
      </w:r>
    </w:p>
    <w:p>
      <w:pPr>
        <w:spacing w:after="0" w:line="229"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Recognised financial assets and financial liabilities are initially measured at fair value. Transaction costs that are directly attributable to the acquisition or issue of financial assets and financial liabilities (other than financial assets and financial liabilities at fair value through profit or loss ( FVTPL) are added to or deducted from the fair value of the financial assets or financial liabilities, as appropriate, on initial recognition. Transaction costs directly attributable to the acquisition of financial assets or financial liabilities at FVTPL are recognised immediately in profit or loss.</w:t>
      </w:r>
    </w:p>
    <w:p>
      <w:pPr>
        <w:spacing w:after="0" w:line="171"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Debt instruments that are held within a business model whose objective is to collect the contractual cash flows, and that have contractual cash flows that are solely payments of principal and interest on the principal amount outstanding (SPPI), are subsequently measured at amortized cost; debt instruments that are held within a business model whose objective is both to collect the contractual cash flows and to sell the debt instruments, and that have contractual cash flows that are SPPI, are subsequently measured at fair value through other comprehensive income (FVTOCI); all other debt instruments (e.g. debt instruments managed on a fair value basis, or held for sale) and equity investments are subsequently measured at FVTPL.</w:t>
      </w:r>
    </w:p>
    <w:p>
      <w:pPr>
        <w:spacing w:after="0" w:line="15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However, may make the following irrevocable election / designation at initial recognition of a financial asset on an asset-by-asset basis:</w:t>
      </w:r>
    </w:p>
    <w:p>
      <w:pPr>
        <w:spacing w:after="0" w:line="225" w:lineRule="exact"/>
        <w:rPr>
          <w:sz w:val="20"/>
          <w:szCs w:val="20"/>
          <w:color w:val="auto"/>
        </w:rPr>
      </w:pPr>
    </w:p>
    <w:p>
      <w:pPr>
        <w:jc w:val="both"/>
        <w:ind w:left="980" w:hanging="324"/>
        <w:spacing w:after="0" w:line="256" w:lineRule="auto"/>
        <w:tabs>
          <w:tab w:leader="none" w:pos="980" w:val="left"/>
        </w:tabs>
        <w:numPr>
          <w:ilvl w:val="0"/>
          <w:numId w:val="100"/>
        </w:numPr>
        <w:rPr>
          <w:rFonts w:ascii="Arial" w:cs="Arial" w:eastAsia="Arial" w:hAnsi="Arial"/>
          <w:sz w:val="18"/>
          <w:szCs w:val="18"/>
          <w:color w:val="auto"/>
        </w:rPr>
      </w:pPr>
      <w:r>
        <w:rPr>
          <w:rFonts w:ascii="Arial" w:cs="Arial" w:eastAsia="Arial" w:hAnsi="Arial"/>
          <w:sz w:val="18"/>
          <w:szCs w:val="18"/>
          <w:color w:val="auto"/>
        </w:rPr>
        <w:t>It may irrevocably elect to present subsequent changes in fair value of an equity investment that is neither held for trading nor contingent consideration recognised by an acquirer in a business combination to which IFRS 3 – “</w:t>
      </w:r>
      <w:r>
        <w:rPr>
          <w:rFonts w:ascii="Arial" w:cs="Arial" w:eastAsia="Arial" w:hAnsi="Arial"/>
          <w:sz w:val="18"/>
          <w:szCs w:val="18"/>
          <w:i w:val="1"/>
          <w:iCs w:val="1"/>
          <w:color w:val="auto"/>
        </w:rPr>
        <w:t>Business Combinations</w:t>
      </w:r>
      <w:r>
        <w:rPr>
          <w:rFonts w:ascii="Arial" w:cs="Arial" w:eastAsia="Arial" w:hAnsi="Arial"/>
          <w:sz w:val="18"/>
          <w:szCs w:val="18"/>
          <w:color w:val="auto"/>
        </w:rPr>
        <w:t>” applies, in other comprehensive income (loss); and</w:t>
      </w:r>
    </w:p>
    <w:p>
      <w:pPr>
        <w:ind w:left="980" w:hanging="324"/>
        <w:spacing w:after="0" w:line="261" w:lineRule="auto"/>
        <w:tabs>
          <w:tab w:leader="none" w:pos="980" w:val="left"/>
        </w:tabs>
        <w:numPr>
          <w:ilvl w:val="0"/>
          <w:numId w:val="100"/>
        </w:numPr>
        <w:rPr>
          <w:rFonts w:ascii="Arial" w:cs="Arial" w:eastAsia="Arial" w:hAnsi="Arial"/>
          <w:sz w:val="18"/>
          <w:szCs w:val="18"/>
          <w:color w:val="auto"/>
        </w:rPr>
      </w:pPr>
      <w:r>
        <w:rPr>
          <w:rFonts w:ascii="Arial" w:cs="Arial" w:eastAsia="Arial" w:hAnsi="Arial"/>
          <w:sz w:val="18"/>
          <w:szCs w:val="18"/>
          <w:color w:val="auto"/>
        </w:rPr>
        <w:t>It may irrevocably designate a debt instrument that meets the amortized cost or at FVTOCI criteria as measured at FVTPL if doing so eliminates or significantly reduces an accounting mismatch.</w:t>
      </w:r>
    </w:p>
    <w:p>
      <w:pPr>
        <w:spacing w:after="0" w:line="18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34" w:name="page135"/>
    <w:bookmarkEnd w:id="1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3.Summary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3.3 Financial instruments (continued)</w:t>
      </w:r>
    </w:p>
    <w:p>
      <w:pPr>
        <w:spacing w:after="0" w:line="225"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3.3.3</w:t>
      </w:r>
      <w:r>
        <w:rPr>
          <w:sz w:val="20"/>
          <w:szCs w:val="20"/>
          <w:color w:val="auto"/>
        </w:rPr>
        <w:tab/>
      </w:r>
      <w:r>
        <w:rPr>
          <w:rFonts w:ascii="Arial" w:cs="Arial" w:eastAsia="Arial" w:hAnsi="Arial"/>
          <w:sz w:val="15"/>
          <w:szCs w:val="15"/>
          <w:b w:val="1"/>
          <w:bCs w:val="1"/>
          <w:color w:val="auto"/>
        </w:rPr>
        <w:t>Classification</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classifies its financial assets as subsequently measured at amortized cost, fair value through other comprehensive income or fair value through profit or loss on the basis of the Bank’s business model for managing the financial assets and the contractual cash flow characteristics of these financial assets.</w:t>
      </w:r>
    </w:p>
    <w:p>
      <w:pPr>
        <w:spacing w:after="0" w:line="181"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 classifies all financial liabilities as subsequently measured at amortized costs, except for those liabilities measured at fair value through profit or loss as a result of hedge accounting, as well as liabilities measured at fair value in the case of undesignated derivatives.</w:t>
      </w:r>
    </w:p>
    <w:p>
      <w:pPr>
        <w:spacing w:after="0" w:line="166"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3.3.4</w:t>
      </w:r>
      <w:r>
        <w:rPr>
          <w:sz w:val="20"/>
          <w:szCs w:val="20"/>
          <w:color w:val="auto"/>
        </w:rPr>
        <w:tab/>
      </w:r>
      <w:r>
        <w:rPr>
          <w:rFonts w:ascii="Arial" w:cs="Arial" w:eastAsia="Arial" w:hAnsi="Arial"/>
          <w:sz w:val="15"/>
          <w:szCs w:val="15"/>
          <w:b w:val="1"/>
          <w:bCs w:val="1"/>
          <w:color w:val="auto"/>
        </w:rPr>
        <w:t>Business model assessment</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makes an assessment of the objective of the business model in which the financial asset is held at a portfolio level, because this reflects the way the business is managed, and information is provided to management. The information considers the following:</w:t>
      </w:r>
    </w:p>
    <w:p>
      <w:pPr>
        <w:spacing w:after="0" w:line="170" w:lineRule="exact"/>
        <w:rPr>
          <w:sz w:val="20"/>
          <w:szCs w:val="20"/>
          <w:color w:val="auto"/>
        </w:rPr>
      </w:pPr>
    </w:p>
    <w:p>
      <w:pPr>
        <w:jc w:val="both"/>
        <w:ind w:left="1300" w:hanging="320"/>
        <w:spacing w:after="0" w:line="271" w:lineRule="auto"/>
        <w:tabs>
          <w:tab w:leader="none" w:pos="1300" w:val="left"/>
        </w:tabs>
        <w:numPr>
          <w:ilvl w:val="0"/>
          <w:numId w:val="101"/>
        </w:numPr>
        <w:rPr>
          <w:rFonts w:ascii="Arial" w:cs="Arial" w:eastAsia="Arial" w:hAnsi="Arial"/>
          <w:sz w:val="17"/>
          <w:szCs w:val="17"/>
          <w:color w:val="auto"/>
        </w:rPr>
      </w:pPr>
      <w:r>
        <w:rPr>
          <w:rFonts w:ascii="Arial" w:cs="Arial" w:eastAsia="Arial" w:hAnsi="Arial"/>
          <w:sz w:val="17"/>
          <w:szCs w:val="17"/>
          <w:color w:val="auto"/>
        </w:rPr>
        <w:t>The Bank’s policies and objectives for the portfolio and the operation of those policies in practice. In particular, whether management’s strategy focuses on earning contractual interest revenue, maintaining a particular interest rate profile, matching the duration of the financial assets to the duration of the liabilities that are funding those assets or realizing cash flows through the sale of the assets;</w:t>
      </w:r>
    </w:p>
    <w:p>
      <w:pPr>
        <w:ind w:left="1300" w:hanging="320"/>
        <w:spacing w:after="0"/>
        <w:tabs>
          <w:tab w:leader="none" w:pos="1300" w:val="left"/>
        </w:tabs>
        <w:numPr>
          <w:ilvl w:val="0"/>
          <w:numId w:val="101"/>
        </w:numPr>
        <w:rPr>
          <w:rFonts w:ascii="Arial" w:cs="Arial" w:eastAsia="Arial" w:hAnsi="Arial"/>
          <w:sz w:val="18"/>
          <w:szCs w:val="18"/>
          <w:color w:val="auto"/>
        </w:rPr>
      </w:pPr>
      <w:r>
        <w:rPr>
          <w:rFonts w:ascii="Arial" w:cs="Arial" w:eastAsia="Arial" w:hAnsi="Arial"/>
          <w:sz w:val="18"/>
          <w:szCs w:val="18"/>
          <w:color w:val="auto"/>
        </w:rPr>
        <w:t>How the performance of the portfolio is evaluated and reported to the Bank’s management;</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101"/>
        </w:numPr>
        <w:rPr>
          <w:rFonts w:ascii="Arial" w:cs="Arial" w:eastAsia="Arial" w:hAnsi="Arial"/>
          <w:sz w:val="18"/>
          <w:szCs w:val="18"/>
          <w:color w:val="auto"/>
        </w:rPr>
      </w:pPr>
      <w:r>
        <w:rPr>
          <w:rFonts w:ascii="Arial" w:cs="Arial" w:eastAsia="Arial" w:hAnsi="Arial"/>
          <w:sz w:val="18"/>
          <w:szCs w:val="18"/>
          <w:color w:val="auto"/>
        </w:rPr>
        <w:t>The risk that affect the performance of the business model and how those risks are managed;</w:t>
      </w:r>
    </w:p>
    <w:p>
      <w:pPr>
        <w:spacing w:after="0" w:line="9" w:lineRule="exact"/>
        <w:rPr>
          <w:rFonts w:ascii="Arial" w:cs="Arial" w:eastAsia="Arial" w:hAnsi="Arial"/>
          <w:sz w:val="18"/>
          <w:szCs w:val="18"/>
          <w:color w:val="auto"/>
        </w:rPr>
      </w:pPr>
    </w:p>
    <w:p>
      <w:pPr>
        <w:jc w:val="both"/>
        <w:ind w:left="1300" w:hanging="320"/>
        <w:spacing w:after="0" w:line="255" w:lineRule="auto"/>
        <w:tabs>
          <w:tab w:leader="none" w:pos="1300" w:val="left"/>
        </w:tabs>
        <w:numPr>
          <w:ilvl w:val="0"/>
          <w:numId w:val="101"/>
        </w:numPr>
        <w:rPr>
          <w:rFonts w:ascii="Arial" w:cs="Arial" w:eastAsia="Arial" w:hAnsi="Arial"/>
          <w:sz w:val="18"/>
          <w:szCs w:val="18"/>
          <w:color w:val="auto"/>
        </w:rPr>
      </w:pPr>
      <w:r>
        <w:rPr>
          <w:rFonts w:ascii="Arial" w:cs="Arial" w:eastAsia="Arial" w:hAnsi="Arial"/>
          <w:sz w:val="18"/>
          <w:szCs w:val="18"/>
          <w:color w:val="auto"/>
        </w:rPr>
        <w:t>The frequency, volume and timing of sales in prior periods, the reason for such sales and its expectations about future sales activity. However, information about sales activity is not considered in isolation, but as part of an overall assessment of how the Bank’s stated objective for managing the financial assets is achieved and how cash flows are realized.</w:t>
      </w:r>
    </w:p>
    <w:p>
      <w:pPr>
        <w:spacing w:after="0" w:line="186"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3.3.5</w:t>
      </w:r>
      <w:r>
        <w:rPr>
          <w:sz w:val="20"/>
          <w:szCs w:val="20"/>
          <w:color w:val="auto"/>
        </w:rPr>
        <w:tab/>
      </w:r>
      <w:r>
        <w:rPr>
          <w:rFonts w:ascii="Arial" w:cs="Arial" w:eastAsia="Arial" w:hAnsi="Arial"/>
          <w:sz w:val="15"/>
          <w:szCs w:val="15"/>
          <w:b w:val="1"/>
          <w:bCs w:val="1"/>
          <w:color w:val="auto"/>
        </w:rPr>
        <w:t>Assessment whether contractual cash flows are solely payments of principal and interest</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For the purposes of this assessment, ‘principal’ is defined as the fair value of the financial asset on initial recognition. ‘Interest’ is defined as consideration for the time value of money and for the credit risk associated with the principal amount outstanding during a particular period of time and for other basic lending risks and costs as well as profit margin.</w:t>
      </w:r>
    </w:p>
    <w:p>
      <w:pPr>
        <w:spacing w:after="0" w:line="18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Contractual cash flows that are SPPI are consistent with a basic lending arrangement. Contractual terms that introduce exposure to risks or volatility in the contractual cash flows that are unrelated to a basic lending arrangement, such as exposure to changes in equity prices or commodity prices, do not give rise to contractual cash flows that are SPPI. An originated or an acquired financial asset can be a basic lending arrangement irrespective of whether it is a loan in its legal form.</w:t>
      </w:r>
    </w:p>
    <w:p>
      <w:pPr>
        <w:spacing w:after="0" w:line="187"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In assessing whether the contractual cash flows are solely payments of principal and interest, the Bank considers the contractual terms of the instrument. This includes assessing whether the financial asset contains a contractual term that could change the timing or amount of contractual cash flows such that it would not meet this condition. In making the assessment, the Bank considers the following:</w:t>
      </w:r>
    </w:p>
    <w:p>
      <w:pPr>
        <w:spacing w:after="0" w:line="181" w:lineRule="exact"/>
        <w:rPr>
          <w:sz w:val="20"/>
          <w:szCs w:val="20"/>
          <w:color w:val="auto"/>
        </w:rPr>
      </w:pPr>
    </w:p>
    <w:p>
      <w:pPr>
        <w:ind w:left="1300" w:hanging="320"/>
        <w:spacing w:after="0"/>
        <w:tabs>
          <w:tab w:leader="none" w:pos="1300" w:val="left"/>
        </w:tabs>
        <w:numPr>
          <w:ilvl w:val="0"/>
          <w:numId w:val="102"/>
        </w:numPr>
        <w:rPr>
          <w:rFonts w:ascii="Arial" w:cs="Arial" w:eastAsia="Arial" w:hAnsi="Arial"/>
          <w:sz w:val="18"/>
          <w:szCs w:val="18"/>
          <w:color w:val="auto"/>
        </w:rPr>
      </w:pPr>
      <w:r>
        <w:rPr>
          <w:rFonts w:ascii="Arial" w:cs="Arial" w:eastAsia="Arial" w:hAnsi="Arial"/>
          <w:sz w:val="18"/>
          <w:szCs w:val="18"/>
          <w:color w:val="auto"/>
        </w:rPr>
        <w:t>Contingent events that would change the amount and timing of cash flows;</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0"/>
          <w:numId w:val="102"/>
        </w:numPr>
        <w:rPr>
          <w:rFonts w:ascii="Arial" w:cs="Arial" w:eastAsia="Arial" w:hAnsi="Arial"/>
          <w:sz w:val="18"/>
          <w:szCs w:val="18"/>
          <w:color w:val="auto"/>
        </w:rPr>
      </w:pPr>
      <w:r>
        <w:rPr>
          <w:rFonts w:ascii="Arial" w:cs="Arial" w:eastAsia="Arial" w:hAnsi="Arial"/>
          <w:sz w:val="18"/>
          <w:szCs w:val="18"/>
          <w:color w:val="auto"/>
        </w:rPr>
        <w:t>Leverage features;</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102"/>
        </w:numPr>
        <w:rPr>
          <w:rFonts w:ascii="Arial" w:cs="Arial" w:eastAsia="Arial" w:hAnsi="Arial"/>
          <w:sz w:val="18"/>
          <w:szCs w:val="18"/>
          <w:color w:val="auto"/>
        </w:rPr>
      </w:pPr>
      <w:r>
        <w:rPr>
          <w:rFonts w:ascii="Arial" w:cs="Arial" w:eastAsia="Arial" w:hAnsi="Arial"/>
          <w:sz w:val="18"/>
          <w:szCs w:val="18"/>
          <w:color w:val="auto"/>
        </w:rPr>
        <w:t>Prepayment and extension terms;</w:t>
      </w:r>
    </w:p>
    <w:p>
      <w:pPr>
        <w:spacing w:after="0" w:line="9" w:lineRule="exact"/>
        <w:rPr>
          <w:rFonts w:ascii="Arial" w:cs="Arial" w:eastAsia="Arial" w:hAnsi="Arial"/>
          <w:sz w:val="18"/>
          <w:szCs w:val="18"/>
          <w:color w:val="auto"/>
        </w:rPr>
      </w:pPr>
    </w:p>
    <w:p>
      <w:pPr>
        <w:ind w:left="1300" w:hanging="320"/>
        <w:spacing w:after="0" w:line="261" w:lineRule="auto"/>
        <w:tabs>
          <w:tab w:leader="none" w:pos="1300" w:val="left"/>
        </w:tabs>
        <w:numPr>
          <w:ilvl w:val="0"/>
          <w:numId w:val="102"/>
        </w:numPr>
        <w:rPr>
          <w:rFonts w:ascii="Arial" w:cs="Arial" w:eastAsia="Arial" w:hAnsi="Arial"/>
          <w:sz w:val="18"/>
          <w:szCs w:val="18"/>
          <w:color w:val="auto"/>
        </w:rPr>
      </w:pPr>
      <w:r>
        <w:rPr>
          <w:rFonts w:ascii="Arial" w:cs="Arial" w:eastAsia="Arial" w:hAnsi="Arial"/>
          <w:sz w:val="18"/>
          <w:szCs w:val="18"/>
          <w:color w:val="auto"/>
        </w:rPr>
        <w:t>Terms that limit the Bank’s claim to cash flows from specified assets (e.g. non-recourse asset arrangements); and features that modify consideration of the time value of money (e.g. periodical reset of interest rates).</w:t>
      </w:r>
    </w:p>
    <w:p>
      <w:pPr>
        <w:spacing w:after="0" w:line="18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35" w:name="page136"/>
    <w:bookmarkEnd w:id="1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03"/>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3.3 Financial instruments (continued)</w:t>
      </w:r>
    </w:p>
    <w:p>
      <w:pPr>
        <w:spacing w:after="0" w:line="225"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3.3.6</w:t>
      </w:r>
      <w:r>
        <w:rPr>
          <w:sz w:val="20"/>
          <w:szCs w:val="20"/>
          <w:color w:val="auto"/>
        </w:rPr>
        <w:tab/>
      </w:r>
      <w:r>
        <w:rPr>
          <w:rFonts w:ascii="Arial" w:cs="Arial" w:eastAsia="Arial" w:hAnsi="Arial"/>
          <w:sz w:val="16"/>
          <w:szCs w:val="16"/>
          <w:b w:val="1"/>
          <w:bCs w:val="1"/>
          <w:color w:val="auto"/>
        </w:rPr>
        <w:t>Financial assets at fair value through other comprehensive income (FVOCI)</w:t>
      </w:r>
    </w:p>
    <w:p>
      <w:pPr>
        <w:spacing w:after="0" w:line="229" w:lineRule="exact"/>
        <w:rPr>
          <w:sz w:val="20"/>
          <w:szCs w:val="20"/>
          <w:color w:val="auto"/>
        </w:rPr>
      </w:pPr>
    </w:p>
    <w:p>
      <w:pPr>
        <w:ind w:left="340"/>
        <w:spacing w:after="0" w:line="308" w:lineRule="auto"/>
        <w:rPr>
          <w:sz w:val="20"/>
          <w:szCs w:val="20"/>
          <w:color w:val="auto"/>
        </w:rPr>
      </w:pPr>
      <w:r>
        <w:rPr>
          <w:rFonts w:ascii="Arial" w:cs="Arial" w:eastAsia="Arial" w:hAnsi="Arial"/>
          <w:sz w:val="17"/>
          <w:szCs w:val="17"/>
          <w:color w:val="auto"/>
        </w:rPr>
        <w:t>These securities consist of debt instruments not classified as either securities at FVTPL or securities at amortized cost, and are subject to the same approval criteria as the rest of the credit portfolio. These securities are carried at fair value if both of the following conditions are met:</w:t>
      </w:r>
    </w:p>
    <w:p>
      <w:pPr>
        <w:spacing w:after="0" w:line="147" w:lineRule="exact"/>
        <w:rPr>
          <w:sz w:val="20"/>
          <w:szCs w:val="20"/>
          <w:color w:val="auto"/>
        </w:rPr>
      </w:pPr>
    </w:p>
    <w:p>
      <w:pPr>
        <w:ind w:left="1300" w:hanging="320"/>
        <w:spacing w:after="0" w:line="258" w:lineRule="auto"/>
        <w:tabs>
          <w:tab w:leader="none" w:pos="1300" w:val="left"/>
        </w:tabs>
        <w:numPr>
          <w:ilvl w:val="0"/>
          <w:numId w:val="104"/>
        </w:numPr>
        <w:rPr>
          <w:rFonts w:ascii="Arial" w:cs="Arial" w:eastAsia="Arial" w:hAnsi="Arial"/>
          <w:sz w:val="18"/>
          <w:szCs w:val="18"/>
          <w:color w:val="auto"/>
        </w:rPr>
      </w:pPr>
      <w:r>
        <w:rPr>
          <w:rFonts w:ascii="Arial" w:cs="Arial" w:eastAsia="Arial" w:hAnsi="Arial"/>
          <w:sz w:val="18"/>
          <w:szCs w:val="18"/>
          <w:color w:val="auto"/>
        </w:rPr>
        <w:t>The financial asset is held according to a business model whose objective is achieved by both collecting contractual cash flows and selling financial assets; and,</w:t>
      </w:r>
    </w:p>
    <w:p>
      <w:pPr>
        <w:spacing w:after="0" w:line="1" w:lineRule="exact"/>
        <w:rPr>
          <w:rFonts w:ascii="Arial" w:cs="Arial" w:eastAsia="Arial" w:hAnsi="Arial"/>
          <w:sz w:val="18"/>
          <w:szCs w:val="18"/>
          <w:color w:val="auto"/>
        </w:rPr>
      </w:pPr>
    </w:p>
    <w:p>
      <w:pPr>
        <w:ind w:left="1300" w:hanging="320"/>
        <w:spacing w:after="0" w:line="261" w:lineRule="auto"/>
        <w:tabs>
          <w:tab w:leader="none" w:pos="1300" w:val="left"/>
        </w:tabs>
        <w:numPr>
          <w:ilvl w:val="0"/>
          <w:numId w:val="104"/>
        </w:numPr>
        <w:rPr>
          <w:rFonts w:ascii="Arial" w:cs="Arial" w:eastAsia="Arial" w:hAnsi="Arial"/>
          <w:sz w:val="18"/>
          <w:szCs w:val="18"/>
          <w:color w:val="auto"/>
        </w:rPr>
      </w:pPr>
      <w:r>
        <w:rPr>
          <w:rFonts w:ascii="Arial" w:cs="Arial" w:eastAsia="Arial" w:hAnsi="Arial"/>
          <w:sz w:val="18"/>
          <w:szCs w:val="18"/>
          <w:color w:val="auto"/>
        </w:rPr>
        <w:t>The contractual terms of the financial assets give rise on specified dates to cash flows that are solely payments of principal and interest on the principal amount outstanding.</w:t>
      </w:r>
    </w:p>
    <w:p>
      <w:pPr>
        <w:spacing w:after="0" w:line="184"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Unrealized gains and losses are reported as net increases or decreases to accumulated other comprehensive income (loss) (“OCI”) in the consolidated statement of changes in equity until they are realized. Realized gains and losses from the sale of securities which are included in net gain on sale of securities are determined using the specific identification method.</w:t>
      </w:r>
    </w:p>
    <w:p>
      <w:pPr>
        <w:spacing w:after="0" w:line="181"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For an equity investment designated as measured at FVTOCI, the cumulative gain/loss previously recognized in OCI is not subsequently reclassified to profit or loss but transferred within equity.</w:t>
      </w:r>
    </w:p>
    <w:p>
      <w:pPr>
        <w:spacing w:after="0" w:line="166"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3.3.7</w:t>
      </w:r>
      <w:r>
        <w:rPr>
          <w:sz w:val="20"/>
          <w:szCs w:val="20"/>
          <w:color w:val="auto"/>
        </w:rPr>
        <w:tab/>
      </w:r>
      <w:r>
        <w:rPr>
          <w:rFonts w:ascii="Arial" w:cs="Arial" w:eastAsia="Arial" w:hAnsi="Arial"/>
          <w:sz w:val="15"/>
          <w:szCs w:val="15"/>
          <w:b w:val="1"/>
          <w:bCs w:val="1"/>
          <w:color w:val="auto"/>
        </w:rPr>
        <w:t>Financial assets at amortized cost</w:t>
      </w:r>
    </w:p>
    <w:p>
      <w:pPr>
        <w:spacing w:after="0" w:line="229"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Financial assets classified at amortized cost represent securities and loans whose objective is to hold them in order to collect contractual cash flows over the life of the instrument. These securities and loans are measured at amortized cost if both of the following conditions are met:</w:t>
      </w:r>
    </w:p>
    <w:p>
      <w:pPr>
        <w:spacing w:after="0" w:line="147" w:lineRule="exact"/>
        <w:rPr>
          <w:sz w:val="20"/>
          <w:szCs w:val="20"/>
          <w:color w:val="auto"/>
        </w:rPr>
      </w:pPr>
    </w:p>
    <w:p>
      <w:pPr>
        <w:ind w:left="1300" w:hanging="320"/>
        <w:spacing w:after="0" w:line="258" w:lineRule="auto"/>
        <w:tabs>
          <w:tab w:leader="none" w:pos="1300" w:val="left"/>
        </w:tabs>
        <w:numPr>
          <w:ilvl w:val="0"/>
          <w:numId w:val="105"/>
        </w:numPr>
        <w:rPr>
          <w:rFonts w:ascii="Arial" w:cs="Arial" w:eastAsia="Arial" w:hAnsi="Arial"/>
          <w:sz w:val="18"/>
          <w:szCs w:val="18"/>
          <w:color w:val="auto"/>
        </w:rPr>
      </w:pPr>
      <w:r>
        <w:rPr>
          <w:rFonts w:ascii="Arial" w:cs="Arial" w:eastAsia="Arial" w:hAnsi="Arial"/>
          <w:sz w:val="18"/>
          <w:szCs w:val="18"/>
          <w:color w:val="auto"/>
        </w:rPr>
        <w:t>The financial asset is held according to a business model whose objective is to hold the financial assets in order to collect the contractual cash flows, and</w:t>
      </w:r>
    </w:p>
    <w:p>
      <w:pPr>
        <w:spacing w:after="0" w:line="1" w:lineRule="exact"/>
        <w:rPr>
          <w:rFonts w:ascii="Arial" w:cs="Arial" w:eastAsia="Arial" w:hAnsi="Arial"/>
          <w:sz w:val="18"/>
          <w:szCs w:val="18"/>
          <w:color w:val="auto"/>
        </w:rPr>
      </w:pPr>
    </w:p>
    <w:p>
      <w:pPr>
        <w:ind w:left="1300" w:right="20" w:hanging="320"/>
        <w:spacing w:after="0" w:line="261" w:lineRule="auto"/>
        <w:tabs>
          <w:tab w:leader="none" w:pos="1300" w:val="left"/>
        </w:tabs>
        <w:numPr>
          <w:ilvl w:val="0"/>
          <w:numId w:val="105"/>
        </w:numPr>
        <w:rPr>
          <w:rFonts w:ascii="Arial" w:cs="Arial" w:eastAsia="Arial" w:hAnsi="Arial"/>
          <w:sz w:val="18"/>
          <w:szCs w:val="18"/>
          <w:color w:val="auto"/>
        </w:rPr>
      </w:pPr>
      <w:r>
        <w:rPr>
          <w:rFonts w:ascii="Arial" w:cs="Arial" w:eastAsia="Arial" w:hAnsi="Arial"/>
          <w:sz w:val="18"/>
          <w:szCs w:val="18"/>
          <w:color w:val="auto"/>
        </w:rPr>
        <w:t>The contractual terms of the financial asset give rise on specified dates to cash flows that are solely payments of principal and interest on the principal amount outstanding.</w:t>
      </w:r>
    </w:p>
    <w:p>
      <w:pPr>
        <w:spacing w:after="0" w:line="180"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3.3.8</w:t>
      </w:r>
      <w:r>
        <w:rPr>
          <w:sz w:val="20"/>
          <w:szCs w:val="20"/>
          <w:color w:val="auto"/>
        </w:rPr>
        <w:tab/>
      </w:r>
      <w:r>
        <w:rPr>
          <w:rFonts w:ascii="Arial" w:cs="Arial" w:eastAsia="Arial" w:hAnsi="Arial"/>
          <w:sz w:val="16"/>
          <w:szCs w:val="16"/>
          <w:b w:val="1"/>
          <w:bCs w:val="1"/>
          <w:color w:val="auto"/>
        </w:rPr>
        <w:t>Financial assets and liabilities at fair value through profit or loss (FVTPL)</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Financial assets and liabilities at fair value through profit or loss include a) assets with contractual cash flows that are not SPPI; or/and b) assets designated at FVTPL using the fair value option; and payables (unrealized losses) related to derivative financial instruments which are not designated as hedges or which do not qualify for hedge accounting.</w:t>
      </w:r>
    </w:p>
    <w:p>
      <w:pPr>
        <w:spacing w:after="0" w:line="18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Unrealized and realized gains and losses on assets and liabilities at FVTPL are recorded in the consolidated statement of profit or loss as net gain (loss) from financial instruments at FVTPL.</w:t>
      </w:r>
    </w:p>
    <w:p>
      <w:pPr>
        <w:spacing w:after="0" w:line="166"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3.3.9</w:t>
      </w:r>
      <w:r>
        <w:rPr>
          <w:sz w:val="20"/>
          <w:szCs w:val="20"/>
          <w:color w:val="auto"/>
        </w:rPr>
        <w:tab/>
      </w:r>
      <w:r>
        <w:rPr>
          <w:rFonts w:ascii="Arial" w:cs="Arial" w:eastAsia="Arial" w:hAnsi="Arial"/>
          <w:sz w:val="15"/>
          <w:szCs w:val="15"/>
          <w:b w:val="1"/>
          <w:bCs w:val="1"/>
          <w:color w:val="auto"/>
        </w:rPr>
        <w:t>Reclassification</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If the business model under which the Bank holds financial assets changes, the financial assets affected are reclassified. The classification and measurement requirements related to the new category apply prospectively from the first day of the first reporting period following the change in business model that results in reclassifying the Bank’s financial assets.</w:t>
      </w:r>
    </w:p>
    <w:p>
      <w:pPr>
        <w:spacing w:after="0" w:line="18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During the current financial year and previous accounting period there was no change in the business model under which the Bank holds financial assets and therefore no reclassifications were made. Changes in contractual cash flows are considered under the accounting policy on modification and derecognition of financial assets described below.</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36" w:name="page137"/>
    <w:bookmarkEnd w:id="1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06"/>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3.3 Financial instruments (continued)</w:t>
      </w:r>
    </w:p>
    <w:p>
      <w:pPr>
        <w:spacing w:after="0" w:line="225"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3.3.10</w:t>
      </w:r>
      <w:r>
        <w:rPr>
          <w:sz w:val="20"/>
          <w:szCs w:val="20"/>
          <w:color w:val="auto"/>
        </w:rPr>
        <w:tab/>
      </w:r>
      <w:r>
        <w:rPr>
          <w:rFonts w:ascii="Arial" w:cs="Arial" w:eastAsia="Arial" w:hAnsi="Arial"/>
          <w:sz w:val="16"/>
          <w:szCs w:val="16"/>
          <w:b w:val="1"/>
          <w:bCs w:val="1"/>
          <w:color w:val="auto"/>
        </w:rPr>
        <w:t>Derecognition of financial assets and financial liabilities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Financial assets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financial asset (or, where applicable, a part of a financial asset or part of a group of similar financial assets) is derecognized when:</w:t>
      </w:r>
    </w:p>
    <w:p>
      <w:pPr>
        <w:spacing w:after="0" w:line="23" w:lineRule="exact"/>
        <w:rPr>
          <w:sz w:val="20"/>
          <w:szCs w:val="20"/>
          <w:color w:val="auto"/>
        </w:rPr>
      </w:pPr>
    </w:p>
    <w:p>
      <w:pPr>
        <w:ind w:left="1300" w:hanging="320"/>
        <w:spacing w:after="0"/>
        <w:tabs>
          <w:tab w:leader="none" w:pos="1300" w:val="left"/>
        </w:tabs>
        <w:numPr>
          <w:ilvl w:val="0"/>
          <w:numId w:val="107"/>
        </w:numPr>
        <w:rPr>
          <w:rFonts w:ascii="Arial" w:cs="Arial" w:eastAsia="Arial" w:hAnsi="Arial"/>
          <w:sz w:val="18"/>
          <w:szCs w:val="18"/>
          <w:color w:val="auto"/>
        </w:rPr>
      </w:pPr>
      <w:r>
        <w:rPr>
          <w:rFonts w:ascii="Arial" w:cs="Arial" w:eastAsia="Arial" w:hAnsi="Arial"/>
          <w:sz w:val="18"/>
          <w:szCs w:val="18"/>
          <w:color w:val="auto"/>
        </w:rPr>
        <w:t>The rights to receive cash flows from the asset have expired.</w:t>
      </w:r>
    </w:p>
    <w:p>
      <w:pPr>
        <w:spacing w:after="0" w:line="9" w:lineRule="exact"/>
        <w:rPr>
          <w:rFonts w:ascii="Arial" w:cs="Arial" w:eastAsia="Arial" w:hAnsi="Arial"/>
          <w:sz w:val="18"/>
          <w:szCs w:val="18"/>
          <w:color w:val="auto"/>
        </w:rPr>
      </w:pPr>
    </w:p>
    <w:p>
      <w:pPr>
        <w:ind w:left="1300" w:hanging="320"/>
        <w:spacing w:after="0" w:line="281" w:lineRule="auto"/>
        <w:tabs>
          <w:tab w:leader="none" w:pos="1300" w:val="left"/>
        </w:tabs>
        <w:numPr>
          <w:ilvl w:val="0"/>
          <w:numId w:val="107"/>
        </w:numPr>
        <w:rPr>
          <w:rFonts w:ascii="Arial" w:cs="Arial" w:eastAsia="Arial" w:hAnsi="Arial"/>
          <w:sz w:val="16"/>
          <w:szCs w:val="16"/>
          <w:color w:val="auto"/>
        </w:rPr>
      </w:pPr>
      <w:r>
        <w:rPr>
          <w:rFonts w:ascii="Arial" w:cs="Arial" w:eastAsia="Arial" w:hAnsi="Arial"/>
          <w:sz w:val="16"/>
          <w:szCs w:val="16"/>
          <w:color w:val="auto"/>
        </w:rPr>
        <w:t>The Bank has transferred its rights to receive cash flows from the asset and either has transferred substantially all risk and rewards of the asset, or has neither transferred nor retained substantially all the risks and rewards of the asset, but has transferred control of the asset.</w:t>
      </w:r>
    </w:p>
    <w:p>
      <w:pPr>
        <w:spacing w:after="0" w:line="1" w:lineRule="exact"/>
        <w:rPr>
          <w:rFonts w:ascii="Arial" w:cs="Arial" w:eastAsia="Arial" w:hAnsi="Arial"/>
          <w:sz w:val="16"/>
          <w:szCs w:val="16"/>
          <w:color w:val="auto"/>
        </w:rPr>
      </w:pPr>
    </w:p>
    <w:p>
      <w:pPr>
        <w:ind w:left="1300" w:hanging="320"/>
        <w:spacing w:after="0" w:line="250" w:lineRule="auto"/>
        <w:tabs>
          <w:tab w:leader="none" w:pos="1300" w:val="left"/>
        </w:tabs>
        <w:numPr>
          <w:ilvl w:val="0"/>
          <w:numId w:val="107"/>
        </w:numPr>
        <w:rPr>
          <w:rFonts w:ascii="Arial" w:cs="Arial" w:eastAsia="Arial" w:hAnsi="Arial"/>
          <w:sz w:val="18"/>
          <w:szCs w:val="18"/>
          <w:color w:val="auto"/>
        </w:rPr>
      </w:pPr>
      <w:r>
        <w:rPr>
          <w:rFonts w:ascii="Arial" w:cs="Arial" w:eastAsia="Arial" w:hAnsi="Arial"/>
          <w:sz w:val="18"/>
          <w:szCs w:val="18"/>
          <w:color w:val="auto"/>
        </w:rPr>
        <w:t>The Bank retains the right to receive cash flows from the asset, but has assumed an obligation to pay the received cash flows in full without material delay to a third party under a ‘pass–through’ arrangement.</w:t>
      </w:r>
    </w:p>
    <w:p>
      <w:pPr>
        <w:jc w:val="both"/>
        <w:ind w:left="1300" w:hanging="320"/>
        <w:spacing w:after="0" w:line="295" w:lineRule="auto"/>
        <w:tabs>
          <w:tab w:leader="none" w:pos="1300" w:val="left"/>
        </w:tabs>
        <w:numPr>
          <w:ilvl w:val="0"/>
          <w:numId w:val="107"/>
        </w:numPr>
        <w:rPr>
          <w:rFonts w:ascii="Arial" w:cs="Arial" w:eastAsia="Arial" w:hAnsi="Arial"/>
          <w:sz w:val="16"/>
          <w:szCs w:val="16"/>
          <w:color w:val="auto"/>
        </w:rPr>
      </w:pPr>
      <w:r>
        <w:rPr>
          <w:rFonts w:ascii="Arial" w:cs="Arial" w:eastAsia="Arial" w:hAnsi="Arial"/>
          <w:sz w:val="16"/>
          <w:szCs w:val="16"/>
          <w:color w:val="auto"/>
        </w:rPr>
        <w:t>When the Bank has transferred its rights to receive cash flows from an asset or has entered into a pass–through arrangement, and has neither transferred nor retained substantially all of the risks and rewards of the asset nor transferred control of the asset, the asset is recognized to the extent of the Bank’s continuing involvement in the asset. In that case, the Bank also recognizes an associated liability. The transferred asset and the associated liability are measured on a basis that reflects the rights and obligations that the Bank has retained.</w:t>
      </w:r>
    </w:p>
    <w:p>
      <w:pPr>
        <w:spacing w:after="0" w:line="16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Continuing involvement that takes the form of a guarantee over the transferred asset is measured at the lower of the original carrying amount of the asset and the maximum amount of consideration that the Bank could be required to repay.</w:t>
      </w:r>
    </w:p>
    <w:p>
      <w:pPr>
        <w:spacing w:after="0" w:line="170"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enters into transactions whereby it transfers assets recognized on its statement of financial position, but retains either all or substantially all of the risks and rewards of the transferred asset or portion of them. In such cases, the transferred assets are not derecognized. Examples of such transactions are securities lending and sale-and-repurchase transactions.</w:t>
      </w:r>
    </w:p>
    <w:p>
      <w:pPr>
        <w:spacing w:after="0" w:line="177"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Financial liabilities</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financial liability is derecognized when the obligation under the liability is extinguished, when the obligation specified in the contract is discharged or cancelled or expires.</w:t>
      </w:r>
    </w:p>
    <w:p>
      <w:pPr>
        <w:spacing w:after="0" w:line="170"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Where an existing financial liability is replaced by another from the same lender on substantially different terms, or the terms of an existing liability are substantially modified, such an exchange or modification is treated as a an extinguishment of the original liability and the recognition of a new liability.</w:t>
      </w:r>
    </w:p>
    <w:p>
      <w:pPr>
        <w:spacing w:after="0" w:line="124"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difference between the carrying value of the original financial liability and the consideration paid, including any non-cash assets transferred or liabilities assumed, is recognized in the consolidated statements of profit or loss.</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37" w:name="page138"/>
    <w:bookmarkEnd w:id="1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08"/>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3.3 Financial instruments (continued)</w:t>
      </w:r>
    </w:p>
    <w:p>
      <w:pPr>
        <w:spacing w:after="0" w:line="225"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3.3.10  Derecognition of financial assets and financial liabilities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Impairment of financial assets – investment securities</w:t>
      </w:r>
    </w:p>
    <w:p>
      <w:pPr>
        <w:spacing w:after="0" w:line="229" w:lineRule="exact"/>
        <w:rPr>
          <w:sz w:val="20"/>
          <w:szCs w:val="20"/>
          <w:color w:val="auto"/>
        </w:rPr>
      </w:pPr>
    </w:p>
    <w:p>
      <w:pPr>
        <w:jc w:val="both"/>
        <w:ind w:left="340"/>
        <w:spacing w:after="0" w:line="270" w:lineRule="auto"/>
        <w:rPr>
          <w:sz w:val="20"/>
          <w:szCs w:val="20"/>
          <w:color w:val="auto"/>
        </w:rPr>
      </w:pPr>
      <w:r>
        <w:rPr>
          <w:rFonts w:ascii="Arial" w:cs="Arial" w:eastAsia="Arial" w:hAnsi="Arial"/>
          <w:sz w:val="17"/>
          <w:szCs w:val="17"/>
          <w:color w:val="auto"/>
        </w:rPr>
        <w:t>The Bank conducts periodic reviews for all of its securities. The Bank recognizes a loss allowance for expected credit losses on investment securities measured at fair value through other comprehensive income and investment securities measured at amortized cost. If at the reporting date, the credit risk of these financial instruments has not increased significantly since initial recognition, the Bank will measure the loss allowance for those financial instruments at an amount equal to 12-month expected credit losses. However, if the Bank determines that the credit risk of those financial instruments has increased significantly since initial recognition, then it measures a loss allowance at an amount equal to the lifetime expected credit losses. If the Bank has measured a loss allowance for a financial instrument at an amount equal to lifetime expected credit losses in the previous reporting year because of a significant increase in credit risk, but determines at the current reporting date that this presumption is no longer met; then it will measure the loss allowance at an amount equal to 12-month expected credit losses at the current reporting date. The Bank recognizes in the consolidated statement of profit or loss, as an impairment gain or loss, the amount of expected credit losses (or reversal) that is required to adjust the loss allowance to the amount that is required to be recognized at the reporting date.</w:t>
      </w:r>
    </w:p>
    <w:p>
      <w:pPr>
        <w:spacing w:after="0" w:line="178"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 maintains a system of internal credit quality indicators. . The table below provides a mapping of the Bank’s internal credit risk grades to external ratings.</w:t>
      </w:r>
    </w:p>
    <w:p>
      <w:pPr>
        <w:ind w:left="920"/>
        <w:spacing w:after="0" w:line="233" w:lineRule="auto"/>
        <w:tabs>
          <w:tab w:leader="none" w:pos="2160" w:val="left"/>
        </w:tabs>
        <w:rPr>
          <w:sz w:val="20"/>
          <w:szCs w:val="20"/>
          <w:color w:val="auto"/>
        </w:rPr>
      </w:pPr>
      <w:r>
        <w:rPr>
          <w:rFonts w:ascii="Arial" w:cs="Arial" w:eastAsia="Arial" w:hAnsi="Arial"/>
          <w:sz w:val="18"/>
          <w:szCs w:val="18"/>
          <w:b w:val="1"/>
          <w:bCs w:val="1"/>
          <w:color w:val="auto"/>
        </w:rPr>
        <w:t>Internal</w:t>
      </w:r>
      <w:r>
        <w:rPr>
          <w:sz w:val="20"/>
          <w:szCs w:val="20"/>
          <w:color w:val="auto"/>
        </w:rPr>
        <w:tab/>
      </w:r>
      <w:r>
        <w:rPr>
          <w:rFonts w:ascii="Arial" w:cs="Arial" w:eastAsia="Arial" w:hAnsi="Arial"/>
          <w:sz w:val="36"/>
          <w:szCs w:val="36"/>
          <w:b w:val="1"/>
          <w:bCs w:val="1"/>
          <w:color w:val="auto"/>
          <w:vertAlign w:val="superscript"/>
        </w:rPr>
        <w:t>External</w:t>
      </w:r>
    </w:p>
    <w:p>
      <w:pPr>
        <w:ind w:left="980"/>
        <w:spacing w:after="0"/>
        <w:tabs>
          <w:tab w:leader="none" w:pos="2120" w:val="left"/>
          <w:tab w:leader="none" w:pos="6700" w:val="left"/>
        </w:tabs>
        <w:rPr>
          <w:sz w:val="20"/>
          <w:szCs w:val="20"/>
          <w:color w:val="auto"/>
        </w:rPr>
      </w:pPr>
      <w:r>
        <w:rPr>
          <w:rFonts w:ascii="Arial" w:cs="Arial" w:eastAsia="Arial" w:hAnsi="Arial"/>
          <w:sz w:val="18"/>
          <w:szCs w:val="18"/>
          <w:b w:val="1"/>
          <w:bCs w:val="1"/>
          <w:color w:val="auto"/>
        </w:rPr>
        <w:t>Rating</w:t>
      </w:r>
      <w:r>
        <w:rPr>
          <w:sz w:val="20"/>
          <w:szCs w:val="20"/>
          <w:color w:val="auto"/>
        </w:rPr>
        <w:tab/>
      </w:r>
      <w:r>
        <w:rPr>
          <w:rFonts w:ascii="Arial" w:cs="Arial" w:eastAsia="Arial" w:hAnsi="Arial"/>
          <w:sz w:val="18"/>
          <w:szCs w:val="18"/>
          <w:b w:val="1"/>
          <w:bCs w:val="1"/>
          <w:color w:val="auto"/>
        </w:rPr>
        <w:t xml:space="preserve">Rating </w:t>
      </w:r>
      <w:r>
        <w:rPr>
          <w:rFonts w:ascii="Arial" w:cs="Arial" w:eastAsia="Arial" w:hAnsi="Arial"/>
          <w:sz w:val="29"/>
          <w:szCs w:val="29"/>
          <w:b w:val="1"/>
          <w:bCs w:val="1"/>
          <w:color w:val="auto"/>
          <w:vertAlign w:val="superscript"/>
        </w:rPr>
        <w:t>(1)</w:t>
      </w:r>
      <w:r>
        <w:rPr>
          <w:sz w:val="20"/>
          <w:szCs w:val="20"/>
          <w:color w:val="auto"/>
        </w:rPr>
        <w:tab/>
      </w:r>
      <w:r>
        <w:rPr>
          <w:rFonts w:ascii="Arial" w:cs="Arial" w:eastAsia="Arial" w:hAnsi="Arial"/>
          <w:sz w:val="16"/>
          <w:szCs w:val="16"/>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2020570</wp:posOffset>
            </wp:positionH>
            <wp:positionV relativeFrom="paragraph">
              <wp:posOffset>635</wp:posOffset>
            </wp:positionV>
            <wp:extent cx="5059680" cy="889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5">
                      <a:extLst>
                        <a:ext uri="{28A0092B-C50C-407E-A947-70E740481C1C}"/>
                      </a:extLst>
                    </a:blip>
                    <a:srcRect/>
                    <a:stretch>
                      <a:fillRect/>
                    </a:stretch>
                  </pic:blipFill>
                  <pic:spPr bwMode="auto">
                    <a:xfrm>
                      <a:off x="0" y="0"/>
                      <a:ext cx="505968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p>
      <w:pPr>
        <w:spacing w:after="0" w:line="1" w:lineRule="exact"/>
        <w:rPr>
          <w:sz w:val="20"/>
          <w:szCs w:val="20"/>
          <w:color w:val="auto"/>
        </w:rPr>
      </w:pPr>
    </w:p>
    <w:tbl>
      <w:tblPr>
        <w:tblLayout w:type="fixed"/>
        <w:tblInd w:w="660" w:type="dxa"/>
        <w:tblCellMar>
          <w:top w:w="0" w:type="dxa"/>
          <w:left w:w="0" w:type="dxa"/>
          <w:bottom w:w="0" w:type="dxa"/>
          <w:right w:w="0" w:type="dxa"/>
        </w:tblCellMar>
      </w:tblPr>
      <w:tr>
        <w:trPr>
          <w:trHeight w:val="195"/>
        </w:trPr>
        <w:tc>
          <w:tcPr>
            <w:tcW w:w="1160" w:type="dxa"/>
            <w:vAlign w:val="bottom"/>
            <w:tcBorders>
              <w:top w:val="single" w:sz="8" w:color="auto"/>
            </w:tcBorders>
          </w:tcPr>
          <w:p>
            <w:pPr>
              <w:ind w:left="400"/>
              <w:spacing w:after="0" w:line="195" w:lineRule="exact"/>
              <w:rPr>
                <w:sz w:val="20"/>
                <w:szCs w:val="20"/>
                <w:color w:val="auto"/>
              </w:rPr>
            </w:pPr>
            <w:r>
              <w:rPr>
                <w:rFonts w:ascii="Arial" w:cs="Arial" w:eastAsia="Arial" w:hAnsi="Arial"/>
                <w:sz w:val="18"/>
                <w:szCs w:val="18"/>
                <w:color w:val="auto"/>
              </w:rPr>
              <w:t>1 a 4</w:t>
            </w:r>
          </w:p>
        </w:tc>
        <w:tc>
          <w:tcPr>
            <w:tcW w:w="100" w:type="dxa"/>
            <w:vAlign w:val="bottom"/>
          </w:tcPr>
          <w:p>
            <w:pPr>
              <w:spacing w:after="0"/>
              <w:rPr>
                <w:sz w:val="16"/>
                <w:szCs w:val="16"/>
                <w:color w:val="auto"/>
              </w:rPr>
            </w:pPr>
          </w:p>
        </w:tc>
        <w:tc>
          <w:tcPr>
            <w:tcW w:w="320" w:type="dxa"/>
            <w:vAlign w:val="bottom"/>
            <w:tcBorders>
              <w:top w:val="single" w:sz="8" w:color="auto"/>
            </w:tcBorders>
          </w:tcPr>
          <w:p>
            <w:pPr>
              <w:spacing w:after="0" w:line="195" w:lineRule="exact"/>
              <w:rPr>
                <w:sz w:val="20"/>
                <w:szCs w:val="20"/>
                <w:color w:val="auto"/>
              </w:rPr>
            </w:pPr>
            <w:r>
              <w:rPr>
                <w:rFonts w:ascii="Arial" w:cs="Arial" w:eastAsia="Arial" w:hAnsi="Arial"/>
                <w:sz w:val="18"/>
                <w:szCs w:val="18"/>
                <w:color w:val="auto"/>
                <w:w w:val="93"/>
              </w:rPr>
              <w:t>Aaa</w:t>
            </w:r>
          </w:p>
        </w:tc>
        <w:tc>
          <w:tcPr>
            <w:tcW w:w="840" w:type="dxa"/>
            <w:vAlign w:val="bottom"/>
            <w:tcBorders>
              <w:top w:val="single" w:sz="8" w:color="auto"/>
            </w:tcBorders>
          </w:tcPr>
          <w:p>
            <w:pPr>
              <w:ind w:left="20"/>
              <w:spacing w:after="0" w:line="195" w:lineRule="exact"/>
              <w:rPr>
                <w:sz w:val="20"/>
                <w:szCs w:val="20"/>
                <w:color w:val="auto"/>
              </w:rPr>
            </w:pPr>
            <w:r>
              <w:rPr>
                <w:rFonts w:ascii="Arial" w:cs="Arial" w:eastAsia="Arial" w:hAnsi="Arial"/>
                <w:sz w:val="18"/>
                <w:szCs w:val="18"/>
                <w:color w:val="auto"/>
              </w:rPr>
              <w:t>– Ba1</w:t>
            </w:r>
          </w:p>
        </w:tc>
      </w:tr>
      <w:tr>
        <w:trPr>
          <w:trHeight w:val="230"/>
        </w:trPr>
        <w:tc>
          <w:tcPr>
            <w:tcW w:w="1260" w:type="dxa"/>
            <w:vAlign w:val="bottom"/>
            <w:gridSpan w:val="2"/>
          </w:tcPr>
          <w:p>
            <w:pPr>
              <w:ind w:left="400"/>
              <w:spacing w:after="0"/>
              <w:rPr>
                <w:sz w:val="20"/>
                <w:szCs w:val="20"/>
                <w:color w:val="auto"/>
              </w:rPr>
            </w:pPr>
            <w:r>
              <w:rPr>
                <w:rFonts w:ascii="Arial" w:cs="Arial" w:eastAsia="Arial" w:hAnsi="Arial"/>
                <w:sz w:val="18"/>
                <w:szCs w:val="18"/>
                <w:color w:val="auto"/>
              </w:rPr>
              <w:t>5 a 6</w:t>
            </w:r>
          </w:p>
        </w:tc>
        <w:tc>
          <w:tcPr>
            <w:tcW w:w="320" w:type="dxa"/>
            <w:vAlign w:val="bottom"/>
          </w:tcPr>
          <w:p>
            <w:pPr>
              <w:spacing w:after="0"/>
              <w:rPr>
                <w:sz w:val="20"/>
                <w:szCs w:val="20"/>
                <w:color w:val="auto"/>
              </w:rPr>
            </w:pPr>
            <w:r>
              <w:rPr>
                <w:rFonts w:ascii="Arial" w:cs="Arial" w:eastAsia="Arial" w:hAnsi="Arial"/>
                <w:sz w:val="18"/>
                <w:szCs w:val="18"/>
                <w:color w:val="auto"/>
                <w:w w:val="93"/>
              </w:rPr>
              <w:t>Ba2</w:t>
            </w:r>
          </w:p>
        </w:tc>
        <w:tc>
          <w:tcPr>
            <w:tcW w:w="840" w:type="dxa"/>
            <w:vAlign w:val="bottom"/>
          </w:tcPr>
          <w:p>
            <w:pPr>
              <w:ind w:left="20"/>
              <w:spacing w:after="0"/>
              <w:rPr>
                <w:sz w:val="20"/>
                <w:szCs w:val="20"/>
                <w:color w:val="auto"/>
              </w:rPr>
            </w:pPr>
            <w:r>
              <w:rPr>
                <w:rFonts w:ascii="Arial" w:cs="Arial" w:eastAsia="Arial" w:hAnsi="Arial"/>
                <w:sz w:val="18"/>
                <w:szCs w:val="18"/>
                <w:color w:val="auto"/>
              </w:rPr>
              <w:t>– B3</w:t>
            </w:r>
          </w:p>
        </w:tc>
      </w:tr>
    </w:tbl>
    <w:p>
      <w:pPr>
        <w:spacing w:after="0" w:line="94" w:lineRule="exact"/>
        <w:rPr>
          <w:sz w:val="20"/>
          <w:szCs w:val="20"/>
          <w:color w:val="auto"/>
        </w:rPr>
      </w:pPr>
    </w:p>
    <w:p>
      <w:pPr>
        <w:ind w:left="1920" w:hanging="728"/>
        <w:spacing w:after="0"/>
        <w:tabs>
          <w:tab w:leader="none" w:pos="1920" w:val="left"/>
        </w:tabs>
        <w:numPr>
          <w:ilvl w:val="0"/>
          <w:numId w:val="109"/>
        </w:numPr>
        <w:rPr>
          <w:rFonts w:ascii="Arial" w:cs="Arial" w:eastAsia="Arial" w:hAnsi="Arial"/>
          <w:sz w:val="18"/>
          <w:szCs w:val="18"/>
          <w:color w:val="auto"/>
        </w:rPr>
      </w:pPr>
      <w:r>
        <w:rPr>
          <w:rFonts w:ascii="Arial" w:cs="Arial" w:eastAsia="Arial" w:hAnsi="Arial"/>
          <w:sz w:val="18"/>
          <w:szCs w:val="18"/>
          <w:color w:val="auto"/>
        </w:rPr>
        <w:t>Caa1</w:t>
      </w:r>
    </w:p>
    <w:p>
      <w:pPr>
        <w:spacing w:after="0" w:line="333" w:lineRule="exact"/>
        <w:rPr>
          <w:sz w:val="20"/>
          <w:szCs w:val="20"/>
          <w:color w:val="auto"/>
        </w:rPr>
      </w:pPr>
    </w:p>
    <w:p>
      <w:pPr>
        <w:ind w:left="1920" w:hanging="728"/>
        <w:spacing w:after="0"/>
        <w:tabs>
          <w:tab w:leader="none" w:pos="1920" w:val="left"/>
        </w:tabs>
        <w:numPr>
          <w:ilvl w:val="0"/>
          <w:numId w:val="110"/>
        </w:numPr>
        <w:rPr>
          <w:rFonts w:ascii="Arial" w:cs="Arial" w:eastAsia="Arial" w:hAnsi="Arial"/>
          <w:sz w:val="18"/>
          <w:szCs w:val="18"/>
          <w:color w:val="auto"/>
        </w:rPr>
      </w:pPr>
      <w:r>
        <w:rPr>
          <w:rFonts w:ascii="Arial" w:cs="Arial" w:eastAsia="Arial" w:hAnsi="Arial"/>
          <w:sz w:val="18"/>
          <w:szCs w:val="18"/>
          <w:color w:val="auto"/>
        </w:rPr>
        <w:t>Caa2 – Caa3</w:t>
      </w:r>
    </w:p>
    <w:p>
      <w:pPr>
        <w:spacing w:after="0" w:line="200" w:lineRule="exact"/>
        <w:rPr>
          <w:sz w:val="20"/>
          <w:szCs w:val="20"/>
          <w:color w:val="auto"/>
        </w:rPr>
      </w:pPr>
    </w:p>
    <w:p>
      <w:pPr>
        <w:spacing w:after="0" w:line="241" w:lineRule="exact"/>
        <w:rPr>
          <w:sz w:val="20"/>
          <w:szCs w:val="20"/>
          <w:color w:val="auto"/>
        </w:rPr>
      </w:pPr>
    </w:p>
    <w:p>
      <w:pPr>
        <w:ind w:left="1920" w:hanging="728"/>
        <w:spacing w:after="0"/>
        <w:tabs>
          <w:tab w:leader="none" w:pos="1920" w:val="left"/>
        </w:tabs>
        <w:numPr>
          <w:ilvl w:val="0"/>
          <w:numId w:val="111"/>
        </w:numPr>
        <w:rPr>
          <w:rFonts w:ascii="Arial" w:cs="Arial" w:eastAsia="Arial" w:hAnsi="Arial"/>
          <w:sz w:val="18"/>
          <w:szCs w:val="18"/>
          <w:color w:val="auto"/>
        </w:rPr>
      </w:pPr>
      <w:r>
        <w:rPr>
          <w:rFonts w:ascii="Arial" w:cs="Arial" w:eastAsia="Arial" w:hAnsi="Arial"/>
          <w:sz w:val="18"/>
          <w:szCs w:val="18"/>
          <w:color w:val="auto"/>
        </w:rPr>
        <w:t>Ca</w:t>
      </w:r>
    </w:p>
    <w:p>
      <w:pPr>
        <w:spacing w:after="0" w:line="200" w:lineRule="exact"/>
        <w:rPr>
          <w:rFonts w:ascii="Arial" w:cs="Arial" w:eastAsia="Arial" w:hAnsi="Arial"/>
          <w:sz w:val="18"/>
          <w:szCs w:val="18"/>
          <w:color w:val="auto"/>
        </w:rPr>
      </w:pPr>
    </w:p>
    <w:p>
      <w:pPr>
        <w:spacing w:after="0" w:line="241" w:lineRule="exact"/>
        <w:rPr>
          <w:rFonts w:ascii="Arial" w:cs="Arial" w:eastAsia="Arial" w:hAnsi="Arial"/>
          <w:sz w:val="18"/>
          <w:szCs w:val="18"/>
          <w:color w:val="auto"/>
        </w:rPr>
      </w:pPr>
    </w:p>
    <w:p>
      <w:pPr>
        <w:ind w:left="1140"/>
        <w:spacing w:after="0"/>
        <w:rPr>
          <w:rFonts w:ascii="Arial" w:cs="Arial" w:eastAsia="Arial" w:hAnsi="Arial"/>
          <w:sz w:val="18"/>
          <w:szCs w:val="18"/>
          <w:color w:val="auto"/>
        </w:rPr>
      </w:pPr>
      <w:r>
        <w:rPr>
          <w:rFonts w:ascii="Arial" w:cs="Arial" w:eastAsia="Arial" w:hAnsi="Arial"/>
          <w:sz w:val="18"/>
          <w:szCs w:val="18"/>
          <w:color w:val="auto"/>
        </w:rPr>
        <w:t>10</w:t>
      </w:r>
      <w:r>
        <w:rPr>
          <w:rFonts w:ascii="Arial" w:cs="Arial" w:eastAsia="Arial" w:hAnsi="Arial"/>
          <w:sz w:val="16"/>
          <w:szCs w:val="16"/>
          <w:color w:val="auto"/>
        </w:rPr>
        <w:t>C</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8"/>
          <w:szCs w:val="18"/>
          <w:color w:val="auto"/>
        </w:rPr>
        <w:t>Clients with payment ability to satisfy their financial commitments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Clients with payment ability to satisfy their financial commitments, but with more frequent reviews.</w:t>
      </w:r>
    </w:p>
    <w:p>
      <w:pPr>
        <w:spacing w:after="0" w:line="9" w:lineRule="exact"/>
        <w:rPr>
          <w:sz w:val="20"/>
          <w:szCs w:val="20"/>
          <w:color w:val="auto"/>
        </w:rPr>
      </w:pPr>
    </w:p>
    <w:p>
      <w:pPr>
        <w:ind w:right="280"/>
        <w:spacing w:after="0" w:line="250" w:lineRule="auto"/>
        <w:rPr>
          <w:sz w:val="20"/>
          <w:szCs w:val="20"/>
          <w:color w:val="auto"/>
        </w:rPr>
      </w:pPr>
      <w:r>
        <w:rPr>
          <w:rFonts w:ascii="Arial" w:cs="Arial" w:eastAsia="Arial" w:hAnsi="Arial"/>
          <w:sz w:val="18"/>
          <w:szCs w:val="18"/>
          <w:color w:val="auto"/>
        </w:rPr>
        <w:t>Clients exposed to systemic risks specific to the country or the industry in which they are located, facing adverse situations in their operation or financial condition. At this level, access to new funding is uncertain. Clients whose primary source of payment (operating cash flow) is inadequate, and who show evidence of deterioration in their working capital that does not allow them to satisfy payments on the agreed terms, endangering recovery of unpaid balances.</w:t>
      </w:r>
    </w:p>
    <w:p>
      <w:pPr>
        <w:spacing w:after="0" w:line="2" w:lineRule="exact"/>
        <w:rPr>
          <w:sz w:val="20"/>
          <w:szCs w:val="20"/>
          <w:color w:val="auto"/>
        </w:rPr>
      </w:pPr>
    </w:p>
    <w:p>
      <w:pPr>
        <w:jc w:val="both"/>
        <w:ind w:right="280"/>
        <w:spacing w:after="0" w:line="250" w:lineRule="auto"/>
        <w:rPr>
          <w:sz w:val="20"/>
          <w:szCs w:val="20"/>
          <w:color w:val="auto"/>
        </w:rPr>
      </w:pPr>
      <w:r>
        <w:rPr>
          <w:rFonts w:ascii="Arial" w:cs="Arial" w:eastAsia="Arial" w:hAnsi="Arial"/>
          <w:sz w:val="18"/>
          <w:szCs w:val="18"/>
          <w:color w:val="auto"/>
        </w:rPr>
        <w:t>Clients whose operating cash flow continuously shows insufficiency to service the debt on the originally agreed terms. Due to the fact that the borrower presents an impaired financial and economic situation, the likelihood of recovery is low.</w:t>
      </w:r>
    </w:p>
    <w:p>
      <w:pPr>
        <w:spacing w:after="0" w:line="1" w:lineRule="exact"/>
        <w:rPr>
          <w:sz w:val="20"/>
          <w:szCs w:val="20"/>
          <w:color w:val="auto"/>
        </w:rPr>
      </w:pPr>
    </w:p>
    <w:p>
      <w:pPr>
        <w:jc w:val="both"/>
        <w:ind w:right="280"/>
        <w:spacing w:after="0" w:line="255" w:lineRule="auto"/>
        <w:rPr>
          <w:sz w:val="20"/>
          <w:szCs w:val="20"/>
          <w:color w:val="auto"/>
        </w:rPr>
      </w:pPr>
      <w:r>
        <w:rPr>
          <w:rFonts w:ascii="Arial" w:cs="Arial" w:eastAsia="Arial" w:hAnsi="Arial"/>
          <w:sz w:val="18"/>
          <w:szCs w:val="18"/>
          <w:color w:val="auto"/>
        </w:rPr>
        <w:t>Clients with operating cash flow that does not cover their costs, are in suspension of payments, presumably will also have difficulties fulfilling possible restructuring agreements, are in a state of insolvency, or have filed for bankruptcy, among others.</w:t>
      </w:r>
    </w:p>
    <w:p>
      <w:pPr>
        <w:spacing w:after="0" w:line="76" w:lineRule="exact"/>
        <w:rPr>
          <w:sz w:val="20"/>
          <w:szCs w:val="20"/>
          <w:color w:val="auto"/>
        </w:rPr>
      </w:pPr>
    </w:p>
    <w:p>
      <w:pPr>
        <w:sectPr>
          <w:pgSz w:w="11900" w:h="16838" w:orient="portrait"/>
          <w:cols w:equalWidth="0" w:num="2">
            <w:col w:w="3080" w:space="100"/>
            <w:col w:w="8240"/>
          </w:cols>
          <w:pgMar w:left="240" w:top="688" w:right="239" w:bottom="1440" w:gutter="0" w:footer="0" w:header="0"/>
          <w:type w:val="continuous"/>
        </w:sectPr>
      </w:pPr>
    </w:p>
    <w:p>
      <w:pPr>
        <w:ind w:left="660" w:hanging="328"/>
        <w:spacing w:after="0"/>
        <w:tabs>
          <w:tab w:leader="none" w:pos="660" w:val="left"/>
        </w:tabs>
        <w:numPr>
          <w:ilvl w:val="0"/>
          <w:numId w:val="112"/>
        </w:numPr>
        <w:rPr>
          <w:rFonts w:ascii="Arial" w:cs="Arial" w:eastAsia="Arial" w:hAnsi="Arial"/>
          <w:sz w:val="30"/>
          <w:szCs w:val="30"/>
          <w:color w:val="auto"/>
          <w:vertAlign w:val="superscript"/>
        </w:rPr>
      </w:pPr>
      <w:r>
        <w:rPr>
          <w:rFonts w:ascii="Arial" w:cs="Arial" w:eastAsia="Arial" w:hAnsi="Arial"/>
          <w:sz w:val="18"/>
          <w:szCs w:val="18"/>
          <w:color w:val="auto"/>
        </w:rPr>
        <w:t>External rating in accordance to Moody’s</w:t>
      </w:r>
    </w:p>
    <w:p>
      <w:pPr>
        <w:spacing w:after="0" w:line="202"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For financial instruments measured at fair value through OCI, the expected credit losses do not reduce the carrying amount in the consolidated statement of financial position, which remains at fair value. Instead, an amount equal to the allowance that would arise if the asset was measured at amortized cost is recognized in the consolidated statement of profit or loss and other comprehensive income as the accumulated impairment amount. Impairment gains or losses are accounted for as an adjustment of the revaluation reserve in the accumulated other comprehensive income, with a corresponding charge to the consolidated statement of profit or loss.</w:t>
      </w:r>
    </w:p>
    <w:p>
      <w:pPr>
        <w:spacing w:after="0" w:line="188"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Impairment on securities is evaluated considering numerous factors, and their relative significance varies case by case. Factors considered in determining whether a detrimental impact on the estimated future cash flows of a financial asset has occurred include, but are not limited to: significant financial difficulty of the issuer; high probability of bankruptcy; granting a concession to the issuer; disappearance of an active market because of financial difficulties; breach of contract, such as default</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type w:val="continuous"/>
        </w:sectPr>
      </w:pPr>
    </w:p>
    <w:bookmarkStart w:id="138" w:name="page139"/>
    <w:bookmarkEnd w:id="1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13"/>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3.3 Financial instruments (continued)</w:t>
      </w:r>
    </w:p>
    <w:p>
      <w:pPr>
        <w:spacing w:after="0" w:line="225"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3.3.10</w:t>
      </w:r>
      <w:r>
        <w:rPr>
          <w:sz w:val="20"/>
          <w:szCs w:val="20"/>
          <w:color w:val="auto"/>
        </w:rPr>
        <w:tab/>
      </w:r>
      <w:r>
        <w:rPr>
          <w:rFonts w:ascii="Arial" w:cs="Arial" w:eastAsia="Arial" w:hAnsi="Arial"/>
          <w:sz w:val="16"/>
          <w:szCs w:val="16"/>
          <w:b w:val="1"/>
          <w:bCs w:val="1"/>
          <w:color w:val="auto"/>
        </w:rPr>
        <w:t>Derecognition of financial assets and financial liabilities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Impairment of financial assets – investment securities</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or delinquency in interest or principal; and, observable data indicating there is a measurable decrease in the estimated future cash flows since initial recognition.</w:t>
      </w:r>
    </w:p>
    <w:p>
      <w:pPr>
        <w:spacing w:after="0" w:line="170"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If a security is no longer publicly traded or the entity´s credit rating is downgraded, this is not, by itself, evidence of impairment, but should be considered for impairment together with other information. A decline in the fair value of an investment security below its amortized cost is not necessarily evidence of impairment, as it may be due to an increase in market interest rates. Whether a decline in fair value below cost is considered significant or prolonged, must be assessed on an instrument-by-instrument basis and should be based on both qualitative and quantitative factors. However, the assessment of prolonged decline should not be compared to the entire period that the investment has been or is expected to be held.</w:t>
      </w:r>
    </w:p>
    <w:p>
      <w:pPr>
        <w:spacing w:after="0" w:line="15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3.4 Non-financial assets</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 xml:space="preserve">A non-financial asset is an asset with a physical or intangible value and it is subject to the impairment guidelines prescribed in IAS 36 – </w:t>
      </w:r>
      <w:r>
        <w:rPr>
          <w:rFonts w:ascii="Arial" w:cs="Arial" w:eastAsia="Arial" w:hAnsi="Arial"/>
          <w:sz w:val="18"/>
          <w:szCs w:val="18"/>
          <w:i w:val="1"/>
          <w:iCs w:val="1"/>
          <w:color w:val="auto"/>
        </w:rPr>
        <w:t>Impairment of</w:t>
      </w:r>
      <w:r>
        <w:rPr>
          <w:rFonts w:ascii="Arial" w:cs="Arial" w:eastAsia="Arial" w:hAnsi="Arial"/>
          <w:sz w:val="18"/>
          <w:szCs w:val="18"/>
          <w:color w:val="auto"/>
        </w:rPr>
        <w:t xml:space="preserve"> </w:t>
      </w:r>
      <w:r>
        <w:rPr>
          <w:rFonts w:ascii="Arial" w:cs="Arial" w:eastAsia="Arial" w:hAnsi="Arial"/>
          <w:sz w:val="18"/>
          <w:szCs w:val="18"/>
          <w:i w:val="1"/>
          <w:iCs w:val="1"/>
          <w:color w:val="auto"/>
        </w:rPr>
        <w:t>assets.</w:t>
      </w:r>
    </w:p>
    <w:p>
      <w:pPr>
        <w:spacing w:after="0" w:line="166"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3.4.1</w:t>
      </w:r>
      <w:r>
        <w:rPr>
          <w:sz w:val="20"/>
          <w:szCs w:val="20"/>
          <w:color w:val="auto"/>
        </w:rPr>
        <w:tab/>
      </w:r>
      <w:r>
        <w:rPr>
          <w:rFonts w:ascii="Arial" w:cs="Arial" w:eastAsia="Arial" w:hAnsi="Arial"/>
          <w:sz w:val="16"/>
          <w:szCs w:val="16"/>
          <w:b w:val="1"/>
          <w:bCs w:val="1"/>
          <w:color w:val="auto"/>
        </w:rPr>
        <w:t>Impairment of non-financial assets</w:t>
      </w:r>
    </w:p>
    <w:p>
      <w:pPr>
        <w:spacing w:after="0" w:line="229" w:lineRule="exact"/>
        <w:rPr>
          <w:sz w:val="20"/>
          <w:szCs w:val="20"/>
          <w:color w:val="auto"/>
        </w:rPr>
      </w:pPr>
    </w:p>
    <w:p>
      <w:pPr>
        <w:jc w:val="both"/>
        <w:ind w:left="340"/>
        <w:spacing w:after="0" w:line="254" w:lineRule="auto"/>
        <w:rPr>
          <w:sz w:val="20"/>
          <w:szCs w:val="20"/>
          <w:color w:val="auto"/>
        </w:rPr>
      </w:pPr>
      <w:r>
        <w:rPr>
          <w:rFonts w:ascii="Arial" w:cs="Arial" w:eastAsia="Arial" w:hAnsi="Arial"/>
          <w:sz w:val="18"/>
          <w:szCs w:val="18"/>
          <w:color w:val="auto"/>
        </w:rPr>
        <w:t>A non-financial asset is impaired when an entity will not be able to recover that asset’s carrying value, either through using it or selling it. If circumstances arise which indicate that a non-financial asset might be impaired, a review should be undertaken of its cash generating abilities through use or sale. This review will produce an amount which should be compared with the asset’s carrying value, and if the carrying value is higher, the difference must be written off as impairment in the consolidated statement of profit or loss. On the other hand, if there is any indication that previously recognized impairment losses may no longer exists or may have decreased, the Bank makes an estimate of the recoverable amount. In that case, the carrying amount of the asset is increased to its recoverable amount. This increase cannot exceed the carrying amount that would have been determined, net of depreciation, had no impairment loss been recognized for the asset in prior years. Such reversal is recognized in the consolidated statement of profit or loss.</w:t>
      </w:r>
    </w:p>
    <w:p>
      <w:pPr>
        <w:spacing w:after="0" w:line="18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3.5 Loans - at amortized cost</w:t>
      </w:r>
    </w:p>
    <w:p>
      <w:pPr>
        <w:spacing w:after="0" w:line="229"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Loans are reported at their amortized cost considering the principal outstanding amounts net of unearned interest, and deferred fees and allowance for expected credit losses. Interest income is recognized using the effective interest rate method. This shall be calculated by applying the effective interest rate to the gross carrying amount of the loan, except for: a) purchased or originated credit-impaired loans. For these financial assets, the Bank applies the credit-adjusted effective interest rate to the amortized cost of the financial asset from initial recognition; and b) loans that have subsequently become credit-impaired financial assets. For these loans, the Bank shall apply the effective interest rate to the amortized cost of the financial asset in subsequent reporting years.</w:t>
      </w:r>
    </w:p>
    <w:p>
      <w:pPr>
        <w:spacing w:after="0" w:line="193"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amortization of net unearned interest and deferred fees are recognized as an adjustment to the related loan yield using the effective interest rate method.</w:t>
      </w:r>
    </w:p>
    <w:p>
      <w:pPr>
        <w:spacing w:after="0" w:line="170"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Purchased loans are recorded at acquisition cost. The difference between the principal and the acquisition cost of loans, the premiums and discounts, is amortized over the life of the loan as an adjustment to the yield. All other costs related to acquisition of loans are expensed when incurred.</w:t>
      </w:r>
    </w:p>
    <w:p>
      <w:pPr>
        <w:spacing w:after="0" w:line="12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39" w:name="page140"/>
    <w:bookmarkEnd w:id="1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14"/>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3.5 Loans - at amortized cost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Definition of Default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considers a financial asset to be in default when it presents any of the following characteristics:</w:t>
      </w:r>
    </w:p>
    <w:p>
      <w:pPr>
        <w:spacing w:after="0" w:line="225" w:lineRule="exact"/>
        <w:rPr>
          <w:sz w:val="20"/>
          <w:szCs w:val="20"/>
          <w:color w:val="auto"/>
        </w:rPr>
      </w:pPr>
    </w:p>
    <w:p>
      <w:pPr>
        <w:ind w:left="1300" w:hanging="320"/>
        <w:spacing w:after="0" w:line="258" w:lineRule="auto"/>
        <w:tabs>
          <w:tab w:leader="none" w:pos="1300" w:val="left"/>
        </w:tabs>
        <w:numPr>
          <w:ilvl w:val="0"/>
          <w:numId w:val="115"/>
        </w:numPr>
        <w:rPr>
          <w:rFonts w:ascii="Arial" w:cs="Arial" w:eastAsia="Arial" w:hAnsi="Arial"/>
          <w:sz w:val="18"/>
          <w:szCs w:val="18"/>
          <w:color w:val="auto"/>
        </w:rPr>
      </w:pPr>
      <w:r>
        <w:rPr>
          <w:rFonts w:ascii="Arial" w:cs="Arial" w:eastAsia="Arial" w:hAnsi="Arial"/>
          <w:sz w:val="18"/>
          <w:szCs w:val="18"/>
          <w:color w:val="auto"/>
        </w:rPr>
        <w:t>The debtor is past due for more than 90 days in any of its obligations to the bank, either in the loan principal or interest; or when the principal balance with one single balloon payment was due for more than 30 days;</w:t>
      </w:r>
    </w:p>
    <w:p>
      <w:pPr>
        <w:spacing w:after="0" w:line="1" w:lineRule="exact"/>
        <w:rPr>
          <w:rFonts w:ascii="Arial" w:cs="Arial" w:eastAsia="Arial" w:hAnsi="Arial"/>
          <w:sz w:val="18"/>
          <w:szCs w:val="18"/>
          <w:color w:val="auto"/>
        </w:rPr>
      </w:pPr>
    </w:p>
    <w:p>
      <w:pPr>
        <w:ind w:left="1300" w:right="20" w:hanging="320"/>
        <w:spacing w:after="0" w:line="261" w:lineRule="auto"/>
        <w:tabs>
          <w:tab w:leader="none" w:pos="1300" w:val="left"/>
        </w:tabs>
        <w:numPr>
          <w:ilvl w:val="0"/>
          <w:numId w:val="115"/>
        </w:numPr>
        <w:rPr>
          <w:rFonts w:ascii="Arial" w:cs="Arial" w:eastAsia="Arial" w:hAnsi="Arial"/>
          <w:sz w:val="18"/>
          <w:szCs w:val="18"/>
          <w:color w:val="auto"/>
        </w:rPr>
      </w:pPr>
      <w:r>
        <w:rPr>
          <w:rFonts w:ascii="Arial" w:cs="Arial" w:eastAsia="Arial" w:hAnsi="Arial"/>
          <w:sz w:val="18"/>
          <w:szCs w:val="18"/>
          <w:color w:val="auto"/>
        </w:rPr>
        <w:t>Deterioration in the financial condition of the client, or the existence of other factors with the administration to estimate the possibility that the balance of principal and interest on customer loans is not fully recovered.</w:t>
      </w:r>
    </w:p>
    <w:p>
      <w:pPr>
        <w:spacing w:after="0" w:line="184"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above presumptions regarding past due loans may be rebuttable if the Bank has reasonable and supportable information that is available without undue cost or effort, that demonstrate that the credit risk has not increased significantly since initial recognition even though the contractual payments are more than 30 or 90 days past due.</w:t>
      </w:r>
    </w:p>
    <w:p>
      <w:pPr>
        <w:spacing w:after="0" w:line="18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In assessing whether a borrower is in default, the Bank considers indicators that are qualitative and quantitative based on data developed internally and obtained from external sources. Inputs into the assessment of whether a financial instrument is in default and their significance may vary over time to reflect changes in circumstances.</w:t>
      </w:r>
    </w:p>
    <w:p>
      <w:pPr>
        <w:spacing w:after="0" w:line="177"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Modified loan</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A modified or renegotiated loan is a loan whose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loan or reduction of accrued interest, among others.</w:t>
      </w:r>
    </w:p>
    <w:p>
      <w:pPr>
        <w:spacing w:after="0" w:line="18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When a financial asset is modified the Bank assesses whether this modification results in derecognition. In accordance with the Bank’s policy a modification results in derecognition when it gives rise to substantially different terms. To determine if the modified terms are substantially different from the original contractual terms the Bank considers the following:</w:t>
      </w:r>
    </w:p>
    <w:p>
      <w:pPr>
        <w:spacing w:after="0" w:line="181" w:lineRule="exact"/>
        <w:rPr>
          <w:sz w:val="20"/>
          <w:szCs w:val="20"/>
          <w:color w:val="auto"/>
        </w:rPr>
      </w:pPr>
    </w:p>
    <w:p>
      <w:pPr>
        <w:ind w:left="1300" w:hanging="320"/>
        <w:spacing w:after="0" w:line="291" w:lineRule="auto"/>
        <w:tabs>
          <w:tab w:leader="none" w:pos="1300" w:val="left"/>
        </w:tabs>
        <w:numPr>
          <w:ilvl w:val="0"/>
          <w:numId w:val="116"/>
        </w:numPr>
        <w:rPr>
          <w:rFonts w:ascii="Arial" w:cs="Arial" w:eastAsia="Arial" w:hAnsi="Arial"/>
          <w:sz w:val="16"/>
          <w:szCs w:val="16"/>
          <w:color w:val="auto"/>
        </w:rPr>
      </w:pPr>
      <w:r>
        <w:rPr>
          <w:rFonts w:ascii="Arial" w:cs="Arial" w:eastAsia="Arial" w:hAnsi="Arial"/>
          <w:sz w:val="16"/>
          <w:szCs w:val="16"/>
          <w:color w:val="auto"/>
        </w:rPr>
        <w:t>Qualitative factors, such as contractual cash flows after modification are no longer SPPI, change in currency or change of counterparty, the extent of change in interest rates, maturity, covenants. If these do not clearly indicate a substantial modification, then;</w:t>
      </w:r>
    </w:p>
    <w:p>
      <w:pPr>
        <w:ind w:left="1300" w:hanging="320"/>
        <w:spacing w:after="0" w:line="290" w:lineRule="auto"/>
        <w:tabs>
          <w:tab w:leader="none" w:pos="1300" w:val="left"/>
        </w:tabs>
        <w:numPr>
          <w:ilvl w:val="0"/>
          <w:numId w:val="116"/>
        </w:numPr>
        <w:rPr>
          <w:rFonts w:ascii="Arial" w:cs="Arial" w:eastAsia="Arial" w:hAnsi="Arial"/>
          <w:sz w:val="17"/>
          <w:szCs w:val="17"/>
          <w:color w:val="auto"/>
        </w:rPr>
      </w:pPr>
      <w:r>
        <w:rPr>
          <w:rFonts w:ascii="Arial" w:cs="Arial" w:eastAsia="Arial" w:hAnsi="Arial"/>
          <w:sz w:val="17"/>
          <w:szCs w:val="17"/>
          <w:color w:val="auto"/>
        </w:rPr>
        <w:t>A quantitative assessment is performed to compare the present value of the remaining contractual cash flows under the original terms with the contractual cash flows under the revised terms, both amounts discounted at the original effective interest.</w:t>
      </w:r>
    </w:p>
    <w:p>
      <w:pPr>
        <w:spacing w:after="0" w:line="16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If the difference in present value is greater than 10% the Bank deems the arrangement is substantially different leading to derecognition.</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In the case where the financial asset is derecognised the loss allowance for ECL is remeasured at the date of derecognition to determine the net carrying amount of the asset at that date. The difference between this revised carrying amount and the fair value of the new financial asset with the new terms will lead to a gain or loss on derecognition. The new financial asset will have a loss allowance measured based on 12-month ECL except in the rare occasions where the new loan is considered to be originated credit impaired. This applies only in the case where the fair value of the new loan is recognised at a significant discount to its revised par amount because there remains a high risk of default which has not been reduced by the modification. The Bank monitors credit risk of modified financial assets by evaluating qualitative and quantitative information, such as if the borrower is in past due status under the new terms.</w:t>
      </w:r>
    </w:p>
    <w:p>
      <w:pPr>
        <w:spacing w:after="0" w:line="1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40" w:name="page141"/>
    <w:bookmarkEnd w:id="1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17"/>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3.5 Loans - at amortized cost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Modified loan</w:t>
      </w:r>
      <w:r>
        <w:rPr>
          <w:rFonts w:ascii="Arial" w:cs="Arial" w:eastAsia="Arial" w:hAnsi="Arial"/>
          <w:sz w:val="18"/>
          <w:szCs w:val="18"/>
          <w:b w:val="1"/>
          <w:bCs w:val="1"/>
          <w:color w:val="auto"/>
        </w:rPr>
        <w:t xml:space="preserve"> (continued)</w:t>
      </w:r>
    </w:p>
    <w:p>
      <w:pPr>
        <w:spacing w:after="0" w:line="229"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When the contractual terms of a financial asset are modified and the modification does not result in derecognition, the Group determines if the financial asset’s credit risk has increased significantly since initial recognition by comparing:</w:t>
      </w:r>
    </w:p>
    <w:p>
      <w:pPr>
        <w:spacing w:after="0" w:line="170" w:lineRule="exact"/>
        <w:rPr>
          <w:sz w:val="20"/>
          <w:szCs w:val="20"/>
          <w:color w:val="auto"/>
        </w:rPr>
      </w:pPr>
    </w:p>
    <w:p>
      <w:pPr>
        <w:ind w:left="1300" w:hanging="320"/>
        <w:spacing w:after="0"/>
        <w:tabs>
          <w:tab w:leader="none" w:pos="130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The remaining lifetime PD estimated based on data at initial recognition and the original contractual terms; with</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The remaining lifetime PD at the reporting date based on the modified terms.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 the renegotiation or modification of the contractual cash flows of the loan, the Bank shall:</w:t>
      </w:r>
    </w:p>
    <w:p>
      <w:pPr>
        <w:spacing w:after="0" w:line="225" w:lineRule="exact"/>
        <w:rPr>
          <w:sz w:val="20"/>
          <w:szCs w:val="20"/>
          <w:color w:val="auto"/>
        </w:rPr>
      </w:pPr>
    </w:p>
    <w:p>
      <w:pPr>
        <w:ind w:left="1300" w:hanging="320"/>
        <w:spacing w:after="0"/>
        <w:tabs>
          <w:tab w:leader="none" w:pos="1300" w:val="left"/>
        </w:tabs>
        <w:numPr>
          <w:ilvl w:val="0"/>
          <w:numId w:val="119"/>
        </w:numPr>
        <w:rPr>
          <w:rFonts w:ascii="Arial" w:cs="Arial" w:eastAsia="Arial" w:hAnsi="Arial"/>
          <w:sz w:val="18"/>
          <w:szCs w:val="18"/>
          <w:color w:val="auto"/>
        </w:rPr>
      </w:pPr>
      <w:r>
        <w:rPr>
          <w:rFonts w:ascii="Arial" w:cs="Arial" w:eastAsia="Arial" w:hAnsi="Arial"/>
          <w:sz w:val="18"/>
          <w:szCs w:val="18"/>
          <w:color w:val="auto"/>
        </w:rPr>
        <w:t>Continue with its current accounting treatment for the existing loan that has been modified.</w:t>
      </w:r>
    </w:p>
    <w:p>
      <w:pPr>
        <w:spacing w:after="0" w:line="23" w:lineRule="exact"/>
        <w:rPr>
          <w:rFonts w:ascii="Arial" w:cs="Arial" w:eastAsia="Arial" w:hAnsi="Arial"/>
          <w:sz w:val="18"/>
          <w:szCs w:val="18"/>
          <w:color w:val="auto"/>
        </w:rPr>
      </w:pPr>
    </w:p>
    <w:p>
      <w:pPr>
        <w:ind w:left="1300" w:hanging="320"/>
        <w:spacing w:after="0" w:line="250" w:lineRule="auto"/>
        <w:tabs>
          <w:tab w:leader="none" w:pos="1300" w:val="left"/>
        </w:tabs>
        <w:numPr>
          <w:ilvl w:val="0"/>
          <w:numId w:val="119"/>
        </w:numPr>
        <w:rPr>
          <w:rFonts w:ascii="Arial" w:cs="Arial" w:eastAsia="Arial" w:hAnsi="Arial"/>
          <w:sz w:val="18"/>
          <w:szCs w:val="18"/>
          <w:color w:val="auto"/>
        </w:rPr>
      </w:pPr>
      <w:r>
        <w:rPr>
          <w:rFonts w:ascii="Arial" w:cs="Arial" w:eastAsia="Arial" w:hAnsi="Arial"/>
          <w:sz w:val="18"/>
          <w:szCs w:val="18"/>
          <w:color w:val="auto"/>
        </w:rPr>
        <w:t>Record a modification gain or loss by recalculating the gross carrying amount of the financial asset as the present value of the renegotiated or modified contractual cash flows, discounted at the loan’s original effective interest rate.</w:t>
      </w:r>
    </w:p>
    <w:p>
      <w:pPr>
        <w:jc w:val="both"/>
        <w:ind w:left="1300" w:hanging="320"/>
        <w:spacing w:after="0" w:line="281" w:lineRule="auto"/>
        <w:tabs>
          <w:tab w:leader="none" w:pos="1300" w:val="left"/>
        </w:tabs>
        <w:numPr>
          <w:ilvl w:val="0"/>
          <w:numId w:val="119"/>
        </w:numPr>
        <w:rPr>
          <w:rFonts w:ascii="Arial" w:cs="Arial" w:eastAsia="Arial" w:hAnsi="Arial"/>
          <w:sz w:val="16"/>
          <w:szCs w:val="16"/>
          <w:color w:val="auto"/>
        </w:rPr>
      </w:pPr>
      <w:r>
        <w:rPr>
          <w:rFonts w:ascii="Arial" w:cs="Arial" w:eastAsia="Arial" w:hAnsi="Arial"/>
          <w:sz w:val="16"/>
          <w:szCs w:val="16"/>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loan that is modified is not automatically considered to have a lower credit risk. The assessment should consider credit risk over the expected life of the asset based on the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A minimum period of observation will be necessary before a financial asset may qualify to return to a 12-month expected credit loss measurement.</w:t>
      </w:r>
    </w:p>
    <w:p>
      <w:pPr>
        <w:spacing w:after="0" w:line="4" w:lineRule="exact"/>
        <w:rPr>
          <w:rFonts w:ascii="Arial" w:cs="Arial" w:eastAsia="Arial" w:hAnsi="Arial"/>
          <w:sz w:val="16"/>
          <w:szCs w:val="16"/>
          <w:color w:val="auto"/>
        </w:rPr>
      </w:pPr>
    </w:p>
    <w:p>
      <w:pPr>
        <w:jc w:val="both"/>
        <w:ind w:left="1300" w:hanging="320"/>
        <w:spacing w:after="0" w:line="255" w:lineRule="auto"/>
        <w:tabs>
          <w:tab w:leader="none" w:pos="1300" w:val="left"/>
        </w:tabs>
        <w:numPr>
          <w:ilvl w:val="0"/>
          <w:numId w:val="119"/>
        </w:numPr>
        <w:rPr>
          <w:rFonts w:ascii="Arial" w:cs="Arial" w:eastAsia="Arial" w:hAnsi="Arial"/>
          <w:sz w:val="18"/>
          <w:szCs w:val="18"/>
          <w:color w:val="auto"/>
        </w:rPr>
      </w:pPr>
      <w:r>
        <w:rPr>
          <w:rFonts w:ascii="Arial" w:cs="Arial" w:eastAsia="Arial" w:hAnsi="Arial"/>
          <w:sz w:val="18"/>
          <w:szCs w:val="18"/>
          <w:color w:val="auto"/>
        </w:rPr>
        <w:t>Make the appropriate quantitative and qualitative disclosures required for renegotiated or modified assets to reflect the nature and effect of such modifications (including the effect on the measurement of expected credit losses) and how the Bank monitors these loans that have been modified.</w:t>
      </w:r>
    </w:p>
    <w:p>
      <w:pPr>
        <w:spacing w:after="0" w:line="19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recognizes a loss allowance for expected credit losses (ECL) on a loan that is measured at amortized cost at each reporting date at an amount equal to the lifetime expected credit losses if the credit risk on that loan has increased significantly since initial recognition. If at the reporting date, the credit risk of that loan has not increased significantly since initial recognition, an entity shall measure the loss allowance for that loan at an amount equal to 12-month expected credit losses.</w:t>
      </w:r>
    </w:p>
    <w:p>
      <w:pPr>
        <w:spacing w:after="0" w:line="187"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Bank's lending portfolio is comprised of the following segments: corporations, sovereign, middle-market companies and banking and financial institutions. The distinction between corporations and middle-market companies depends on the client’s level of annual sales in relation to the country risk, among other criteria. Except for the sovereign segment, segments are broken down into state-owned and private.</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Bank's lending policy is applicable to all types of loans.</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41" w:name="page142"/>
    <w:bookmarkEnd w:id="1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20"/>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3.6 Allowance for expected credit losses</w:t>
      </w:r>
    </w:p>
    <w:p>
      <w:pPr>
        <w:spacing w:after="0" w:line="229"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allowance for expected credit losses is provided for losses derived from the credit extension process, inherent in the loan portfolio and loan commitments and financial guarantee contracts, using the reserve methodology to determine expected credit losses. Additions to the allowance for expected credit losses are made by debiting earnings. Credit losses are deducted from the allowance, and subsequent recoveries are added. The allowance is also decreased by reversals of the allowance back to earnings. The allowance for expected credit losses for loans at amortized cost is reported as a deduction of loans and, as a liability, the allowance for expected credit losses on loan commitments and financial guarantee contracts, such as, letters of credit and guarantees.</w:t>
      </w:r>
    </w:p>
    <w:p>
      <w:pPr>
        <w:spacing w:after="0" w:line="19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borrower’s management and shareholders, among others.</w:t>
      </w:r>
    </w:p>
    <w:p>
      <w:pPr>
        <w:spacing w:after="0" w:line="18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maintains a system of internal credit quality indicators. The table below provides a mapping of the Bank’s internal credit risk grades to external ratings.</w:t>
      </w:r>
    </w:p>
    <w:p>
      <w:pPr>
        <w:ind w:left="920"/>
        <w:spacing w:after="0" w:line="233" w:lineRule="auto"/>
        <w:tabs>
          <w:tab w:leader="none" w:pos="2160" w:val="left"/>
        </w:tabs>
        <w:rPr>
          <w:sz w:val="20"/>
          <w:szCs w:val="20"/>
          <w:color w:val="auto"/>
        </w:rPr>
      </w:pPr>
      <w:r>
        <w:rPr>
          <w:rFonts w:ascii="Arial" w:cs="Arial" w:eastAsia="Arial" w:hAnsi="Arial"/>
          <w:sz w:val="18"/>
          <w:szCs w:val="18"/>
          <w:b w:val="1"/>
          <w:bCs w:val="1"/>
          <w:color w:val="auto"/>
        </w:rPr>
        <w:t>Internal</w:t>
      </w:r>
      <w:r>
        <w:rPr>
          <w:sz w:val="20"/>
          <w:szCs w:val="20"/>
          <w:color w:val="auto"/>
        </w:rPr>
        <w:tab/>
      </w:r>
      <w:r>
        <w:rPr>
          <w:rFonts w:ascii="Arial" w:cs="Arial" w:eastAsia="Arial" w:hAnsi="Arial"/>
          <w:sz w:val="36"/>
          <w:szCs w:val="36"/>
          <w:b w:val="1"/>
          <w:bCs w:val="1"/>
          <w:color w:val="auto"/>
          <w:vertAlign w:val="superscript"/>
        </w:rPr>
        <w:t>External</w:t>
      </w:r>
    </w:p>
    <w:p>
      <w:pPr>
        <w:ind w:left="980"/>
        <w:spacing w:after="0"/>
        <w:tabs>
          <w:tab w:leader="none" w:pos="2120" w:val="left"/>
          <w:tab w:leader="none" w:pos="6700" w:val="left"/>
        </w:tabs>
        <w:rPr>
          <w:sz w:val="20"/>
          <w:szCs w:val="20"/>
          <w:color w:val="auto"/>
        </w:rPr>
      </w:pPr>
      <w:r>
        <w:rPr>
          <w:rFonts w:ascii="Arial" w:cs="Arial" w:eastAsia="Arial" w:hAnsi="Arial"/>
          <w:sz w:val="18"/>
          <w:szCs w:val="18"/>
          <w:b w:val="1"/>
          <w:bCs w:val="1"/>
          <w:color w:val="auto"/>
        </w:rPr>
        <w:t>Rating</w:t>
      </w:r>
      <w:r>
        <w:rPr>
          <w:sz w:val="20"/>
          <w:szCs w:val="20"/>
          <w:color w:val="auto"/>
        </w:rPr>
        <w:tab/>
      </w:r>
      <w:r>
        <w:rPr>
          <w:rFonts w:ascii="Arial" w:cs="Arial" w:eastAsia="Arial" w:hAnsi="Arial"/>
          <w:sz w:val="18"/>
          <w:szCs w:val="18"/>
          <w:b w:val="1"/>
          <w:bCs w:val="1"/>
          <w:color w:val="auto"/>
        </w:rPr>
        <w:t xml:space="preserve">Rating </w:t>
      </w:r>
      <w:r>
        <w:rPr>
          <w:rFonts w:ascii="Arial" w:cs="Arial" w:eastAsia="Arial" w:hAnsi="Arial"/>
          <w:sz w:val="29"/>
          <w:szCs w:val="29"/>
          <w:b w:val="1"/>
          <w:bCs w:val="1"/>
          <w:color w:val="auto"/>
          <w:vertAlign w:val="superscript"/>
        </w:rPr>
        <w:t>(1)</w:t>
      </w:r>
      <w:r>
        <w:rPr>
          <w:sz w:val="20"/>
          <w:szCs w:val="20"/>
          <w:color w:val="auto"/>
        </w:rPr>
        <w:tab/>
      </w:r>
      <w:r>
        <w:rPr>
          <w:rFonts w:ascii="Arial" w:cs="Arial" w:eastAsia="Arial" w:hAnsi="Arial"/>
          <w:sz w:val="16"/>
          <w:szCs w:val="16"/>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2020570</wp:posOffset>
            </wp:positionH>
            <wp:positionV relativeFrom="paragraph">
              <wp:posOffset>635</wp:posOffset>
            </wp:positionV>
            <wp:extent cx="5059680" cy="889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4">
                      <a:extLst>
                        <a:ext uri="{28A0092B-C50C-407E-A947-70E740481C1C}"/>
                      </a:extLst>
                    </a:blip>
                    <a:srcRect/>
                    <a:stretch>
                      <a:fillRect/>
                    </a:stretch>
                  </pic:blipFill>
                  <pic:spPr bwMode="auto">
                    <a:xfrm>
                      <a:off x="0" y="0"/>
                      <a:ext cx="505968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p>
      <w:pPr>
        <w:spacing w:after="0" w:line="1" w:lineRule="exact"/>
        <w:rPr>
          <w:sz w:val="20"/>
          <w:szCs w:val="20"/>
          <w:color w:val="auto"/>
        </w:rPr>
      </w:pPr>
    </w:p>
    <w:tbl>
      <w:tblPr>
        <w:tblLayout w:type="fixed"/>
        <w:tblInd w:w="660" w:type="dxa"/>
        <w:tblCellMar>
          <w:top w:w="0" w:type="dxa"/>
          <w:left w:w="0" w:type="dxa"/>
          <w:bottom w:w="0" w:type="dxa"/>
          <w:right w:w="0" w:type="dxa"/>
        </w:tblCellMar>
      </w:tblPr>
      <w:tr>
        <w:trPr>
          <w:trHeight w:val="195"/>
        </w:trPr>
        <w:tc>
          <w:tcPr>
            <w:tcW w:w="1160" w:type="dxa"/>
            <w:vAlign w:val="bottom"/>
            <w:tcBorders>
              <w:top w:val="single" w:sz="8" w:color="auto"/>
            </w:tcBorders>
          </w:tcPr>
          <w:p>
            <w:pPr>
              <w:ind w:left="400"/>
              <w:spacing w:after="0" w:line="195" w:lineRule="exact"/>
              <w:rPr>
                <w:sz w:val="20"/>
                <w:szCs w:val="20"/>
                <w:color w:val="auto"/>
              </w:rPr>
            </w:pPr>
            <w:r>
              <w:rPr>
                <w:rFonts w:ascii="Arial" w:cs="Arial" w:eastAsia="Arial" w:hAnsi="Arial"/>
                <w:sz w:val="18"/>
                <w:szCs w:val="18"/>
                <w:color w:val="auto"/>
              </w:rPr>
              <w:t>1 a 4</w:t>
            </w:r>
          </w:p>
        </w:tc>
        <w:tc>
          <w:tcPr>
            <w:tcW w:w="100" w:type="dxa"/>
            <w:vAlign w:val="bottom"/>
          </w:tcPr>
          <w:p>
            <w:pPr>
              <w:spacing w:after="0"/>
              <w:rPr>
                <w:sz w:val="16"/>
                <w:szCs w:val="16"/>
                <w:color w:val="auto"/>
              </w:rPr>
            </w:pPr>
          </w:p>
        </w:tc>
        <w:tc>
          <w:tcPr>
            <w:tcW w:w="320" w:type="dxa"/>
            <w:vAlign w:val="bottom"/>
            <w:tcBorders>
              <w:top w:val="single" w:sz="8" w:color="auto"/>
            </w:tcBorders>
          </w:tcPr>
          <w:p>
            <w:pPr>
              <w:spacing w:after="0" w:line="195" w:lineRule="exact"/>
              <w:rPr>
                <w:sz w:val="20"/>
                <w:szCs w:val="20"/>
                <w:color w:val="auto"/>
              </w:rPr>
            </w:pPr>
            <w:r>
              <w:rPr>
                <w:rFonts w:ascii="Arial" w:cs="Arial" w:eastAsia="Arial" w:hAnsi="Arial"/>
                <w:sz w:val="18"/>
                <w:szCs w:val="18"/>
                <w:color w:val="auto"/>
                <w:w w:val="93"/>
              </w:rPr>
              <w:t>Aaa</w:t>
            </w:r>
          </w:p>
        </w:tc>
        <w:tc>
          <w:tcPr>
            <w:tcW w:w="840" w:type="dxa"/>
            <w:vAlign w:val="bottom"/>
            <w:tcBorders>
              <w:top w:val="single" w:sz="8" w:color="auto"/>
            </w:tcBorders>
          </w:tcPr>
          <w:p>
            <w:pPr>
              <w:ind w:left="20"/>
              <w:spacing w:after="0" w:line="195" w:lineRule="exact"/>
              <w:rPr>
                <w:sz w:val="20"/>
                <w:szCs w:val="20"/>
                <w:color w:val="auto"/>
              </w:rPr>
            </w:pPr>
            <w:r>
              <w:rPr>
                <w:rFonts w:ascii="Arial" w:cs="Arial" w:eastAsia="Arial" w:hAnsi="Arial"/>
                <w:sz w:val="18"/>
                <w:szCs w:val="18"/>
                <w:color w:val="auto"/>
              </w:rPr>
              <w:t>– Ba1</w:t>
            </w:r>
          </w:p>
        </w:tc>
      </w:tr>
      <w:tr>
        <w:trPr>
          <w:trHeight w:val="230"/>
        </w:trPr>
        <w:tc>
          <w:tcPr>
            <w:tcW w:w="1260" w:type="dxa"/>
            <w:vAlign w:val="bottom"/>
            <w:gridSpan w:val="2"/>
          </w:tcPr>
          <w:p>
            <w:pPr>
              <w:ind w:left="400"/>
              <w:spacing w:after="0"/>
              <w:rPr>
                <w:sz w:val="20"/>
                <w:szCs w:val="20"/>
                <w:color w:val="auto"/>
              </w:rPr>
            </w:pPr>
            <w:r>
              <w:rPr>
                <w:rFonts w:ascii="Arial" w:cs="Arial" w:eastAsia="Arial" w:hAnsi="Arial"/>
                <w:sz w:val="18"/>
                <w:szCs w:val="18"/>
                <w:color w:val="auto"/>
              </w:rPr>
              <w:t>5 a 6</w:t>
            </w:r>
          </w:p>
        </w:tc>
        <w:tc>
          <w:tcPr>
            <w:tcW w:w="320" w:type="dxa"/>
            <w:vAlign w:val="bottom"/>
          </w:tcPr>
          <w:p>
            <w:pPr>
              <w:spacing w:after="0"/>
              <w:rPr>
                <w:sz w:val="20"/>
                <w:szCs w:val="20"/>
                <w:color w:val="auto"/>
              </w:rPr>
            </w:pPr>
            <w:r>
              <w:rPr>
                <w:rFonts w:ascii="Arial" w:cs="Arial" w:eastAsia="Arial" w:hAnsi="Arial"/>
                <w:sz w:val="18"/>
                <w:szCs w:val="18"/>
                <w:color w:val="auto"/>
                <w:w w:val="93"/>
              </w:rPr>
              <w:t>Ba2</w:t>
            </w:r>
          </w:p>
        </w:tc>
        <w:tc>
          <w:tcPr>
            <w:tcW w:w="840" w:type="dxa"/>
            <w:vAlign w:val="bottom"/>
          </w:tcPr>
          <w:p>
            <w:pPr>
              <w:ind w:left="20"/>
              <w:spacing w:after="0"/>
              <w:rPr>
                <w:sz w:val="20"/>
                <w:szCs w:val="20"/>
                <w:color w:val="auto"/>
              </w:rPr>
            </w:pPr>
            <w:r>
              <w:rPr>
                <w:rFonts w:ascii="Arial" w:cs="Arial" w:eastAsia="Arial" w:hAnsi="Arial"/>
                <w:sz w:val="18"/>
                <w:szCs w:val="18"/>
                <w:color w:val="auto"/>
              </w:rPr>
              <w:t>– B3</w:t>
            </w:r>
          </w:p>
        </w:tc>
      </w:tr>
    </w:tbl>
    <w:p>
      <w:pPr>
        <w:spacing w:after="0" w:line="94" w:lineRule="exact"/>
        <w:rPr>
          <w:sz w:val="20"/>
          <w:szCs w:val="20"/>
          <w:color w:val="auto"/>
        </w:rPr>
      </w:pPr>
    </w:p>
    <w:p>
      <w:pPr>
        <w:ind w:left="1920" w:hanging="728"/>
        <w:spacing w:after="0"/>
        <w:tabs>
          <w:tab w:leader="none" w:pos="1920" w:val="left"/>
        </w:tabs>
        <w:numPr>
          <w:ilvl w:val="0"/>
          <w:numId w:val="121"/>
        </w:numPr>
        <w:rPr>
          <w:rFonts w:ascii="Arial" w:cs="Arial" w:eastAsia="Arial" w:hAnsi="Arial"/>
          <w:sz w:val="18"/>
          <w:szCs w:val="18"/>
          <w:color w:val="auto"/>
        </w:rPr>
      </w:pPr>
      <w:r>
        <w:rPr>
          <w:rFonts w:ascii="Arial" w:cs="Arial" w:eastAsia="Arial" w:hAnsi="Arial"/>
          <w:sz w:val="18"/>
          <w:szCs w:val="18"/>
          <w:color w:val="auto"/>
        </w:rPr>
        <w:t>Caa1</w:t>
      </w:r>
    </w:p>
    <w:p>
      <w:pPr>
        <w:spacing w:after="0" w:line="333" w:lineRule="exact"/>
        <w:rPr>
          <w:sz w:val="20"/>
          <w:szCs w:val="20"/>
          <w:color w:val="auto"/>
        </w:rPr>
      </w:pPr>
    </w:p>
    <w:p>
      <w:pPr>
        <w:ind w:left="1920" w:hanging="728"/>
        <w:spacing w:after="0"/>
        <w:tabs>
          <w:tab w:leader="none" w:pos="1920" w:val="left"/>
        </w:tabs>
        <w:numPr>
          <w:ilvl w:val="0"/>
          <w:numId w:val="122"/>
        </w:numPr>
        <w:rPr>
          <w:rFonts w:ascii="Arial" w:cs="Arial" w:eastAsia="Arial" w:hAnsi="Arial"/>
          <w:sz w:val="18"/>
          <w:szCs w:val="18"/>
          <w:color w:val="auto"/>
        </w:rPr>
      </w:pPr>
      <w:r>
        <w:rPr>
          <w:rFonts w:ascii="Arial" w:cs="Arial" w:eastAsia="Arial" w:hAnsi="Arial"/>
          <w:sz w:val="18"/>
          <w:szCs w:val="18"/>
          <w:color w:val="auto"/>
        </w:rPr>
        <w:t>Caa2 – Caa3</w:t>
      </w:r>
    </w:p>
    <w:p>
      <w:pPr>
        <w:spacing w:after="0" w:line="200" w:lineRule="exact"/>
        <w:rPr>
          <w:sz w:val="20"/>
          <w:szCs w:val="20"/>
          <w:color w:val="auto"/>
        </w:rPr>
      </w:pPr>
    </w:p>
    <w:p>
      <w:pPr>
        <w:spacing w:after="0" w:line="241" w:lineRule="exact"/>
        <w:rPr>
          <w:sz w:val="20"/>
          <w:szCs w:val="20"/>
          <w:color w:val="auto"/>
        </w:rPr>
      </w:pPr>
    </w:p>
    <w:p>
      <w:pPr>
        <w:ind w:left="1920" w:hanging="728"/>
        <w:spacing w:after="0"/>
        <w:tabs>
          <w:tab w:leader="none" w:pos="1920" w:val="left"/>
        </w:tabs>
        <w:numPr>
          <w:ilvl w:val="0"/>
          <w:numId w:val="123"/>
        </w:numPr>
        <w:rPr>
          <w:rFonts w:ascii="Arial" w:cs="Arial" w:eastAsia="Arial" w:hAnsi="Arial"/>
          <w:sz w:val="18"/>
          <w:szCs w:val="18"/>
          <w:color w:val="auto"/>
        </w:rPr>
      </w:pPr>
      <w:r>
        <w:rPr>
          <w:rFonts w:ascii="Arial" w:cs="Arial" w:eastAsia="Arial" w:hAnsi="Arial"/>
          <w:sz w:val="18"/>
          <w:szCs w:val="18"/>
          <w:color w:val="auto"/>
        </w:rPr>
        <w:t>Ca</w:t>
      </w:r>
    </w:p>
    <w:p>
      <w:pPr>
        <w:spacing w:after="0" w:line="200" w:lineRule="exact"/>
        <w:rPr>
          <w:rFonts w:ascii="Arial" w:cs="Arial" w:eastAsia="Arial" w:hAnsi="Arial"/>
          <w:sz w:val="18"/>
          <w:szCs w:val="18"/>
          <w:color w:val="auto"/>
        </w:rPr>
      </w:pPr>
    </w:p>
    <w:p>
      <w:pPr>
        <w:spacing w:after="0" w:line="241" w:lineRule="exact"/>
        <w:rPr>
          <w:rFonts w:ascii="Arial" w:cs="Arial" w:eastAsia="Arial" w:hAnsi="Arial"/>
          <w:sz w:val="18"/>
          <w:szCs w:val="18"/>
          <w:color w:val="auto"/>
        </w:rPr>
      </w:pPr>
    </w:p>
    <w:p>
      <w:pPr>
        <w:ind w:left="1140"/>
        <w:spacing w:after="0"/>
        <w:rPr>
          <w:rFonts w:ascii="Arial" w:cs="Arial" w:eastAsia="Arial" w:hAnsi="Arial"/>
          <w:sz w:val="18"/>
          <w:szCs w:val="18"/>
          <w:color w:val="auto"/>
        </w:rPr>
      </w:pPr>
      <w:r>
        <w:rPr>
          <w:rFonts w:ascii="Arial" w:cs="Arial" w:eastAsia="Arial" w:hAnsi="Arial"/>
          <w:sz w:val="18"/>
          <w:szCs w:val="18"/>
          <w:color w:val="auto"/>
        </w:rPr>
        <w:t>10</w:t>
      </w:r>
      <w:r>
        <w:rPr>
          <w:rFonts w:ascii="Arial" w:cs="Arial" w:eastAsia="Arial" w:hAnsi="Arial"/>
          <w:sz w:val="16"/>
          <w:szCs w:val="16"/>
          <w:color w:val="auto"/>
        </w:rPr>
        <w:t>C</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8"/>
          <w:szCs w:val="18"/>
          <w:color w:val="auto"/>
        </w:rPr>
        <w:t>Clients with payment ability to satisfy their financial commitments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Clients with payment ability to satisfy their financial commitments, but with more frequent reviews.</w:t>
      </w:r>
    </w:p>
    <w:p>
      <w:pPr>
        <w:spacing w:after="0" w:line="9" w:lineRule="exact"/>
        <w:rPr>
          <w:sz w:val="20"/>
          <w:szCs w:val="20"/>
          <w:color w:val="auto"/>
        </w:rPr>
      </w:pPr>
    </w:p>
    <w:p>
      <w:pPr>
        <w:ind w:right="280"/>
        <w:spacing w:after="0" w:line="250" w:lineRule="auto"/>
        <w:rPr>
          <w:sz w:val="20"/>
          <w:szCs w:val="20"/>
          <w:color w:val="auto"/>
        </w:rPr>
      </w:pPr>
      <w:r>
        <w:rPr>
          <w:rFonts w:ascii="Arial" w:cs="Arial" w:eastAsia="Arial" w:hAnsi="Arial"/>
          <w:sz w:val="18"/>
          <w:szCs w:val="18"/>
          <w:color w:val="auto"/>
        </w:rPr>
        <w:t>Clients exposed to systemic risks specific to the country or the industry in which they are located, facing adverse situations in their operation or financial condition. At this level, access to new funding is uncertain. Clients whose primary source of payment (operating cash flow) is inadequate, and who show evidence of deterioration in their working capital that does not allow them to satisfy payments on the agreed terms, endangering recovery of unpaid balances.</w:t>
      </w:r>
    </w:p>
    <w:p>
      <w:pPr>
        <w:spacing w:after="0" w:line="2" w:lineRule="exact"/>
        <w:rPr>
          <w:sz w:val="20"/>
          <w:szCs w:val="20"/>
          <w:color w:val="auto"/>
        </w:rPr>
      </w:pPr>
    </w:p>
    <w:p>
      <w:pPr>
        <w:jc w:val="both"/>
        <w:ind w:right="280"/>
        <w:spacing w:after="0" w:line="250" w:lineRule="auto"/>
        <w:rPr>
          <w:sz w:val="20"/>
          <w:szCs w:val="20"/>
          <w:color w:val="auto"/>
        </w:rPr>
      </w:pPr>
      <w:r>
        <w:rPr>
          <w:rFonts w:ascii="Arial" w:cs="Arial" w:eastAsia="Arial" w:hAnsi="Arial"/>
          <w:sz w:val="18"/>
          <w:szCs w:val="18"/>
          <w:color w:val="auto"/>
        </w:rPr>
        <w:t>Clients whose operating cash flow continuously shows insufficiency to service the debt on the originally agreed terms. Due to the fact that the borrower presents an impaired financial and economic situation, the likelihood of recovery is low.</w:t>
      </w:r>
    </w:p>
    <w:p>
      <w:pPr>
        <w:spacing w:after="0" w:line="1" w:lineRule="exact"/>
        <w:rPr>
          <w:sz w:val="20"/>
          <w:szCs w:val="20"/>
          <w:color w:val="auto"/>
        </w:rPr>
      </w:pPr>
    </w:p>
    <w:p>
      <w:pPr>
        <w:jc w:val="both"/>
        <w:ind w:right="280"/>
        <w:spacing w:after="0" w:line="255" w:lineRule="auto"/>
        <w:rPr>
          <w:sz w:val="20"/>
          <w:szCs w:val="20"/>
          <w:color w:val="auto"/>
        </w:rPr>
      </w:pPr>
      <w:r>
        <w:rPr>
          <w:rFonts w:ascii="Arial" w:cs="Arial" w:eastAsia="Arial" w:hAnsi="Arial"/>
          <w:sz w:val="18"/>
          <w:szCs w:val="18"/>
          <w:color w:val="auto"/>
        </w:rPr>
        <w:t>Clients with operating cash flow that does not cover their costs, are in suspension of payments, presumably will also have difficulties fulfilling possible restructuring agreements, are in a state of insolvency, or have filed for bankruptcy, among others.</w:t>
      </w:r>
    </w:p>
    <w:p>
      <w:pPr>
        <w:spacing w:after="0" w:line="76" w:lineRule="exact"/>
        <w:rPr>
          <w:sz w:val="20"/>
          <w:szCs w:val="20"/>
          <w:color w:val="auto"/>
        </w:rPr>
      </w:pPr>
    </w:p>
    <w:p>
      <w:pPr>
        <w:sectPr>
          <w:pgSz w:w="11900" w:h="16838" w:orient="portrait"/>
          <w:cols w:equalWidth="0" w:num="2">
            <w:col w:w="3080" w:space="100"/>
            <w:col w:w="8240"/>
          </w:cols>
          <w:pgMar w:left="240" w:top="688" w:right="239" w:bottom="1440" w:gutter="0" w:footer="0" w:header="0"/>
          <w:type w:val="continuous"/>
        </w:sectPr>
      </w:pPr>
    </w:p>
    <w:p>
      <w:pPr>
        <w:ind w:left="660" w:hanging="328"/>
        <w:spacing w:after="0"/>
        <w:tabs>
          <w:tab w:leader="none" w:pos="660" w:val="left"/>
        </w:tabs>
        <w:numPr>
          <w:ilvl w:val="0"/>
          <w:numId w:val="124"/>
        </w:numPr>
        <w:rPr>
          <w:rFonts w:ascii="Arial" w:cs="Arial" w:eastAsia="Arial" w:hAnsi="Arial"/>
          <w:sz w:val="30"/>
          <w:szCs w:val="30"/>
          <w:color w:val="auto"/>
          <w:vertAlign w:val="superscript"/>
        </w:rPr>
      </w:pPr>
      <w:r>
        <w:rPr>
          <w:rFonts w:ascii="Arial" w:cs="Arial" w:eastAsia="Arial" w:hAnsi="Arial"/>
          <w:sz w:val="18"/>
          <w:szCs w:val="18"/>
          <w:color w:val="auto"/>
        </w:rPr>
        <w:t>External rating in accordance to Moody’s</w:t>
      </w:r>
    </w:p>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In order to maintain periodical monitoring of the quality of the portfolio, clients are reviewed within a frequency of time between 3 and 12 months, depending on the risk rating.</w:t>
      </w:r>
    </w:p>
    <w:p>
      <w:pPr>
        <w:spacing w:after="0" w:line="170"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measures expected credit losses (ECLs) in a way that reflects: a) an unbiased and probability-weighted amount that is determined by evaluating a range of possible outcomes; b) the time value of money; and c) reasonable and supportable information that is available without undue cost or effort at the reporting date about past events, current conditions and forecast of future economic conditions.</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type w:val="continuous"/>
        </w:sectPr>
      </w:pPr>
    </w:p>
    <w:bookmarkStart w:id="142" w:name="page143"/>
    <w:bookmarkEnd w:id="1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25"/>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3.6 Allowance for expected credit losses (continued)</w:t>
      </w:r>
    </w:p>
    <w:p>
      <w:pPr>
        <w:spacing w:after="0" w:line="229" w:lineRule="exact"/>
        <w:rPr>
          <w:sz w:val="20"/>
          <w:szCs w:val="20"/>
          <w:color w:val="auto"/>
        </w:rPr>
      </w:pPr>
    </w:p>
    <w:p>
      <w:pPr>
        <w:ind w:left="340" w:right="20"/>
        <w:spacing w:after="0" w:line="342" w:lineRule="auto"/>
        <w:rPr>
          <w:sz w:val="20"/>
          <w:szCs w:val="20"/>
          <w:color w:val="auto"/>
        </w:rPr>
      </w:pPr>
      <w:r>
        <w:rPr>
          <w:rFonts w:ascii="Arial" w:cs="Arial" w:eastAsia="Arial" w:hAnsi="Arial"/>
          <w:sz w:val="16"/>
          <w:szCs w:val="16"/>
          <w:color w:val="auto"/>
        </w:rPr>
        <w:t>The expected credit loss model reflects the general pattern of deterioration or improvement in the credit quality of the loans. The amount of ECLs recognized as a loss allowance or provision depends on the extent of credit deterioration since initial recognition. There are two measurement bases:</w:t>
      </w:r>
    </w:p>
    <w:p>
      <w:pPr>
        <w:spacing w:after="0" w:line="124" w:lineRule="exact"/>
        <w:rPr>
          <w:sz w:val="20"/>
          <w:szCs w:val="20"/>
          <w:color w:val="auto"/>
        </w:rPr>
      </w:pPr>
    </w:p>
    <w:p>
      <w:pPr>
        <w:ind w:left="1300" w:right="20" w:hanging="320"/>
        <w:spacing w:after="0" w:line="277" w:lineRule="auto"/>
        <w:tabs>
          <w:tab w:leader="none" w:pos="1300" w:val="left"/>
        </w:tabs>
        <w:numPr>
          <w:ilvl w:val="0"/>
          <w:numId w:val="126"/>
        </w:numPr>
        <w:rPr>
          <w:rFonts w:ascii="Arial" w:cs="Arial" w:eastAsia="Arial" w:hAnsi="Arial"/>
          <w:sz w:val="18"/>
          <w:szCs w:val="18"/>
          <w:color w:val="auto"/>
        </w:rPr>
      </w:pPr>
      <w:r>
        <w:rPr>
          <w:rFonts w:ascii="Arial" w:cs="Arial" w:eastAsia="Arial" w:hAnsi="Arial"/>
          <w:sz w:val="18"/>
          <w:szCs w:val="18"/>
          <w:color w:val="auto"/>
        </w:rPr>
        <w:t>12-month ECLs (Stage 1), which applies to all loans (from initial recognition) as long as there is no significant deterioration in credit quality,</w:t>
      </w:r>
    </w:p>
    <w:p>
      <w:pPr>
        <w:spacing w:after="0" w:line="170" w:lineRule="exact"/>
        <w:rPr>
          <w:rFonts w:ascii="Arial" w:cs="Arial" w:eastAsia="Arial" w:hAnsi="Arial"/>
          <w:sz w:val="18"/>
          <w:szCs w:val="18"/>
          <w:color w:val="auto"/>
        </w:rPr>
      </w:pPr>
    </w:p>
    <w:p>
      <w:pPr>
        <w:jc w:val="both"/>
        <w:ind w:left="1300" w:hanging="320"/>
        <w:spacing w:after="0" w:line="291" w:lineRule="auto"/>
        <w:tabs>
          <w:tab w:leader="none" w:pos="1300" w:val="left"/>
        </w:tabs>
        <w:numPr>
          <w:ilvl w:val="0"/>
          <w:numId w:val="126"/>
        </w:numPr>
        <w:rPr>
          <w:rFonts w:ascii="Arial" w:cs="Arial" w:eastAsia="Arial" w:hAnsi="Arial"/>
          <w:sz w:val="16"/>
          <w:szCs w:val="16"/>
          <w:color w:val="auto"/>
        </w:rPr>
      </w:pPr>
      <w:r>
        <w:rPr>
          <w:rFonts w:ascii="Arial" w:cs="Arial" w:eastAsia="Arial" w:hAnsi="Arial"/>
          <w:sz w:val="16"/>
          <w:szCs w:val="16"/>
          <w:color w:val="auto"/>
        </w:rPr>
        <w:t>Lifetime ECLs (Stages 2 and 3), which applies when a significant increase in credit risk has occurred on an individual or collective basis. In Stages 2 and 3 interest revenue is recognized. Under Stage 2 (as under Stage 1), there is a full decoupling between interest recognition and impairment and interest revenue is calculated on the gross carrying amount. Under Stage 3, when a loan subsequently becomes credit impaired (when a credit event has occurred), interest revenue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Bank will once again calculate the interest revenue on a gross basis.</w:t>
      </w:r>
    </w:p>
    <w:p>
      <w:pPr>
        <w:spacing w:after="0" w:line="167"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(collective assessment basis), covers the Bank’s performing credit portfolio and it is established based in a process that estimates the probable loss inherent in the portfolio, based on statistical analysis and management’s qualitative judgment. This analysis considers comprehensive information that incorporates not only past-due data, but other relevant credit information, such as forward looking macro-economic information.</w:t>
      </w:r>
    </w:p>
    <w:p>
      <w:pPr>
        <w:spacing w:after="0" w:line="165"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ECLs are a probability-weighted estimate of the present value of credit losses. These are measured as the present value of the difference between the cash flows due to the Group under the contract and the cash flows that the Bank expects to receive arising from the weighting of multiple future economic scenarios, discounted at the asset’s effective interest rate (EIR). For undrawn loan commitments, the ECL is the difference between the present value of the difference between the contractual cash flows that are due to the Bank if the holder of the commitment draws down the loan and the cash flows that the Bank expects to receive if the loan is drawn down; and for financial guarantee contracts, the ECL is the difference between the expected payments to reimburse the holder of the guaranteed debt instrument less any amounts that the Bank expects to receive from the holder, the debtor or any other party.</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The Bank determines the ECLs using two methodologies to determine if there is objective evidence of impairment:</w:t>
      </w:r>
    </w:p>
    <w:p>
      <w:pPr>
        <w:spacing w:after="0" w:line="225" w:lineRule="exact"/>
        <w:rPr>
          <w:sz w:val="20"/>
          <w:szCs w:val="20"/>
          <w:color w:val="auto"/>
        </w:rPr>
      </w:pPr>
    </w:p>
    <w:p>
      <w:pPr>
        <w:ind w:left="1080" w:hanging="100"/>
        <w:spacing w:after="0"/>
        <w:tabs>
          <w:tab w:leader="none" w:pos="1080" w:val="left"/>
        </w:tabs>
        <w:numPr>
          <w:ilvl w:val="0"/>
          <w:numId w:val="127"/>
        </w:numPr>
        <w:rPr>
          <w:rFonts w:ascii="Arial" w:cs="Arial" w:eastAsia="Arial" w:hAnsi="Arial"/>
          <w:sz w:val="18"/>
          <w:szCs w:val="18"/>
          <w:color w:val="222222"/>
        </w:rPr>
      </w:pPr>
      <w:r>
        <w:rPr>
          <w:rFonts w:ascii="Arial" w:cs="Arial" w:eastAsia="Arial" w:hAnsi="Arial"/>
          <w:sz w:val="18"/>
          <w:szCs w:val="18"/>
          <w:u w:val="single" w:color="auto"/>
          <w:color w:val="222222"/>
        </w:rPr>
        <w:t>Individually Evaluated Loans</w:t>
      </w:r>
    </w:p>
    <w:p>
      <w:pPr>
        <w:spacing w:after="0" w:line="225" w:lineRule="exact"/>
        <w:rPr>
          <w:sz w:val="20"/>
          <w:szCs w:val="20"/>
          <w:color w:val="auto"/>
        </w:rPr>
      </w:pPr>
    </w:p>
    <w:p>
      <w:pPr>
        <w:jc w:val="both"/>
        <w:ind w:left="980"/>
        <w:spacing w:after="0" w:line="259" w:lineRule="auto"/>
        <w:rPr>
          <w:sz w:val="20"/>
          <w:szCs w:val="20"/>
          <w:color w:val="auto"/>
        </w:rPr>
      </w:pPr>
      <w:r>
        <w:rPr>
          <w:rFonts w:ascii="Arial" w:cs="Arial" w:eastAsia="Arial" w:hAnsi="Arial"/>
          <w:sz w:val="18"/>
          <w:szCs w:val="18"/>
          <w:color w:val="222222"/>
        </w:rPr>
        <w:t>The expected credit losses on individually assessed loans are determined by an evaluation of the exposures on a case-by-case basis. This procedure is applied to all loans that are individually significant or not. If it is determined that there is no objective evidence of impairment for an individual loan, it is included in a group of loans with similar characteristics and is evaluated collectively to determine whether there is impairment.</w:t>
      </w:r>
    </w:p>
    <w:p>
      <w:pPr>
        <w:spacing w:after="0" w:line="187" w:lineRule="exact"/>
        <w:rPr>
          <w:sz w:val="20"/>
          <w:szCs w:val="20"/>
          <w:color w:val="auto"/>
        </w:rPr>
      </w:pPr>
    </w:p>
    <w:p>
      <w:pPr>
        <w:jc w:val="both"/>
        <w:ind w:left="980"/>
        <w:spacing w:after="0" w:line="264" w:lineRule="auto"/>
        <w:rPr>
          <w:sz w:val="20"/>
          <w:szCs w:val="20"/>
          <w:color w:val="auto"/>
        </w:rPr>
      </w:pPr>
      <w:r>
        <w:rPr>
          <w:rFonts w:ascii="Arial" w:cs="Arial" w:eastAsia="Arial" w:hAnsi="Arial"/>
          <w:sz w:val="18"/>
          <w:szCs w:val="18"/>
          <w:color w:val="222222"/>
        </w:rPr>
        <w:t>The impairment loss is calculated by comparing the present value of the future expected flows, discounted at the original effective rate of the loan, with its current carrying amount and the amount of any loss is charged as a provision for losses in the consolidated statement of profit or loss. The carrying amount of the impaired loans is reduced through the use of a reserve account.</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43" w:name="page144"/>
    <w:bookmarkEnd w:id="1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28"/>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3.6 Allowance for expected credit losses (continued)</w:t>
      </w:r>
    </w:p>
    <w:p>
      <w:pPr>
        <w:spacing w:after="0" w:line="229" w:lineRule="exact"/>
        <w:rPr>
          <w:sz w:val="20"/>
          <w:szCs w:val="20"/>
          <w:color w:val="auto"/>
        </w:rPr>
      </w:pPr>
    </w:p>
    <w:p>
      <w:pPr>
        <w:ind w:left="760" w:hanging="104"/>
        <w:spacing w:after="0"/>
        <w:tabs>
          <w:tab w:leader="none" w:pos="760" w:val="left"/>
        </w:tabs>
        <w:numPr>
          <w:ilvl w:val="0"/>
          <w:numId w:val="129"/>
        </w:numPr>
        <w:rPr>
          <w:rFonts w:ascii="Arial" w:cs="Arial" w:eastAsia="Arial" w:hAnsi="Arial"/>
          <w:sz w:val="18"/>
          <w:szCs w:val="18"/>
          <w:color w:val="222222"/>
        </w:rPr>
      </w:pPr>
      <w:r>
        <w:rPr>
          <w:rFonts w:ascii="Arial" w:cs="Arial" w:eastAsia="Arial" w:hAnsi="Arial"/>
          <w:sz w:val="18"/>
          <w:szCs w:val="18"/>
          <w:u w:val="single" w:color="auto"/>
          <w:color w:val="222222"/>
        </w:rPr>
        <w:t>Collectively Evaluated Loans</w:t>
      </w:r>
    </w:p>
    <w:p>
      <w:pPr>
        <w:spacing w:after="0" w:line="225" w:lineRule="exact"/>
        <w:rPr>
          <w:sz w:val="20"/>
          <w:szCs w:val="20"/>
          <w:color w:val="auto"/>
        </w:rPr>
      </w:pPr>
    </w:p>
    <w:p>
      <w:pPr>
        <w:jc w:val="both"/>
        <w:ind w:left="980"/>
        <w:spacing w:after="0" w:line="264" w:lineRule="auto"/>
        <w:rPr>
          <w:sz w:val="20"/>
          <w:szCs w:val="20"/>
          <w:color w:val="auto"/>
        </w:rPr>
      </w:pPr>
      <w:r>
        <w:rPr>
          <w:rFonts w:ascii="Arial" w:cs="Arial" w:eastAsia="Arial" w:hAnsi="Arial"/>
          <w:sz w:val="18"/>
          <w:szCs w:val="18"/>
          <w:color w:val="222222"/>
        </w:rPr>
        <w:t>For the purposes of a collective assessment of impairment, loans are grouped according to similar characteristics of credit risk. These characteristics are relevant for the estimation of future cash flows for the groups of such assets, being indicative of the debtors' ability to pay the amounts owed according to the contractual terms of the assets that are evaluated.</w:t>
      </w:r>
    </w:p>
    <w:p>
      <w:pPr>
        <w:spacing w:after="0" w:line="181" w:lineRule="exact"/>
        <w:rPr>
          <w:sz w:val="20"/>
          <w:szCs w:val="20"/>
          <w:color w:val="auto"/>
        </w:rPr>
      </w:pPr>
    </w:p>
    <w:p>
      <w:pPr>
        <w:jc w:val="both"/>
        <w:ind w:left="980"/>
        <w:spacing w:after="0" w:line="259" w:lineRule="auto"/>
        <w:rPr>
          <w:sz w:val="20"/>
          <w:szCs w:val="20"/>
          <w:color w:val="auto"/>
        </w:rPr>
      </w:pPr>
      <w:r>
        <w:rPr>
          <w:rFonts w:ascii="Arial" w:cs="Arial" w:eastAsia="Arial" w:hAnsi="Arial"/>
          <w:sz w:val="18"/>
          <w:szCs w:val="18"/>
          <w:color w:val="222222"/>
        </w:rPr>
        <w:t>Future cash flows in a group of loans that are evaluated collectively to determine whether there is impairment are estimated according to the contractual cash flows of the assets in the group, the historical loss experience for assets with risk characteristics. Similar credit to the group and in experienced management views on whether the current economy and credit conditions can change the real level of historical inherent losses suggested.</w:t>
      </w:r>
    </w:p>
    <w:p>
      <w:pPr>
        <w:spacing w:after="0" w:line="183"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Significant increase in credit risk</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When assessing whether the credit risk on a loan has increased significantly, the Bank considers the change in the risk of default occurring since initial recognition. For a loan to be considered in “default”, management considers criteria used in the internal credit risk model and qualitative factors, such as financial covenants, when appropriate.</w:t>
      </w:r>
    </w:p>
    <w:p>
      <w:pPr>
        <w:spacing w:after="0" w:line="181"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222222"/>
        </w:rPr>
        <w:t>Additionally, the Bank to determine that there has been a significant increase in risk applies an alert model that considers the international economic environment, the specific financial situation by country and the economic analysis of the industry where the credit generates its income. The model defines a consolidated calculation of Risk Severity depending on the weighting of the Severity to Risk of each one of the analysis contexts. Also, this depends on the context of the variables or the ratings constructed for each one (International Context: by market ratings, Context Country: by country / Context Economic Sector: by economic sector).</w:t>
      </w:r>
    </w:p>
    <w:p>
      <w:pPr>
        <w:spacing w:after="0" w:line="188"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At each reporting date, the Bank assesses significant increases in credit risk based on the change in the risk of a default occurring over the expected life of the credit instrument. In order to make the assessment of whether there has been significant credit deterioration, the Bank considers reasonable and supportable information that is available without undue cost or effort and comparing:</w:t>
      </w:r>
    </w:p>
    <w:p>
      <w:pPr>
        <w:spacing w:after="0" w:line="181" w:lineRule="exact"/>
        <w:rPr>
          <w:sz w:val="20"/>
          <w:szCs w:val="20"/>
          <w:color w:val="auto"/>
        </w:rPr>
      </w:pPr>
    </w:p>
    <w:p>
      <w:pPr>
        <w:ind w:left="1300" w:hanging="320"/>
        <w:spacing w:after="0"/>
        <w:tabs>
          <w:tab w:leader="none" w:pos="1300" w:val="left"/>
        </w:tabs>
        <w:numPr>
          <w:ilvl w:val="0"/>
          <w:numId w:val="130"/>
        </w:numPr>
        <w:rPr>
          <w:rFonts w:ascii="Arial" w:cs="Arial" w:eastAsia="Arial" w:hAnsi="Arial"/>
          <w:sz w:val="18"/>
          <w:szCs w:val="18"/>
          <w:color w:val="auto"/>
        </w:rPr>
      </w:pPr>
      <w:r>
        <w:rPr>
          <w:rFonts w:ascii="Arial" w:cs="Arial" w:eastAsia="Arial" w:hAnsi="Arial"/>
          <w:sz w:val="18"/>
          <w:szCs w:val="18"/>
          <w:color w:val="auto"/>
        </w:rPr>
        <w:t>The risk of a default occurring on the financial instrument as at the reporting date, and</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0"/>
          <w:numId w:val="130"/>
        </w:numPr>
        <w:rPr>
          <w:rFonts w:ascii="Arial" w:cs="Arial" w:eastAsia="Arial" w:hAnsi="Arial"/>
          <w:sz w:val="18"/>
          <w:szCs w:val="18"/>
          <w:color w:val="auto"/>
        </w:rPr>
      </w:pPr>
      <w:r>
        <w:rPr>
          <w:rFonts w:ascii="Arial" w:cs="Arial" w:eastAsia="Arial" w:hAnsi="Arial"/>
          <w:sz w:val="18"/>
          <w:szCs w:val="18"/>
          <w:color w:val="auto"/>
        </w:rPr>
        <w:t>The risk of a default occurring on the financial instrument as at the date of initial recognition.</w:t>
      </w:r>
    </w:p>
    <w:p>
      <w:pPr>
        <w:spacing w:after="0" w:line="211"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For loan commitments, the Bank considers changes in the risk of a default occurring on the ‘potential’ loan to which a loan commitment relates, and for financial guarantee contracts, changes in the risk that the specified debtor will default, are taken into consideration. In order to determine whether there has been a significant increase in the credit risk of the financial instrument, the assessment is based on quantitative information and qualitative information. The Bank considers the following factors though not exhaustive, when measuring significant increase in credit risk:</w:t>
      </w:r>
    </w:p>
    <w:p>
      <w:pPr>
        <w:spacing w:after="0" w:line="171" w:lineRule="exact"/>
        <w:rPr>
          <w:sz w:val="20"/>
          <w:szCs w:val="20"/>
          <w:color w:val="auto"/>
        </w:rPr>
      </w:pPr>
    </w:p>
    <w:p>
      <w:pPr>
        <w:ind w:left="1300" w:hanging="320"/>
        <w:spacing w:after="0"/>
        <w:tabs>
          <w:tab w:leader="none" w:pos="130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Significant changes in internal price indicators of credit risk as a result of a change in credit risk since inception;</w:t>
      </w:r>
    </w:p>
    <w:p>
      <w:pPr>
        <w:spacing w:after="0" w:line="23" w:lineRule="exact"/>
        <w:rPr>
          <w:rFonts w:ascii="Arial" w:cs="Arial" w:eastAsia="Arial" w:hAnsi="Arial"/>
          <w:sz w:val="18"/>
          <w:szCs w:val="18"/>
          <w:color w:val="auto"/>
        </w:rPr>
      </w:pPr>
    </w:p>
    <w:p>
      <w:pPr>
        <w:ind w:left="1300" w:right="20" w:hanging="320"/>
        <w:spacing w:after="0" w:line="250" w:lineRule="auto"/>
        <w:tabs>
          <w:tab w:leader="none" w:pos="130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Significant changes in external market indicators of credit risk for a particular financial instrument or similar financial instruments with the same expected life;</w:t>
      </w:r>
    </w:p>
    <w:p>
      <w:pPr>
        <w:ind w:left="1300" w:hanging="320"/>
        <w:spacing w:after="0"/>
        <w:tabs>
          <w:tab w:leader="none" w:pos="130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An actual or expected significant change in the financial instrument’s external credit rating;</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Existing or forecast adverse changes in business, financial or economic conditions;</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An actual or expected significant change in the operating results of the borrower;</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131"/>
        </w:numPr>
        <w:rPr>
          <w:rFonts w:ascii="Arial" w:cs="Arial" w:eastAsia="Arial" w:hAnsi="Arial"/>
          <w:sz w:val="16"/>
          <w:szCs w:val="16"/>
          <w:color w:val="auto"/>
        </w:rPr>
      </w:pPr>
      <w:r>
        <w:rPr>
          <w:rFonts w:ascii="Arial" w:cs="Arial" w:eastAsia="Arial" w:hAnsi="Arial"/>
          <w:sz w:val="16"/>
          <w:szCs w:val="16"/>
          <w:color w:val="auto"/>
        </w:rPr>
        <w:t>An actual or expected significant adverse change in the regulatory environment, economic, or technological environment of the borrower;</w:t>
      </w:r>
    </w:p>
    <w:p>
      <w:pPr>
        <w:spacing w:after="0" w:line="32" w:lineRule="exact"/>
        <w:rPr>
          <w:rFonts w:ascii="Arial" w:cs="Arial" w:eastAsia="Arial" w:hAnsi="Arial"/>
          <w:sz w:val="16"/>
          <w:szCs w:val="16"/>
          <w:color w:val="auto"/>
        </w:rPr>
      </w:pPr>
    </w:p>
    <w:p>
      <w:pPr>
        <w:ind w:left="1300" w:hanging="320"/>
        <w:spacing w:after="0"/>
        <w:tabs>
          <w:tab w:leader="none" w:pos="130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Significant changes in the value of the collateral supporting the obligation;</w:t>
      </w:r>
    </w:p>
    <w:p>
      <w:pPr>
        <w:spacing w:after="0" w:line="9" w:lineRule="exact"/>
        <w:rPr>
          <w:rFonts w:ascii="Arial" w:cs="Arial" w:eastAsia="Arial" w:hAnsi="Arial"/>
          <w:sz w:val="18"/>
          <w:szCs w:val="18"/>
          <w:color w:val="auto"/>
        </w:rPr>
      </w:pPr>
    </w:p>
    <w:p>
      <w:pPr>
        <w:ind w:left="1300" w:right="20" w:hanging="320"/>
        <w:spacing w:after="0" w:line="261" w:lineRule="auto"/>
        <w:tabs>
          <w:tab w:leader="none" w:pos="130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Significant changes, such as reductions, in financial support from a parent entity or other affiliate or an actual or expected significant change in the quality of credit enhancements, among other factors incorporated in the Bank’s ECLs model.</w:t>
      </w:r>
    </w:p>
    <w:p>
      <w:pPr>
        <w:spacing w:after="0" w:line="18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44" w:name="page145"/>
    <w:bookmarkEnd w:id="1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32"/>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3.6 Allowance for expected credit losses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Significant increase in credit risk</w:t>
      </w:r>
      <w:r>
        <w:rPr>
          <w:rFonts w:ascii="Arial" w:cs="Arial" w:eastAsia="Arial" w:hAnsi="Arial"/>
          <w:sz w:val="18"/>
          <w:szCs w:val="18"/>
          <w:b w:val="1"/>
          <w:bCs w:val="1"/>
          <w:color w:val="auto"/>
        </w:rPr>
        <w:t xml:space="preserve">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reserve balances, for exposures on loans at amortized cost and loan commitments and financial guarantees contracts, are calculated applying the following formula:</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Reserves = ∑(E x PD x LGD); where:</w:t>
      </w:r>
    </w:p>
    <w:p>
      <w:pPr>
        <w:spacing w:after="0" w:line="225" w:lineRule="exact"/>
        <w:rPr>
          <w:sz w:val="20"/>
          <w:szCs w:val="20"/>
          <w:color w:val="auto"/>
        </w:rPr>
      </w:pPr>
    </w:p>
    <w:p>
      <w:pPr>
        <w:ind w:left="1300" w:hanging="320"/>
        <w:spacing w:after="0"/>
        <w:tabs>
          <w:tab w:leader="none" w:pos="1300" w:val="left"/>
        </w:tabs>
        <w:numPr>
          <w:ilvl w:val="0"/>
          <w:numId w:val="133"/>
        </w:numPr>
        <w:rPr>
          <w:rFonts w:ascii="Arial" w:cs="Arial" w:eastAsia="Arial" w:hAnsi="Arial"/>
          <w:sz w:val="18"/>
          <w:szCs w:val="18"/>
          <w:color w:val="auto"/>
        </w:rPr>
      </w:pPr>
      <w:r>
        <w:rPr>
          <w:rFonts w:ascii="Arial" w:cs="Arial" w:eastAsia="Arial" w:hAnsi="Arial"/>
          <w:sz w:val="18"/>
          <w:szCs w:val="18"/>
          <w:color w:val="auto"/>
        </w:rPr>
        <w:t>Exposure (E) = the total accounting balance at the end of the period under review.</w:t>
      </w:r>
    </w:p>
    <w:p>
      <w:pPr>
        <w:spacing w:after="0" w:line="23" w:lineRule="exact"/>
        <w:rPr>
          <w:rFonts w:ascii="Arial" w:cs="Arial" w:eastAsia="Arial" w:hAnsi="Arial"/>
          <w:sz w:val="18"/>
          <w:szCs w:val="18"/>
          <w:color w:val="auto"/>
        </w:rPr>
      </w:pPr>
    </w:p>
    <w:p>
      <w:pPr>
        <w:jc w:val="both"/>
        <w:ind w:left="1300" w:hanging="320"/>
        <w:spacing w:after="0" w:line="250" w:lineRule="auto"/>
        <w:tabs>
          <w:tab w:leader="none" w:pos="1300" w:val="left"/>
        </w:tabs>
        <w:numPr>
          <w:ilvl w:val="0"/>
          <w:numId w:val="133"/>
        </w:numPr>
        <w:rPr>
          <w:rFonts w:ascii="Arial" w:cs="Arial" w:eastAsia="Arial" w:hAnsi="Arial"/>
          <w:sz w:val="18"/>
          <w:szCs w:val="18"/>
          <w:color w:val="auto"/>
        </w:rPr>
      </w:pPr>
      <w:r>
        <w:rPr>
          <w:rFonts w:ascii="Arial" w:cs="Arial" w:eastAsia="Arial" w:hAnsi="Arial"/>
          <w:sz w:val="18"/>
          <w:szCs w:val="18"/>
          <w:color w:val="auto"/>
        </w:rPr>
        <w:t>Probabilities of Default (PD) = one-year probability of default applied to the portfolio to account for 12-month expected credit losses and lifetime probability of default to account for more than 12-month. Default rates are based on Bladex’s historical portfolio performance per rating category, complemented by International Rating Agency’s probabilities of default for categories 6, 7 and 8, in view of the greater robustness of data for such cases.</w:t>
      </w:r>
    </w:p>
    <w:p>
      <w:pPr>
        <w:spacing w:after="0" w:line="1" w:lineRule="exact"/>
        <w:rPr>
          <w:rFonts w:ascii="Arial" w:cs="Arial" w:eastAsia="Arial" w:hAnsi="Arial"/>
          <w:sz w:val="18"/>
          <w:szCs w:val="18"/>
          <w:color w:val="auto"/>
        </w:rPr>
      </w:pPr>
    </w:p>
    <w:p>
      <w:pPr>
        <w:jc w:val="both"/>
        <w:ind w:left="1300" w:hanging="320"/>
        <w:spacing w:after="0" w:line="253" w:lineRule="auto"/>
        <w:tabs>
          <w:tab w:leader="none" w:pos="1300" w:val="left"/>
        </w:tabs>
        <w:numPr>
          <w:ilvl w:val="0"/>
          <w:numId w:val="133"/>
        </w:numPr>
        <w:rPr>
          <w:rFonts w:ascii="Arial" w:cs="Arial" w:eastAsia="Arial" w:hAnsi="Arial"/>
          <w:sz w:val="18"/>
          <w:szCs w:val="18"/>
          <w:color w:val="auto"/>
        </w:rPr>
      </w:pPr>
      <w:r>
        <w:rPr>
          <w:rFonts w:ascii="Arial" w:cs="Arial" w:eastAsia="Arial" w:hAnsi="Arial"/>
          <w:sz w:val="18"/>
          <w:szCs w:val="18"/>
          <w:color w:val="auto"/>
        </w:rPr>
        <w:t>Loss Given Default (LGD) = a factor is utilized, based on historical information, same as based on best practices in the banking industry, volatility and simulated scenarios based on forward-looking information. Management applies judgment and historical loss experience. Management also applies complementary judgment to capture elements of prospective nature or loss expectations based on risks identified in the environment that are not necessarily reflected in the historical data. The allowance policy is applicable to all classes of loans and, loan commitments and financial guarantee contracts of the Bank.</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Write-off</w:t>
      </w:r>
    </w:p>
    <w:p>
      <w:pPr>
        <w:spacing w:after="0" w:line="229"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When the Bank has no reasonable expectations of recovering the loan, then the gross carrying amount of the loan is directly reduced in its entirety; thus, constituting a derecognition event. This is generally the case when the Bank determines that the borrower does not have assets or sources of income that could generate sufficient cash flows to repay the amounts subject to the write-off. Nevertheless, the financial assets that are written off could still be subject to enforcement activities in order to comply with the Bank’s procedures for recovery of amounts due.</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If the amount of loss on write-off is greater than the accumulated loss allowance, the differences will be recognized as an additional impairment loss.</w:t>
      </w:r>
    </w:p>
    <w:p>
      <w:pPr>
        <w:spacing w:after="0" w:line="24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3.7 Derivative financial instruments for risk management purposes and hedge accounting</w:t>
      </w:r>
    </w:p>
    <w:p>
      <w:pPr>
        <w:spacing w:after="0" w:line="229" w:lineRule="exact"/>
        <w:rPr>
          <w:sz w:val="20"/>
          <w:szCs w:val="20"/>
          <w:color w:val="auto"/>
        </w:rPr>
      </w:pPr>
    </w:p>
    <w:p>
      <w:pPr>
        <w:ind w:left="340" w:right="880"/>
        <w:spacing w:after="0" w:line="308" w:lineRule="auto"/>
        <w:rPr>
          <w:sz w:val="20"/>
          <w:szCs w:val="20"/>
          <w:color w:val="auto"/>
        </w:rPr>
      </w:pPr>
      <w:r>
        <w:rPr>
          <w:rFonts w:ascii="Arial" w:cs="Arial" w:eastAsia="Arial" w:hAnsi="Arial"/>
          <w:sz w:val="17"/>
          <w:szCs w:val="17"/>
          <w:color w:val="auto"/>
        </w:rPr>
        <w:t>Derivatives embedded in financial liabilities or other non-financial asset host contracts are treated as separate derivatives when their risks and characteristics are not closely related to those of the host contracts and the host contracts are not measured at FVTPL.</w:t>
      </w:r>
    </w:p>
    <w:p>
      <w:pPr>
        <w:spacing w:after="0" w:line="14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applies IFRS 9- “</w:t>
      </w:r>
      <w:r>
        <w:rPr>
          <w:rFonts w:ascii="Arial" w:cs="Arial" w:eastAsia="Arial" w:hAnsi="Arial"/>
          <w:sz w:val="18"/>
          <w:szCs w:val="18"/>
          <w:i w:val="1"/>
          <w:iCs w:val="1"/>
          <w:color w:val="auto"/>
        </w:rPr>
        <w:t>Financial Instruments</w:t>
      </w:r>
      <w:r>
        <w:rPr>
          <w:rFonts w:ascii="Arial" w:cs="Arial" w:eastAsia="Arial" w:hAnsi="Arial"/>
          <w:sz w:val="18"/>
          <w:szCs w:val="18"/>
          <w:color w:val="auto"/>
        </w:rPr>
        <w:t>” the hedge accounting rules in full.</w:t>
      </w:r>
    </w:p>
    <w:p>
      <w:pPr>
        <w:spacing w:after="0" w:line="225"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Derivatives held for risk management purposes include all derivative assets and liabilities that are not classified as trading assets or liabilities. Derivatives held for risk management purposes are measured at fair value in the consolidated statement of financial position. Derivatives are initially recognised at fair value at the date a derivative contract is entered into and are subsequently remeasured to their fair value at each balance sheet date. The resulting gain/loss is recognised in profit or loss immediately unless the derivative is designated and effective as a hedging instrument, in which event the timing of the recognition in profit or loss depends on the nature of the hedge relationship.</w:t>
      </w:r>
    </w:p>
    <w:p>
      <w:pPr>
        <w:spacing w:after="0" w:line="17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45" w:name="page146"/>
    <w:bookmarkEnd w:id="1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34"/>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3.7 Derivative financial instruments and hedge accounting (continued)</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On initial designation of the hedge, the Bank formally documents the relationship between the hedging instrument(s) and hedged item(s), including the risk management objective and strategy in undertaking the hedge, together with the method that will be used to assess the effectiveness of the hedging relationship. The Bank makes an assessment, both at inception of the hedge relationship and on an ongoing basis, of whether the hedging instrument(s) is(are) expected to be highly effective in offsetting the changes in the fair value or cash flows of the respective hedged item(s) during the period for which the hedge is designated.</w:t>
      </w:r>
    </w:p>
    <w:p>
      <w:pPr>
        <w:spacing w:after="0" w:line="188"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uses derivative financial instruments for its management of interest rate and foreign exchange risks. Interest rate swap contracts, cross-currency swap contracts and foreign exchange forward contracts have been used to manage interest rate and foreign exchange risks respectively associated with debt securities and borrowings with fixed and floating rates, and loans and borrowings in foreign currency.</w:t>
      </w:r>
    </w:p>
    <w:p>
      <w:pPr>
        <w:spacing w:after="0" w:line="18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These derivatives contracts can be classified as fair value and cash flow hedges. In addition, foreign exchange forward contracts are used to hedge exposures to changes in foreign currency in subsidiary companies with functional currencies other than the US dollar. These contracts are classified as net investment hedges.</w:t>
      </w:r>
    </w:p>
    <w:p>
      <w:pPr>
        <w:spacing w:after="0" w:line="18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accounting for changes in value of a derivative depends on whether the contract is for trading purposes or has been designated and qualifies for hedge accounting.</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Derivatives held for trading purposes include interest rate swap, cross-currency swap, foreign exchange forward and future contracts used for risk management purposes that do not qualify for hedge accounting. These derivatives are reported as asset or liabilities, as applicable. Changes in realized and unrealized gains and losses and interest from these financial instruments are included in gain or loss per financial instrument at fair value through profit or loss.</w:t>
      </w:r>
    </w:p>
    <w:p>
      <w:pPr>
        <w:spacing w:after="0" w:line="187" w:lineRule="exact"/>
        <w:rPr>
          <w:sz w:val="20"/>
          <w:szCs w:val="20"/>
          <w:color w:val="auto"/>
        </w:rPr>
      </w:pPr>
    </w:p>
    <w:p>
      <w:pPr>
        <w:jc w:val="both"/>
        <w:ind w:left="340"/>
        <w:spacing w:after="0" w:line="291" w:lineRule="auto"/>
        <w:rPr>
          <w:sz w:val="20"/>
          <w:szCs w:val="20"/>
          <w:color w:val="auto"/>
        </w:rPr>
      </w:pPr>
      <w:r>
        <w:rPr>
          <w:rFonts w:ascii="Arial" w:cs="Arial" w:eastAsia="Arial" w:hAnsi="Arial"/>
          <w:sz w:val="16"/>
          <w:szCs w:val="16"/>
          <w:color w:val="auto"/>
        </w:rPr>
        <w:t>Derivatives for hedging purposes primarily include foreign exchange forward contracts and interest rate swap contracts in US dollar and cross-currency swaps. Derivative contracts designated and qualifying for hedge accounting are reported in the consolidated statement of financial position as derivative financial instruments used for hedging - receivable and payable,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The extent to which a hedging instrument is effective at achieving offsetting changes in fair value or cash flows must be assessed at least quarterly. Any ineffectiveness must be reported in current-year earnings.</w:t>
      </w:r>
    </w:p>
    <w:p>
      <w:pPr>
        <w:spacing w:after="0" w:line="163"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Economic relationship</w:t>
      </w:r>
    </w:p>
    <w:p>
      <w:pPr>
        <w:spacing w:after="0" w:line="229"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As the Bank enters into a hedging relationship, the first requirement is that the hedging instrument and the hedged item must be expected to move in the opposite direction as a result of the change in the hedged risk. This should be based on an economic rationale, as could be the case if the relationship is based only on a statistical correlation. This requirement is fulfilled for many of the hedging relationships carried by the Bank as the underlying of the hedging instrument matches, or is closely aligned with the hedged risk. Even when there are differences between the hedged item and the hedging instrument, the economic relationship will often be capable of being demonstrated using a qualitative assessment. The assessment considers, whether qualitative or quantitative, the following: a) maturity; b) nominal amount; c) cash flow dates; d) interest rate basis; and e) credit risk, including the effect of collateral, among others.</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Hedge ratio</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hedge ratio is the ratio between the amount of hedged item and the amount of the hedging instrument. For most of the hedging relationships, the hedge ratio is 1:1 as the underlying of the hedging instrument perfectly matches the designated hedged risk. For a hedging relationship with a correlation between the hedged item and the hedging instrument that is not 1:1 relationship, generally set the hedge ratio so as to adjust for the type of relation in order to improve effectiveness.</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46" w:name="page147"/>
    <w:bookmarkEnd w:id="1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35"/>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3.7 Derivative financial instruments and hedge accounting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Discontinuation of hedge accounting</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discontinues hedge accounting prospectively in the following situations:</w:t>
      </w:r>
    </w:p>
    <w:p>
      <w:pPr>
        <w:spacing w:after="0" w:line="225" w:lineRule="exact"/>
        <w:rPr>
          <w:sz w:val="20"/>
          <w:szCs w:val="20"/>
          <w:color w:val="auto"/>
        </w:rPr>
      </w:pPr>
    </w:p>
    <w:p>
      <w:pPr>
        <w:ind w:left="980" w:hanging="324"/>
        <w:spacing w:after="0"/>
        <w:tabs>
          <w:tab w:leader="none" w:pos="980" w:val="left"/>
        </w:tabs>
        <w:numPr>
          <w:ilvl w:val="0"/>
          <w:numId w:val="136"/>
        </w:numPr>
        <w:rPr>
          <w:rFonts w:ascii="Arial" w:cs="Arial" w:eastAsia="Arial" w:hAnsi="Arial"/>
          <w:sz w:val="18"/>
          <w:szCs w:val="18"/>
          <w:color w:val="auto"/>
        </w:rPr>
      </w:pPr>
      <w:r>
        <w:rPr>
          <w:rFonts w:ascii="Arial" w:cs="Arial" w:eastAsia="Arial" w:hAnsi="Arial"/>
          <w:sz w:val="18"/>
          <w:szCs w:val="18"/>
          <w:color w:val="auto"/>
        </w:rPr>
        <w:t>It is determined that the derivative is no longer effective in offsetting changes in the fair value or cash flows of a hedged item.</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0"/>
          <w:numId w:val="136"/>
        </w:numPr>
        <w:rPr>
          <w:rFonts w:ascii="Arial" w:cs="Arial" w:eastAsia="Arial" w:hAnsi="Arial"/>
          <w:sz w:val="18"/>
          <w:szCs w:val="18"/>
          <w:color w:val="auto"/>
        </w:rPr>
      </w:pPr>
      <w:r>
        <w:rPr>
          <w:rFonts w:ascii="Arial" w:cs="Arial" w:eastAsia="Arial" w:hAnsi="Arial"/>
          <w:sz w:val="18"/>
          <w:szCs w:val="18"/>
          <w:color w:val="auto"/>
        </w:rPr>
        <w:t>The derivative expires or is sold, terminated or exercised.</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0"/>
          <w:numId w:val="136"/>
        </w:numPr>
        <w:rPr>
          <w:rFonts w:ascii="Arial" w:cs="Arial" w:eastAsia="Arial" w:hAnsi="Arial"/>
          <w:sz w:val="18"/>
          <w:szCs w:val="18"/>
          <w:color w:val="auto"/>
        </w:rPr>
      </w:pPr>
      <w:r>
        <w:rPr>
          <w:rFonts w:ascii="Arial" w:cs="Arial" w:eastAsia="Arial" w:hAnsi="Arial"/>
          <w:sz w:val="18"/>
          <w:szCs w:val="18"/>
          <w:color w:val="auto"/>
        </w:rPr>
        <w:t>It is determined that designation of the derivative as a hedging instrument is no longer appropriate.</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carries all derivative financial instruments in the consolidated statement of financial position at fair value.</w:t>
      </w:r>
    </w:p>
    <w:p>
      <w:pPr>
        <w:spacing w:after="0" w:line="221"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Fair value hedges</w:t>
      </w:r>
    </w:p>
    <w:p>
      <w:pPr>
        <w:spacing w:after="0" w:line="229" w:lineRule="exact"/>
        <w:rPr>
          <w:sz w:val="20"/>
          <w:szCs w:val="20"/>
          <w:color w:val="auto"/>
        </w:rPr>
      </w:pPr>
    </w:p>
    <w:p>
      <w:pPr>
        <w:jc w:val="both"/>
        <w:ind w:left="340"/>
        <w:spacing w:after="0" w:line="254" w:lineRule="auto"/>
        <w:rPr>
          <w:sz w:val="20"/>
          <w:szCs w:val="20"/>
          <w:color w:val="auto"/>
        </w:rPr>
      </w:pPr>
      <w:r>
        <w:rPr>
          <w:rFonts w:ascii="Arial" w:cs="Arial" w:eastAsia="Arial" w:hAnsi="Arial"/>
          <w:sz w:val="18"/>
          <w:szCs w:val="18"/>
          <w:color w:val="auto"/>
        </w:rPr>
        <w:t>When a derivative is designated as the hedging instrument in a hedge of the change in fair value of a recognized asset or liability or a firm commitment that could affect profit or loss, changes in the fair value of the derivative are recognized in the consolidated statement of profit or loss together with changes in the fair value of the hedged item that are attributable to the hedged risk, except when the hedging instrument hedges an equity instrument designated at FVTOCI in which case it is recognized in OCI. The carrying amount of a hedged item not already measured at fair value is adjusted for the fair value change attributable to the hedged risk with a corresponding entry in profit or loss. For debt instruments measured at FVTOCI, the carrying amount is not adjusted as it is already at fair value, but the part of the fair value gain or loss on the hedged item associated with the hedged risk is recognized in profit or loss instead of OCI, except when the hedged item is an equity instrument designated at FVTOCI, the hedging gain/loss remains in OCI to match that of the hedging instrument.</w:t>
      </w:r>
    </w:p>
    <w:p>
      <w:pPr>
        <w:spacing w:after="0" w:line="192"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If the hedge relationship is terminated or exercised, or the hedge no longer meets the criteria for fair value hedge accounting, or the hedge designation is revoked, then hedge accounting is discontinued prospectively and the fair value adjustment to the hedged item continues to be reported as part of the basis of the item and is amortized to earnings as a yield adjustment where hedging gains/losses are recognized in profit or loss, they are recognized in the same line as the hedged item.</w:t>
      </w:r>
    </w:p>
    <w:p>
      <w:pPr>
        <w:spacing w:after="0" w:line="183"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Cash flow hedges</w:t>
      </w:r>
    </w:p>
    <w:p>
      <w:pPr>
        <w:spacing w:after="0" w:line="229"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When a derivative is designated as the hedging instrument in a hedge of variability in cash flows attributable to a particular risk associated with a recognized asset or liability that could affect profit or loss, the effective portion of changes in the fair value of the derivative is recognized in OCI and it is presented in the hedging reserve within equity and recognized in the consolidated statement of profit or loss when the hedged cash flows affect earnings. The ineffective portion is recognized in the consolidated statement of profit or loss as activities of derivative financial instruments and hedging. If the cash flow hedge relationship is terminated or exercised, or the hedge no longer meets the criteria for fair value hedge accounting, or the hedge designation is revoked, then hedge accounting is discontinued prospectively and the related amounts in OCI are reclassified into earnings when hedged cash flows occur.</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Net investment hedges</w:t>
      </w:r>
    </w:p>
    <w:p>
      <w:pPr>
        <w:spacing w:after="0" w:line="229"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When a derivative instrument or a non-derivative financial liability is designated as the hedging instrument in a hedge of a net investment in a foreign operation, the effective portion of changes in the fair value of the hedging instrument is recognized in OCI and presented in the translation reserve within equity. Any ineffective portion of the changes in the fair value of the derivative is recognized in the consolidated statement of profit or loss. The amount recognized in OCI is reclassified to profit or loss as a reclassification adjustment on disposal of the foreign operation.</w:t>
      </w:r>
    </w:p>
    <w:p>
      <w:pPr>
        <w:spacing w:after="0" w:line="17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47" w:name="page148"/>
    <w:bookmarkEnd w:id="1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37"/>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3.7 Derivative financial instruments and hedge accounting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3.8 Repurchase agreements</w:t>
      </w:r>
    </w:p>
    <w:p>
      <w:pPr>
        <w:spacing w:after="0" w:line="229"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Repurchase agreements are transactions in which the Bank sells a security and simultaneously agrees to repurchase it (or an asset that is substantially the same) at a fixed price on a future date. The Bank continues to recognize the securities in their entirety in the statement of financial position because it retains substantially all of the risks and rewards of ownership. The cash consideration received is recognized as a financial asset and a financial liability is recognized for the obligation to pay the repurchase price. Because the Bank sells the contractual rights to the cash flows of the securities, it does not have the ability to use the transferred assets during the term of the arrangement.</w:t>
      </w:r>
    </w:p>
    <w:p>
      <w:pPr>
        <w:spacing w:after="0" w:line="16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3.9 Borrowings and debt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Short and long-term borrowings and debt are accounted for at amortized cost.</w:t>
      </w:r>
    </w:p>
    <w:p>
      <w:pPr>
        <w:spacing w:after="0" w:line="22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3.10 Recognition of income and expenses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Fee and commission income</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earns fee and commission income from a diverse range of services it provides to its customers.</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Income is recognized to the extent that is probable that the economic benefits will flow to the Bank and it is reliably measured, regardless of when the payment is made. This income is measured at fair value of the consideration received or receivable, taking into account contractually defined terms of payment an excluding taxes or duty.</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Fee income can be divided into the following two categories:</w:t>
      </w:r>
    </w:p>
    <w:p>
      <w:pPr>
        <w:spacing w:after="0" w:line="225" w:lineRule="exact"/>
        <w:rPr>
          <w:sz w:val="20"/>
          <w:szCs w:val="20"/>
          <w:color w:val="auto"/>
        </w:rPr>
      </w:pPr>
    </w:p>
    <w:p>
      <w:pPr>
        <w:ind w:left="1300" w:hanging="320"/>
        <w:spacing w:after="0"/>
        <w:tabs>
          <w:tab w:leader="none" w:pos="1300" w:val="left"/>
        </w:tabs>
        <w:numPr>
          <w:ilvl w:val="0"/>
          <w:numId w:val="138"/>
        </w:numPr>
        <w:rPr>
          <w:rFonts w:ascii="Arial" w:cs="Arial" w:eastAsia="Arial" w:hAnsi="Arial"/>
          <w:sz w:val="18"/>
          <w:szCs w:val="18"/>
          <w:color w:val="auto"/>
        </w:rPr>
      </w:pPr>
      <w:r>
        <w:rPr>
          <w:rFonts w:ascii="Arial" w:cs="Arial" w:eastAsia="Arial" w:hAnsi="Arial"/>
          <w:sz w:val="18"/>
          <w:szCs w:val="18"/>
          <w:color w:val="auto"/>
        </w:rPr>
        <w:t>Fee income earned from services that are provided over a certain period of time.</w:t>
      </w:r>
    </w:p>
    <w:p>
      <w:pPr>
        <w:spacing w:after="0" w:line="23" w:lineRule="exact"/>
        <w:rPr>
          <w:rFonts w:ascii="Arial" w:cs="Arial" w:eastAsia="Arial" w:hAnsi="Arial"/>
          <w:sz w:val="18"/>
          <w:szCs w:val="18"/>
          <w:color w:val="auto"/>
        </w:rPr>
      </w:pPr>
    </w:p>
    <w:p>
      <w:pPr>
        <w:ind w:left="1300" w:right="20" w:hanging="320"/>
        <w:spacing w:after="0" w:line="261" w:lineRule="auto"/>
        <w:tabs>
          <w:tab w:leader="none" w:pos="1300" w:val="left"/>
        </w:tabs>
        <w:numPr>
          <w:ilvl w:val="0"/>
          <w:numId w:val="138"/>
        </w:numPr>
        <w:rPr>
          <w:rFonts w:ascii="Arial" w:cs="Arial" w:eastAsia="Arial" w:hAnsi="Arial"/>
          <w:sz w:val="18"/>
          <w:szCs w:val="18"/>
          <w:color w:val="auto"/>
        </w:rPr>
      </w:pPr>
      <w:r>
        <w:rPr>
          <w:rFonts w:ascii="Arial" w:cs="Arial" w:eastAsia="Arial" w:hAnsi="Arial"/>
          <w:sz w:val="18"/>
          <w:szCs w:val="18"/>
          <w:color w:val="auto"/>
        </w:rPr>
        <w:t>Fees earned for the provision of services over a period of time are accrued over that period. These fees include commission income and other management and advisory fees.</w:t>
      </w:r>
    </w:p>
    <w:p>
      <w:pPr>
        <w:spacing w:after="0" w:line="180"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Fee income from providing transaction services</w:t>
      </w:r>
    </w:p>
    <w:p>
      <w:pPr>
        <w:spacing w:after="0" w:line="229" w:lineRule="exact"/>
        <w:rPr>
          <w:sz w:val="20"/>
          <w:szCs w:val="20"/>
          <w:color w:val="auto"/>
        </w:rPr>
      </w:pPr>
    </w:p>
    <w:p>
      <w:pPr>
        <w:jc w:val="both"/>
        <w:ind w:left="340" w:right="20"/>
        <w:spacing w:after="0" w:line="308" w:lineRule="auto"/>
        <w:rPr>
          <w:sz w:val="20"/>
          <w:szCs w:val="20"/>
          <w:color w:val="auto"/>
        </w:rPr>
      </w:pPr>
      <w:r>
        <w:rPr>
          <w:rFonts w:ascii="Arial" w:cs="Arial" w:eastAsia="Arial" w:hAnsi="Arial"/>
          <w:sz w:val="17"/>
          <w:szCs w:val="17"/>
          <w:color w:val="auto"/>
        </w:rPr>
        <w:t>Fees arising from negotiating or participating in the negotiation of a transaction for a third party, are recognized on completion of the underlying transaction. Fees or components of fees that are linked to a certain performance are recognized after fulfilling the corresponding criteria.</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Net trading income</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Results arising from trading activities include all gains and losses from changes in fair value and related interest income or expense and dividends for financial assets and financial liabilities held for trading.</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Fees and commissions on loans at amortized cost</w:t>
      </w:r>
    </w:p>
    <w:p>
      <w:pPr>
        <w:spacing w:after="0" w:line="229" w:lineRule="exact"/>
        <w:rPr>
          <w:sz w:val="20"/>
          <w:szCs w:val="20"/>
          <w:color w:val="auto"/>
        </w:rPr>
      </w:pPr>
    </w:p>
    <w:p>
      <w:pPr>
        <w:jc w:val="both"/>
        <w:ind w:left="340"/>
        <w:spacing w:after="0" w:line="302" w:lineRule="auto"/>
        <w:rPr>
          <w:sz w:val="20"/>
          <w:szCs w:val="20"/>
          <w:color w:val="auto"/>
        </w:rPr>
      </w:pPr>
      <w:r>
        <w:rPr>
          <w:rFonts w:ascii="Arial" w:cs="Arial" w:eastAsia="Arial" w:hAnsi="Arial"/>
          <w:sz w:val="16"/>
          <w:szCs w:val="16"/>
          <w:color w:val="auto"/>
        </w:rPr>
        <w:t>Loan commitment fees for loans that are likely to be drawn down and other credit related fees are deferred (together with any incremental costs) and recognized as an adjustment to the effective interest rate on the loan. When it is unlikely that a loan will be drawn down, the loan commitment fees are recognized over the commitment period on an effective interest rate basis. These fees are regarded as compensation for an ongoing involvement with the acquisition of a financial instrument. If the commitment expires without the Bank making the loan, the fee is recognized as revenue on expiration.</w:t>
      </w:r>
    </w:p>
    <w:p>
      <w:pPr>
        <w:spacing w:after="0" w:line="154"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Loan origination fees, net of direct loan origination costs, are deferred, and the net amount is recognized as revenue over the contractual term of the loans as an adjustment to the yield. When there are concerns about the realization of loan principal or interest, these net fees are recognized as revenue at the credit-adjusted effective interest rate for credit-impaired financial assets.</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48" w:name="page149"/>
    <w:bookmarkEnd w:id="1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39"/>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3.10 Recognition of income and expenses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Fees and commissions on loans at amortized cost</w:t>
      </w:r>
      <w:r>
        <w:rPr>
          <w:rFonts w:ascii="Arial" w:cs="Arial" w:eastAsia="Arial" w:hAnsi="Arial"/>
          <w:sz w:val="18"/>
          <w:szCs w:val="18"/>
          <w:b w:val="1"/>
          <w:bCs w:val="1"/>
          <w:color w:val="auto"/>
        </w:rPr>
        <w:t xml:space="preserve"> (continued)</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Underwriting fees are recognized as revenue when the Bank has rendered all services to the issuer and is entitled to collect the fee from the issuer, when there are no contingencies related to the fee. Underwriting fees are recognized net of syndicate expenses. In addition, the Bank recognizes credit arrangement and syndication fees as revenue after satisfying certain retention, timing and yield criteria.</w:t>
      </w:r>
    </w:p>
    <w:p>
      <w:pPr>
        <w:spacing w:after="0" w:line="18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Fees received in connection with a modification of terms of a loan at amortized cost are applied as a reduction of the recorded investment in the loan. Fees earned on letters of credit, financial guarantees and other commitments are amortized using the straight-line method over the life of such instruments.</w:t>
      </w:r>
    </w:p>
    <w:p>
      <w:pPr>
        <w:spacing w:after="0" w:line="17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3.11 Property and equipment</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Property and equipment is stated at cost excluding the costs of day–to–day servicing, less accumulated depreciation and accumulated impairment in value. Changes in the expected useful life are accounted for by changing the amortization period or method, as appropriate, and treated as changes in accounting estimates.</w:t>
      </w:r>
    </w:p>
    <w:p>
      <w:pPr>
        <w:spacing w:after="0" w:line="18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Depreciation is calculated using the straight–line method to write down the cost of property and equipment to their residual values over their estimated useful lives. Land is not depreciated. The estimated useful lives are as follows:</w:t>
      </w:r>
    </w:p>
    <w:p>
      <w:pPr>
        <w:spacing w:after="0" w:line="166" w:lineRule="exact"/>
        <w:rPr>
          <w:sz w:val="20"/>
          <w:szCs w:val="20"/>
          <w:color w:val="auto"/>
        </w:rPr>
      </w:pPr>
    </w:p>
    <w:tbl>
      <w:tblPr>
        <w:tblLayout w:type="fixed"/>
        <w:tblInd w:w="980" w:type="dxa"/>
        <w:tblCellMar>
          <w:top w:w="0" w:type="dxa"/>
          <w:left w:w="0" w:type="dxa"/>
          <w:bottom w:w="0" w:type="dxa"/>
          <w:right w:w="0" w:type="dxa"/>
        </w:tblCellMar>
      </w:tblPr>
      <w:tr>
        <w:trPr>
          <w:trHeight w:val="241"/>
        </w:trPr>
        <w:tc>
          <w:tcPr>
            <w:tcW w:w="6800" w:type="dxa"/>
            <w:vAlign w:val="bottom"/>
          </w:tcPr>
          <w:p>
            <w:pPr>
              <w:spacing w:after="0"/>
              <w:rPr>
                <w:sz w:val="20"/>
                <w:szCs w:val="20"/>
                <w:color w:val="auto"/>
              </w:rPr>
            </w:pPr>
          </w:p>
        </w:tc>
        <w:tc>
          <w:tcPr>
            <w:tcW w:w="2900" w:type="dxa"/>
            <w:vAlign w:val="bottom"/>
            <w:tcBorders>
              <w:bottom w:val="single" w:sz="8" w:color="auto"/>
            </w:tcBorders>
          </w:tcPr>
          <w:p>
            <w:pPr>
              <w:jc w:val="center"/>
              <w:ind w:left="230"/>
              <w:spacing w:after="0"/>
              <w:rPr>
                <w:sz w:val="20"/>
                <w:szCs w:val="20"/>
                <w:color w:val="auto"/>
              </w:rPr>
            </w:pPr>
            <w:r>
              <w:rPr>
                <w:rFonts w:ascii="Arial" w:cs="Arial" w:eastAsia="Arial" w:hAnsi="Arial"/>
                <w:sz w:val="18"/>
                <w:szCs w:val="18"/>
                <w:b w:val="1"/>
                <w:bCs w:val="1"/>
                <w:color w:val="auto"/>
                <w:w w:val="90"/>
              </w:rPr>
              <w:t>Useful life in Years</w:t>
            </w:r>
          </w:p>
        </w:tc>
      </w:tr>
      <w:tr>
        <w:trPr>
          <w:trHeight w:val="202"/>
        </w:trPr>
        <w:tc>
          <w:tcPr>
            <w:tcW w:w="6800" w:type="dxa"/>
            <w:vAlign w:val="bottom"/>
          </w:tcPr>
          <w:p>
            <w:pPr>
              <w:spacing w:after="0" w:line="201" w:lineRule="exact"/>
              <w:rPr>
                <w:sz w:val="20"/>
                <w:szCs w:val="20"/>
                <w:color w:val="auto"/>
              </w:rPr>
            </w:pPr>
            <w:r>
              <w:rPr>
                <w:rFonts w:ascii="Arial" w:cs="Arial" w:eastAsia="Arial" w:hAnsi="Arial"/>
                <w:sz w:val="18"/>
                <w:szCs w:val="18"/>
                <w:color w:val="auto"/>
              </w:rPr>
              <w:t>Furniture and equipment</w:t>
            </w:r>
          </w:p>
        </w:tc>
        <w:tc>
          <w:tcPr>
            <w:tcW w:w="2900" w:type="dxa"/>
            <w:vAlign w:val="bottom"/>
          </w:tcPr>
          <w:p>
            <w:pPr>
              <w:jc w:val="center"/>
              <w:ind w:left="230"/>
              <w:spacing w:after="0" w:line="201" w:lineRule="exact"/>
              <w:rPr>
                <w:sz w:val="20"/>
                <w:szCs w:val="20"/>
                <w:color w:val="auto"/>
              </w:rPr>
            </w:pPr>
            <w:r>
              <w:rPr>
                <w:rFonts w:ascii="Arial" w:cs="Arial" w:eastAsia="Arial" w:hAnsi="Arial"/>
                <w:sz w:val="18"/>
                <w:szCs w:val="18"/>
                <w:color w:val="auto"/>
                <w:w w:val="87"/>
              </w:rPr>
              <w:t>3 to 5 years</w:t>
            </w: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Hardware</w:t>
            </w:r>
          </w:p>
        </w:tc>
        <w:tc>
          <w:tcPr>
            <w:tcW w:w="2900" w:type="dxa"/>
            <w:vAlign w:val="bottom"/>
          </w:tcPr>
          <w:p>
            <w:pPr>
              <w:jc w:val="center"/>
              <w:ind w:left="230"/>
              <w:spacing w:after="0"/>
              <w:rPr>
                <w:sz w:val="20"/>
                <w:szCs w:val="20"/>
                <w:color w:val="auto"/>
              </w:rPr>
            </w:pPr>
            <w:r>
              <w:rPr>
                <w:rFonts w:ascii="Arial" w:cs="Arial" w:eastAsia="Arial" w:hAnsi="Arial"/>
                <w:sz w:val="18"/>
                <w:szCs w:val="18"/>
                <w:color w:val="auto"/>
                <w:w w:val="84"/>
              </w:rPr>
              <w:t>3 years</w:t>
            </w: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Other Equipments</w:t>
            </w:r>
          </w:p>
        </w:tc>
        <w:tc>
          <w:tcPr>
            <w:tcW w:w="2900" w:type="dxa"/>
            <w:vAlign w:val="bottom"/>
          </w:tcPr>
          <w:p>
            <w:pPr>
              <w:jc w:val="center"/>
              <w:ind w:left="230"/>
              <w:spacing w:after="0"/>
              <w:rPr>
                <w:sz w:val="20"/>
                <w:szCs w:val="20"/>
                <w:color w:val="auto"/>
              </w:rPr>
            </w:pPr>
            <w:r>
              <w:rPr>
                <w:rFonts w:ascii="Arial" w:cs="Arial" w:eastAsia="Arial" w:hAnsi="Arial"/>
                <w:sz w:val="18"/>
                <w:szCs w:val="18"/>
                <w:color w:val="auto"/>
                <w:w w:val="87"/>
              </w:rPr>
              <w:t>2 to 4 years</w:t>
            </w:r>
          </w:p>
        </w:tc>
      </w:tr>
      <w:tr>
        <w:trPr>
          <w:trHeight w:val="230"/>
        </w:trPr>
        <w:tc>
          <w:tcPr>
            <w:tcW w:w="6800" w:type="dxa"/>
            <w:vAlign w:val="bottom"/>
          </w:tcPr>
          <w:p>
            <w:pPr>
              <w:spacing w:after="0"/>
              <w:rPr>
                <w:sz w:val="20"/>
                <w:szCs w:val="20"/>
                <w:color w:val="auto"/>
              </w:rPr>
            </w:pPr>
            <w:r>
              <w:rPr>
                <w:rFonts w:ascii="Arial" w:cs="Arial" w:eastAsia="Arial" w:hAnsi="Arial"/>
                <w:sz w:val="18"/>
                <w:szCs w:val="18"/>
                <w:color w:val="auto"/>
              </w:rPr>
              <w:t>Leasehold improvements</w:t>
            </w:r>
          </w:p>
        </w:tc>
        <w:tc>
          <w:tcPr>
            <w:tcW w:w="2900" w:type="dxa"/>
            <w:vAlign w:val="bottom"/>
          </w:tcPr>
          <w:p>
            <w:pPr>
              <w:jc w:val="center"/>
              <w:ind w:left="230"/>
              <w:spacing w:after="0"/>
              <w:rPr>
                <w:sz w:val="20"/>
                <w:szCs w:val="20"/>
                <w:color w:val="auto"/>
              </w:rPr>
            </w:pPr>
            <w:r>
              <w:rPr>
                <w:rFonts w:ascii="Arial" w:cs="Arial" w:eastAsia="Arial" w:hAnsi="Arial"/>
                <w:sz w:val="18"/>
                <w:szCs w:val="18"/>
                <w:color w:val="auto"/>
                <w:w w:val="89"/>
              </w:rPr>
              <w:t>3 to 15 years or up to the lease term</w:t>
            </w:r>
          </w:p>
        </w:tc>
      </w:tr>
    </w:tbl>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Improvements to leased properties, under operating leases are amortized on a straight line calculated without exceeding the length of the respective lease contracts.</w:t>
      </w:r>
    </w:p>
    <w:p>
      <w:pPr>
        <w:spacing w:after="0" w:line="170"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Property and equipment is derecognized on disposal or when no future economic benefits are expected from its use. Any gain or loss arising on derecognition of the asset (calculated as the difference between the net disposal proceeds and the carrying amount of the asset) is recognized in other income or other expenses in the consolidated statement of profit or loss in the year that the asset is derecognized.</w:t>
      </w:r>
    </w:p>
    <w:p>
      <w:pPr>
        <w:spacing w:after="0" w:line="17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3.12 Intangible assets</w:t>
      </w:r>
    </w:p>
    <w:p>
      <w:pPr>
        <w:spacing w:after="0" w:line="22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An intangible asset is recognized only when its cost can be measured reliably and it is probable that the expected future economic benefits that are attributable to it will flow to the Bank.</w:t>
      </w:r>
    </w:p>
    <w:p>
      <w:pPr>
        <w:spacing w:after="0" w:line="170"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useful lives of intangible assets are assessed to be either finite or indefinite. Intangible assets with finite useful life are amortized using the straight-line method over the estimated useful lives of assets which are reviewed annually by the Bank. Changes in the expected useful life or the expected pattern of consumption of future economic benefits embodied in the asset are accounted for by changing the amortization period or method, as appropriate, and they are treated as changes in accounting estimates. The amortization expense on intangible assets with finite lives is presented as a separate line item in the consolidated statement of profit or loss.</w:t>
      </w:r>
    </w:p>
    <w:p>
      <w:pPr>
        <w:spacing w:after="0" w:line="188"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Bank’s intangible assets include the value of computer software. Amortization is calculated using the straight–line method to write down the cost of intangible assets to their residual values over their estimated useful lives of 5 years. Gains or losses arising from the derecognition of an intangible asset is determined by the Bank as the difference between proceeds from the sale or disposal and the net carrying amount of the intangible asset and recognizing them in the results for the year in which the transaction occurs.</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49" w:name="page150"/>
    <w:bookmarkEnd w:id="1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40"/>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3.13 Offsetting of financial instruments</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Financial assets and financial liabilities are offset and the net amount reported in the consolidated statement of financial position if, and only if, there is a currently enforceable legal right to offset the recognized amounts and there is an intention to settle on a net basis, or to realize the asset and settle the liability simultaneously. This is generally not the case with master netting agreements; therefore, the related assets and liabilities are presented gross in the consolidated statement of financial position.</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Income and expenses are presented on a net basis only when permitted under IFRS, or for gains or losses arising from a group of similar transactions.</w:t>
      </w:r>
    </w:p>
    <w:p>
      <w:pPr>
        <w:spacing w:after="0" w:line="24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3.14 Operating leases</w:t>
      </w:r>
    </w:p>
    <w:p>
      <w:pPr>
        <w:spacing w:after="0" w:line="229" w:lineRule="exact"/>
        <w:rPr>
          <w:sz w:val="20"/>
          <w:szCs w:val="20"/>
          <w:color w:val="auto"/>
        </w:rPr>
      </w:pPr>
    </w:p>
    <w:p>
      <w:pPr>
        <w:jc w:val="both"/>
        <w:ind w:left="340" w:right="20"/>
        <w:spacing w:after="0" w:line="342" w:lineRule="auto"/>
        <w:rPr>
          <w:sz w:val="20"/>
          <w:szCs w:val="20"/>
          <w:color w:val="auto"/>
        </w:rPr>
      </w:pPr>
      <w:r>
        <w:rPr>
          <w:rFonts w:ascii="Arial" w:cs="Arial" w:eastAsia="Arial" w:hAnsi="Arial"/>
          <w:sz w:val="16"/>
          <w:szCs w:val="16"/>
          <w:color w:val="auto"/>
        </w:rPr>
        <w:t>The determination of whether an arrangement is a lease, or contains a lease, is based on the substance of the arrangement and requires an assessment of whether the fulfillment of the arrangement is dependent on the use of a specific asset or assets and the arrangement conveys a right to use the asset.</w:t>
      </w:r>
    </w:p>
    <w:p>
      <w:pPr>
        <w:spacing w:after="0" w:line="120"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Banks as a lessee</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Leases where the lessor do not transfer to the Bank substantially all the risks and benefits incidental to ownership of the leased items are classified as operating leases. Operating lease payments are recognized as an expense in the consolidated statement of profit or loss on a straight-line basis over the lease term. Contingent rental payable is recognized as an expense in the period in which they are incurred.</w:t>
      </w:r>
    </w:p>
    <w:p>
      <w:pPr>
        <w:spacing w:after="0" w:line="177"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Bank as a sub-lessor</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Leases where the Bank does not transfer substantially all of the risk and benefits of ownership of the asset are classified as operating leases. Initial direct costs incurred in negotiating operating leases are added to the carrying amount of the leased asset and recognized over the lease term on the same basis as rental income. Contingent rents are recognized as revenue in the year in which they are earned. In the event that the contract is cancelable, they are recognized as income over the term of the lease.</w:t>
      </w:r>
    </w:p>
    <w:p>
      <w:pPr>
        <w:spacing w:after="0" w:line="18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3.15 Provisions</w:t>
      </w:r>
    </w:p>
    <w:p>
      <w:pPr>
        <w:spacing w:after="0" w:line="229" w:lineRule="exact"/>
        <w:rPr>
          <w:sz w:val="20"/>
          <w:szCs w:val="20"/>
          <w:color w:val="auto"/>
        </w:rPr>
      </w:pPr>
    </w:p>
    <w:p>
      <w:pPr>
        <w:jc w:val="both"/>
        <w:ind w:left="340" w:right="20"/>
        <w:spacing w:after="0" w:line="286" w:lineRule="auto"/>
        <w:rPr>
          <w:sz w:val="20"/>
          <w:szCs w:val="20"/>
          <w:color w:val="auto"/>
        </w:rPr>
      </w:pPr>
      <w:r>
        <w:rPr>
          <w:rFonts w:ascii="Arial" w:cs="Arial" w:eastAsia="Arial" w:hAnsi="Arial"/>
          <w:sz w:val="17"/>
          <w:szCs w:val="17"/>
          <w:color w:val="auto"/>
        </w:rPr>
        <w:t>Provisions are recognized when the Bank has a present obligation (legal or constructive) as a result of a past event, and it is probable that an outflow of resources embodying economic benefits will be required to settle the obligation and a reliable estimate can be made of the amount of the obligation. The expense relating to any provision is presented in the consolidated statement of profit or loss, net of any reimbursement.</w:t>
      </w:r>
    </w:p>
    <w:p>
      <w:pPr>
        <w:spacing w:after="0" w:line="16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3.16 Capital reserves</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Capital reserves are established as an appropriation of retained earnings and are, as such, a form of retained earnings. Reductions of capital reserves require the approval of the Bank’s Board of Directors and the SBP. Other capital reserves include:</w:t>
      </w:r>
    </w:p>
    <w:p>
      <w:pPr>
        <w:spacing w:after="0" w:line="170" w:lineRule="exact"/>
        <w:rPr>
          <w:sz w:val="20"/>
          <w:szCs w:val="20"/>
          <w:color w:val="auto"/>
        </w:rPr>
      </w:pPr>
    </w:p>
    <w:p>
      <w:pPr>
        <w:jc w:val="both"/>
        <w:ind w:left="1300" w:right="20" w:hanging="320"/>
        <w:spacing w:after="0" w:line="256" w:lineRule="auto"/>
        <w:tabs>
          <w:tab w:leader="none" w:pos="1300" w:val="left"/>
        </w:tabs>
        <w:numPr>
          <w:ilvl w:val="0"/>
          <w:numId w:val="141"/>
        </w:numPr>
        <w:rPr>
          <w:rFonts w:ascii="Arial" w:cs="Arial" w:eastAsia="Arial" w:hAnsi="Arial"/>
          <w:sz w:val="18"/>
          <w:szCs w:val="18"/>
          <w:color w:val="auto"/>
        </w:rPr>
      </w:pPr>
      <w:r>
        <w:rPr>
          <w:rFonts w:ascii="Arial" w:cs="Arial" w:eastAsia="Arial" w:hAnsi="Arial"/>
          <w:sz w:val="18"/>
          <w:szCs w:val="18"/>
          <w:u w:val="single" w:color="auto"/>
          <w:color w:val="auto"/>
        </w:rPr>
        <w:t>Translation reserve: The translation reserve comprises all foreign currency differences arising from the translation of the consolidated financial statements of foreign operations as well as the effective portion of any foreign currency differences arising from hedges of a net investment in a foreign operation.</w:t>
      </w:r>
    </w:p>
    <w:p>
      <w:pPr>
        <w:ind w:left="1300" w:hanging="320"/>
        <w:spacing w:after="0" w:line="265" w:lineRule="auto"/>
        <w:tabs>
          <w:tab w:leader="none" w:pos="1300" w:val="left"/>
        </w:tabs>
        <w:numPr>
          <w:ilvl w:val="0"/>
          <w:numId w:val="141"/>
        </w:numPr>
        <w:rPr>
          <w:rFonts w:ascii="Arial" w:cs="Arial" w:eastAsia="Arial" w:hAnsi="Arial"/>
          <w:sz w:val="17"/>
          <w:szCs w:val="17"/>
          <w:color w:val="auto"/>
        </w:rPr>
      </w:pPr>
      <w:r>
        <w:rPr>
          <w:rFonts w:ascii="Arial" w:cs="Arial" w:eastAsia="Arial" w:hAnsi="Arial"/>
          <w:sz w:val="17"/>
          <w:szCs w:val="17"/>
          <w:u w:val="single" w:color="auto"/>
          <w:color w:val="auto"/>
        </w:rPr>
        <w:t>Hedging reserve: The hedging reserve comprises the effective portion of the cumulative net change in the fair value of hedging instruments used in cash flow hedges pending subsequent recognition in profit or loss as the hedged cash flows affect profit or loss.</w:t>
      </w:r>
    </w:p>
    <w:p>
      <w:pPr>
        <w:ind w:left="1300" w:hanging="320"/>
        <w:spacing w:after="0" w:line="261" w:lineRule="auto"/>
        <w:tabs>
          <w:tab w:leader="none" w:pos="1300" w:val="left"/>
        </w:tabs>
        <w:numPr>
          <w:ilvl w:val="0"/>
          <w:numId w:val="141"/>
        </w:numPr>
        <w:rPr>
          <w:rFonts w:ascii="Arial" w:cs="Arial" w:eastAsia="Arial" w:hAnsi="Arial"/>
          <w:sz w:val="18"/>
          <w:szCs w:val="18"/>
          <w:color w:val="auto"/>
        </w:rPr>
      </w:pPr>
      <w:r>
        <w:rPr>
          <w:rFonts w:ascii="Arial" w:cs="Arial" w:eastAsia="Arial" w:hAnsi="Arial"/>
          <w:sz w:val="18"/>
          <w:szCs w:val="18"/>
          <w:u w:val="single" w:color="auto"/>
          <w:color w:val="auto"/>
        </w:rPr>
        <w:t>Fair value reserve: The fair value reserve comprises the cumulative net change in the fair value of investment securities measured at FVOCI, less the ECL allowance recognized in profit or loss.</w:t>
      </w:r>
    </w:p>
    <w:p>
      <w:pPr>
        <w:spacing w:after="0" w:line="18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50" w:name="page151"/>
    <w:bookmarkEnd w:id="1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42"/>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3.17 Share–based payment transactions</w:t>
      </w:r>
    </w:p>
    <w:p>
      <w:pPr>
        <w:spacing w:after="0" w:line="229"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applies IFRS 2 for share–based payment transactions to account for compensation costs on restricted stock, restricted stock units and stock option plans. Compensation cost is based on the grant date fair value of both stock and options and is recognized over the requisite service period of the employee, using the accelerated method. The fair value of each option is estimated at the grant date using a binomial option-pricing model. When stocks options and restricted stock units vested are exercised, the Bank’s policy is to reissue shares from treasury stock.</w:t>
      </w:r>
    </w:p>
    <w:p>
      <w:pPr>
        <w:spacing w:after="0" w:line="16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3.18 Income taxes</w:t>
      </w:r>
    </w:p>
    <w:p>
      <w:pPr>
        <w:spacing w:after="0" w:line="229"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Current tax assets and liabilities for the current and prior years are measured at the amount expected to be recovered from or paid to the taxation authorities. The tax laws and regulations used to compute the amount are those that are enacted or substantively enacted by the reporting date.</w:t>
      </w:r>
    </w:p>
    <w:p>
      <w:pPr>
        <w:spacing w:after="0" w:line="147" w:lineRule="exact"/>
        <w:rPr>
          <w:sz w:val="20"/>
          <w:szCs w:val="20"/>
          <w:color w:val="auto"/>
        </w:rPr>
      </w:pPr>
    </w:p>
    <w:p>
      <w:pPr>
        <w:ind w:left="1300" w:hanging="320"/>
        <w:spacing w:after="0" w:line="258" w:lineRule="auto"/>
        <w:tabs>
          <w:tab w:leader="none" w:pos="1300" w:val="left"/>
        </w:tabs>
        <w:numPr>
          <w:ilvl w:val="0"/>
          <w:numId w:val="143"/>
        </w:numPr>
        <w:rPr>
          <w:rFonts w:ascii="Arial" w:cs="Arial" w:eastAsia="Arial" w:hAnsi="Arial"/>
          <w:sz w:val="18"/>
          <w:szCs w:val="18"/>
          <w:color w:val="auto"/>
        </w:rPr>
      </w:pPr>
      <w:r>
        <w:rPr>
          <w:rFonts w:ascii="Arial" w:cs="Arial" w:eastAsia="Arial" w:hAnsi="Arial"/>
          <w:sz w:val="18"/>
          <w:szCs w:val="18"/>
          <w:color w:val="auto"/>
        </w:rPr>
        <w:t>Bladex Head Office is exempted from payment of income taxes in Panama in accordance with the contract law signed between the Republic of Panama and Bladex.</w:t>
      </w:r>
    </w:p>
    <w:p>
      <w:pPr>
        <w:spacing w:after="0" w:line="1" w:lineRule="exact"/>
        <w:rPr>
          <w:rFonts w:ascii="Arial" w:cs="Arial" w:eastAsia="Arial" w:hAnsi="Arial"/>
          <w:sz w:val="18"/>
          <w:szCs w:val="18"/>
          <w:color w:val="auto"/>
        </w:rPr>
      </w:pPr>
    </w:p>
    <w:p>
      <w:pPr>
        <w:ind w:left="1300" w:hanging="320"/>
        <w:spacing w:after="0"/>
        <w:tabs>
          <w:tab w:leader="none" w:pos="1300" w:val="left"/>
        </w:tabs>
        <w:numPr>
          <w:ilvl w:val="0"/>
          <w:numId w:val="143"/>
        </w:numPr>
        <w:rPr>
          <w:rFonts w:ascii="Arial" w:cs="Arial" w:eastAsia="Arial" w:hAnsi="Arial"/>
          <w:sz w:val="18"/>
          <w:szCs w:val="18"/>
          <w:color w:val="auto"/>
        </w:rPr>
      </w:pPr>
      <w:r>
        <w:rPr>
          <w:rFonts w:ascii="Arial" w:cs="Arial" w:eastAsia="Arial" w:hAnsi="Arial"/>
          <w:sz w:val="18"/>
          <w:szCs w:val="18"/>
          <w:color w:val="auto"/>
        </w:rPr>
        <w:t>Bladex Representacao Ltda. and Bladex Investimentos Ltda., are subject to income taxes in Brazil.</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143"/>
        </w:numPr>
        <w:rPr>
          <w:rFonts w:ascii="Arial" w:cs="Arial" w:eastAsia="Arial" w:hAnsi="Arial"/>
          <w:sz w:val="18"/>
          <w:szCs w:val="18"/>
          <w:color w:val="auto"/>
        </w:rPr>
      </w:pPr>
      <w:r>
        <w:rPr>
          <w:rFonts w:ascii="Arial" w:cs="Arial" w:eastAsia="Arial" w:hAnsi="Arial"/>
          <w:sz w:val="18"/>
          <w:szCs w:val="18"/>
          <w:color w:val="auto"/>
        </w:rPr>
        <w:t>Bladex Development Corp. is subject to income taxes in Panama.</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143"/>
        </w:numPr>
        <w:rPr>
          <w:rFonts w:ascii="Arial" w:cs="Arial" w:eastAsia="Arial" w:hAnsi="Arial"/>
          <w:sz w:val="18"/>
          <w:szCs w:val="18"/>
          <w:color w:val="auto"/>
        </w:rPr>
      </w:pPr>
      <w:r>
        <w:rPr>
          <w:rFonts w:ascii="Arial" w:cs="Arial" w:eastAsia="Arial" w:hAnsi="Arial"/>
          <w:sz w:val="18"/>
          <w:szCs w:val="18"/>
          <w:color w:val="auto"/>
        </w:rPr>
        <w:t>BLX Soluciones, S.A. de C.V., SOFOM, is subject to income taxes in Mexico.</w:t>
      </w:r>
    </w:p>
    <w:p>
      <w:pPr>
        <w:spacing w:after="0" w:line="9" w:lineRule="exact"/>
        <w:rPr>
          <w:rFonts w:ascii="Arial" w:cs="Arial" w:eastAsia="Arial" w:hAnsi="Arial"/>
          <w:sz w:val="18"/>
          <w:szCs w:val="18"/>
          <w:color w:val="auto"/>
        </w:rPr>
      </w:pPr>
    </w:p>
    <w:p>
      <w:pPr>
        <w:ind w:left="1300" w:hanging="320"/>
        <w:spacing w:after="0" w:line="261" w:lineRule="auto"/>
        <w:tabs>
          <w:tab w:leader="none" w:pos="1300" w:val="left"/>
        </w:tabs>
        <w:numPr>
          <w:ilvl w:val="0"/>
          <w:numId w:val="143"/>
        </w:numPr>
        <w:rPr>
          <w:rFonts w:ascii="Arial" w:cs="Arial" w:eastAsia="Arial" w:hAnsi="Arial"/>
          <w:sz w:val="18"/>
          <w:szCs w:val="18"/>
          <w:color w:val="auto"/>
        </w:rPr>
      </w:pPr>
      <w:r>
        <w:rPr>
          <w:rFonts w:ascii="Arial" w:cs="Arial" w:eastAsia="Arial" w:hAnsi="Arial"/>
          <w:sz w:val="18"/>
          <w:szCs w:val="18"/>
          <w:color w:val="auto"/>
        </w:rPr>
        <w:t>The New York Agency and Bladex Holdings, Inc. incorporated in USA are subject to federal and local taxation in USA based on the portion of income that is effectively connected with its operations in that country.</w:t>
      </w:r>
    </w:p>
    <w:p>
      <w:pPr>
        <w:spacing w:after="0" w:line="180"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Deferred tax</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Deferred tax is calculated based on the liability method, on temporary differences between the carrying amounts of assets and liabilities reported for financial purposes and the amounts used for taxation purposes. The amount of deferred tax is based on the embodiment of assets and liabilities using the rate of income tax in effect on the date of the consolidated statement of financial position.</w:t>
      </w:r>
    </w:p>
    <w:p>
      <w:pPr>
        <w:spacing w:after="0" w:line="17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3.19 Earnings per share</w:t>
      </w:r>
    </w:p>
    <w:p>
      <w:pPr>
        <w:spacing w:after="0" w:line="229"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Basic earnings per share is computed by dividing the profit for the year (the numerator) by the weighted average number of common shares outstanding (the denominator) during the year. Diluted earnings per share measure performance incorporating the effect that potential common shares, such as stock options and restricted stock units outstanding during the same period, would have on net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restricted stock units plans could exercise their options. The number of potential common shares that would be issued is determined using the treasury stock method.</w:t>
      </w:r>
    </w:p>
    <w:p>
      <w:pPr>
        <w:spacing w:after="0" w:line="16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3.20 Treasury shares and contracts on own shares</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own equity instruments of the Bank which are acquired by it or by any of its subsidiaries (treasury shares) are deducted from equity and accounted for at weighted average cost. Consideration paid or received on the purchase, sale, issue or cancellation of the Bank’s own equity instruments is recognized directly in equity.</w:t>
      </w:r>
    </w:p>
    <w:p>
      <w:pPr>
        <w:spacing w:after="0" w:line="181" w:lineRule="exact"/>
        <w:rPr>
          <w:sz w:val="20"/>
          <w:szCs w:val="20"/>
          <w:color w:val="auto"/>
        </w:rPr>
      </w:pPr>
    </w:p>
    <w:p>
      <w:pPr>
        <w:jc w:val="center"/>
        <w:ind w:right="300"/>
        <w:spacing w:after="0"/>
        <w:rPr>
          <w:sz w:val="20"/>
          <w:szCs w:val="20"/>
          <w:color w:val="auto"/>
        </w:rPr>
      </w:pPr>
      <w:r>
        <w:rPr>
          <w:rFonts w:ascii="Arial" w:cs="Arial" w:eastAsia="Arial" w:hAnsi="Arial"/>
          <w:sz w:val="17"/>
          <w:szCs w:val="17"/>
          <w:color w:val="auto"/>
        </w:rPr>
        <w:t>No gain or loss is recognized in the consolidated statement of profit or loss on the purchase, sale, issue or cancellation of own equity instruments.</w:t>
      </w:r>
    </w:p>
    <w:p>
      <w:pPr>
        <w:spacing w:after="0" w:line="23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51" w:name="page152"/>
    <w:bookmarkEnd w:id="1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44"/>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3.21 Segment reporting</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Bank’s segment reporting is based on the following business segments: Commercial, which incorporates the Bank’s core business of financial intermediation and fee generation activities relating to the Bank’s Commercial Portfolio; and Treasury, which is responsible for the Bank’s funding and liquidity management, along with the management of its activities in investment securities, as well as the management of the Bank’s interest rate, liquidity, price, and currency risks.</w:t>
      </w:r>
    </w:p>
    <w:p>
      <w:pPr>
        <w:spacing w:after="0" w:line="18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3.22 Judgments, estimates and significant accounting assumptions</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year. Material estimates that are particularly susceptible to significant changes relate to the determination of the allowances for expected credit losses, impairment of securities, and the fair value of financial instruments. Actual results could differ from those estimates. Management believes these estimates are adequate.</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Judgments</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In the process of applying the Bank’s accounting policies, management has made the following judgments, which have the most significant effect on the amounts recognized in the consolidated financial statements:</w:t>
      </w:r>
    </w:p>
    <w:p>
      <w:pPr>
        <w:spacing w:after="0" w:line="166" w:lineRule="exact"/>
        <w:rPr>
          <w:sz w:val="20"/>
          <w:szCs w:val="20"/>
          <w:color w:val="auto"/>
        </w:rPr>
      </w:pPr>
    </w:p>
    <w:p>
      <w:pPr>
        <w:jc w:val="both"/>
        <w:ind w:left="340"/>
        <w:spacing w:after="0" w:line="274" w:lineRule="auto"/>
        <w:rPr>
          <w:sz w:val="20"/>
          <w:szCs w:val="20"/>
          <w:color w:val="auto"/>
        </w:rPr>
      </w:pPr>
      <w:r>
        <w:rPr>
          <w:rFonts w:ascii="Arial" w:cs="Arial" w:eastAsia="Arial" w:hAnsi="Arial"/>
          <w:sz w:val="17"/>
          <w:szCs w:val="17"/>
          <w:b w:val="1"/>
          <w:bCs w:val="1"/>
          <w:u w:val="single" w:color="auto"/>
          <w:color w:val="auto"/>
        </w:rPr>
        <w:t>Business model assessment</w:t>
      </w:r>
      <w:r>
        <w:rPr>
          <w:rFonts w:ascii="Arial" w:cs="Arial" w:eastAsia="Arial" w:hAnsi="Arial"/>
          <w:sz w:val="17"/>
          <w:szCs w:val="17"/>
          <w:color w:val="auto"/>
        </w:rPr>
        <w:t>: Classification and measurement of financial assets depends on the results of the SPPI and the business model test. The</w:t>
      </w:r>
      <w:r>
        <w:rPr>
          <w:rFonts w:ascii="Arial" w:cs="Arial" w:eastAsia="Arial" w:hAnsi="Arial"/>
          <w:sz w:val="17"/>
          <w:szCs w:val="17"/>
          <w:b w:val="1"/>
          <w:bCs w:val="1"/>
          <w:color w:val="auto"/>
        </w:rPr>
        <w:t xml:space="preserve"> </w:t>
      </w:r>
      <w:r>
        <w:rPr>
          <w:rFonts w:ascii="Arial" w:cs="Arial" w:eastAsia="Arial" w:hAnsi="Arial"/>
          <w:sz w:val="17"/>
          <w:szCs w:val="17"/>
          <w:color w:val="auto"/>
        </w:rPr>
        <w:t>Bank determines the business model at a level that reflects how groups of financial assets are managed together to achieve a particular business objective. This assessment includes judgement reflecting all relevant evidence including how the performance of the assets is evaluated and their performance measured, the risks that affect the performance of the assets and how these are managed. The Group monitors financial assets measured at amortised cost or fair value through other comprehensive income that are derecognised prior to their maturity to understand the reason for their disposal and whether the reasons are consistent with the objective of the business for which the asset was held.</w:t>
      </w:r>
    </w:p>
    <w:p>
      <w:pPr>
        <w:spacing w:after="0" w:line="174" w:lineRule="exact"/>
        <w:rPr>
          <w:sz w:val="20"/>
          <w:szCs w:val="20"/>
          <w:color w:val="auto"/>
        </w:rPr>
      </w:pPr>
    </w:p>
    <w:p>
      <w:pPr>
        <w:jc w:val="both"/>
        <w:ind w:left="340"/>
        <w:spacing w:after="0" w:line="261" w:lineRule="auto"/>
        <w:rPr>
          <w:sz w:val="20"/>
          <w:szCs w:val="20"/>
          <w:color w:val="auto"/>
        </w:rPr>
      </w:pPr>
      <w:r>
        <w:rPr>
          <w:rFonts w:ascii="Arial" w:cs="Arial" w:eastAsia="Arial" w:hAnsi="Arial"/>
          <w:sz w:val="18"/>
          <w:szCs w:val="18"/>
          <w:b w:val="1"/>
          <w:bCs w:val="1"/>
          <w:u w:val="single" w:color="auto"/>
          <w:color w:val="auto"/>
        </w:rPr>
        <w:t>Significant increase of credit risk</w:t>
      </w:r>
      <w:r>
        <w:rPr>
          <w:rFonts w:ascii="Arial" w:cs="Arial" w:eastAsia="Arial" w:hAnsi="Arial"/>
          <w:sz w:val="18"/>
          <w:szCs w:val="18"/>
          <w:color w:val="auto"/>
        </w:rPr>
        <w:t>: For the financial assets in stage 1, ECL are measured as an allowance equal to 12-month ECL for stage 1 assets, or</w:t>
      </w:r>
      <w:r>
        <w:rPr>
          <w:rFonts w:ascii="Arial" w:cs="Arial" w:eastAsia="Arial" w:hAnsi="Arial"/>
          <w:sz w:val="18"/>
          <w:szCs w:val="18"/>
          <w:b w:val="1"/>
          <w:bCs w:val="1"/>
          <w:color w:val="auto"/>
        </w:rPr>
        <w:t xml:space="preserve"> </w:t>
      </w:r>
      <w:r>
        <w:rPr>
          <w:rFonts w:ascii="Arial" w:cs="Arial" w:eastAsia="Arial" w:hAnsi="Arial"/>
          <w:sz w:val="18"/>
          <w:szCs w:val="18"/>
          <w:color w:val="auto"/>
        </w:rPr>
        <w:t>lifetime ECL assets for stage 2 or stage 3 assets. An asset moves to stage 2 when its credit risk has increased significantly since initial recognition. In assessing whether the credit risk of an asset has significantly increased the Bank takes into account qualitative and quantitative reasonable and supportable forward looking information.</w:t>
      </w:r>
    </w:p>
    <w:p>
      <w:pPr>
        <w:spacing w:after="0" w:line="180" w:lineRule="exact"/>
        <w:rPr>
          <w:sz w:val="20"/>
          <w:szCs w:val="20"/>
          <w:color w:val="auto"/>
        </w:rPr>
      </w:pPr>
    </w:p>
    <w:p>
      <w:pPr>
        <w:jc w:val="both"/>
        <w:ind w:left="340"/>
        <w:spacing w:after="0" w:line="282" w:lineRule="auto"/>
        <w:rPr>
          <w:sz w:val="20"/>
          <w:szCs w:val="20"/>
          <w:color w:val="auto"/>
        </w:rPr>
      </w:pPr>
      <w:r>
        <w:rPr>
          <w:rFonts w:ascii="Arial" w:cs="Arial" w:eastAsia="Arial" w:hAnsi="Arial"/>
          <w:sz w:val="18"/>
          <w:szCs w:val="18"/>
          <w:b w:val="1"/>
          <w:bCs w:val="1"/>
          <w:u w:val="single" w:color="auto"/>
          <w:color w:val="auto"/>
        </w:rPr>
        <w:t>Establishing groups of assets with similar credit risk characteristics</w:t>
      </w:r>
      <w:r>
        <w:rPr>
          <w:rFonts w:ascii="Arial" w:cs="Arial" w:eastAsia="Arial" w:hAnsi="Arial"/>
          <w:sz w:val="18"/>
          <w:szCs w:val="18"/>
          <w:color w:val="auto"/>
        </w:rPr>
        <w:t>: When ECLs are measured on a collective basis, the financial instruments are</w:t>
      </w:r>
      <w:r>
        <w:rPr>
          <w:rFonts w:ascii="Arial" w:cs="Arial" w:eastAsia="Arial" w:hAnsi="Arial"/>
          <w:sz w:val="18"/>
          <w:szCs w:val="18"/>
          <w:b w:val="1"/>
          <w:bCs w:val="1"/>
          <w:color w:val="auto"/>
        </w:rPr>
        <w:t xml:space="preserve"> </w:t>
      </w:r>
      <w:r>
        <w:rPr>
          <w:rFonts w:ascii="Arial" w:cs="Arial" w:eastAsia="Arial" w:hAnsi="Arial"/>
          <w:sz w:val="18"/>
          <w:szCs w:val="18"/>
          <w:color w:val="auto"/>
        </w:rPr>
        <w:t>grouped on the basis of shared risk characteristics.</w:t>
      </w:r>
    </w:p>
    <w:p>
      <w:pPr>
        <w:spacing w:after="0" w:line="166"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The Bank monitors the appropriateness of the credit risk characteristics on an ongoing basis to assess whether they continue to be similar. This is required in order to ensure that should credit risk characteristics change there is appropriate re-segmentation of the assets. This may result in new portfolios being created or assets moving to an existing portfolio that better reflects the similar credit risk characteristics of that group of assets. Re-segmentation of portfolios and movement between portfolios is more common when there is a significant increase in credit risk (or when that significant increase reverses) and so assets move from 12-month to lifetime ECLs, or vice versa, but it can also occur within portfolios that continue to be measured on the same basis of 12-month or lifetime ECLs but the amount of ECL changes because the credit risk of the portfolios differ.</w:t>
      </w:r>
    </w:p>
    <w:p>
      <w:pPr>
        <w:spacing w:after="0" w:line="174" w:lineRule="exact"/>
        <w:rPr>
          <w:sz w:val="20"/>
          <w:szCs w:val="20"/>
          <w:color w:val="auto"/>
        </w:rPr>
      </w:pPr>
    </w:p>
    <w:p>
      <w:pPr>
        <w:jc w:val="both"/>
        <w:ind w:left="340"/>
        <w:spacing w:after="0" w:line="266" w:lineRule="auto"/>
        <w:rPr>
          <w:sz w:val="20"/>
          <w:szCs w:val="20"/>
          <w:color w:val="auto"/>
        </w:rPr>
      </w:pPr>
      <w:r>
        <w:rPr>
          <w:rFonts w:ascii="Arial" w:cs="Arial" w:eastAsia="Arial" w:hAnsi="Arial"/>
          <w:sz w:val="18"/>
          <w:szCs w:val="18"/>
          <w:b w:val="1"/>
          <w:bCs w:val="1"/>
          <w:u w:val="single" w:color="auto"/>
          <w:color w:val="auto"/>
        </w:rPr>
        <w:t>Models and assumptions used</w:t>
      </w:r>
      <w:r>
        <w:rPr>
          <w:rFonts w:ascii="Arial" w:cs="Arial" w:eastAsia="Arial" w:hAnsi="Arial"/>
          <w:sz w:val="18"/>
          <w:szCs w:val="18"/>
          <w:color w:val="auto"/>
        </w:rPr>
        <w:t>: The Bank uses various models and assumptions in measuring fair value of financial assets as well as in estimating ECL.</w:t>
      </w:r>
      <w:r>
        <w:rPr>
          <w:rFonts w:ascii="Arial" w:cs="Arial" w:eastAsia="Arial" w:hAnsi="Arial"/>
          <w:sz w:val="18"/>
          <w:szCs w:val="18"/>
          <w:b w:val="1"/>
          <w:bCs w:val="1"/>
          <w:color w:val="auto"/>
        </w:rPr>
        <w:t xml:space="preserve"> </w:t>
      </w:r>
      <w:r>
        <w:rPr>
          <w:rFonts w:ascii="Arial" w:cs="Arial" w:eastAsia="Arial" w:hAnsi="Arial"/>
          <w:sz w:val="18"/>
          <w:szCs w:val="18"/>
          <w:color w:val="auto"/>
        </w:rPr>
        <w:t>Judgement is applied in identifying the most appropriate model for each type of asset, as well as for determining the assumptions used in these models, including assumptions that relate to key drivers of credit risk.</w:t>
      </w:r>
    </w:p>
    <w:p>
      <w:pPr>
        <w:spacing w:after="0" w:line="18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52" w:name="page153"/>
    <w:bookmarkEnd w:id="1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45"/>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3.22 Judgments, estimates and significant accounting assumptions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Fair value measurement</w:t>
      </w:r>
    </w:p>
    <w:p>
      <w:pPr>
        <w:spacing w:after="0" w:line="229"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When the fair values of financial assets and financial liabilities recorded on the consolidated statement of financial position cannot be derived from active markets, they are determined using a variety of valuation techniques that include the use of mathematical models. The inputs to these models are derived from observable market data where possible, but if this is not available, judgment is required to establish fair values. The judgments include considerations of liquidity and model inputs such as volatility for longer–dated derivatives and discount rates, prepayment rates and default rate assumptions for asset-backed securities. The valuation of financial instruments is described in more detail in Note 18.</w:t>
      </w:r>
    </w:p>
    <w:p>
      <w:pPr>
        <w:spacing w:after="0" w:line="169"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Estimates and assumptions</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key assumptions concerning the future and other key sources of estimating uncertainty at the reporting date, that have a significant risk of causing a material adjustment to the carrying amounts of assets and liabilities within the next financial year, are described below. The Bank based its assumptions and estimates on parameters available when the consolidated financial statements were prepared. Existing circumstances and assumptions about future developments; however, may change due to market changes or circumstances beyond the control of the Bank. Such changes are reflected in the assumptions when they occur.</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Going concern</w:t>
      </w:r>
    </w:p>
    <w:p>
      <w:pPr>
        <w:spacing w:after="0" w:line="229" w:lineRule="exact"/>
        <w:rPr>
          <w:sz w:val="20"/>
          <w:szCs w:val="20"/>
          <w:color w:val="auto"/>
        </w:rPr>
      </w:pPr>
    </w:p>
    <w:p>
      <w:pPr>
        <w:jc w:val="both"/>
        <w:ind w:left="340"/>
        <w:spacing w:after="0" w:line="312" w:lineRule="auto"/>
        <w:rPr>
          <w:sz w:val="20"/>
          <w:szCs w:val="20"/>
          <w:color w:val="auto"/>
        </w:rPr>
      </w:pPr>
      <w:r>
        <w:rPr>
          <w:rFonts w:ascii="Arial" w:cs="Arial" w:eastAsia="Arial" w:hAnsi="Arial"/>
          <w:sz w:val="16"/>
          <w:szCs w:val="16"/>
          <w:color w:val="auto"/>
        </w:rPr>
        <w:t>The Bank’s management has made an assessment of its ability to continue as a going concern and is satisfied that it has the resources to continue in business for the foreseeable future. Furthermore, management is not aware of any material uncertainties that may cast significant doubt upon the Bank’s ability to continue as a going concern. Therefore, the consolidated financial statements continue to be prepared on a going concern basis.</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Impairment losses on loans at amortized cost</w:t>
      </w:r>
    </w:p>
    <w:p>
      <w:pPr>
        <w:spacing w:after="0" w:line="229"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The Bank reviews its individually significant loans at amortized cost at each consolidated statement of financial position date to assess whether an impairment loss should be recorded in the consolidated statement of profit or loss. In particular, management’s judgment is required in the estimation of the amount and timing of future cash flows when determining the impairment loss. These estimates are based on assumptions about a number of factors and actual results may differ, resulting in future changes to the allowance. Loans at amortized cost that have been assessed individually (and found not to be impaired) are assessed together with all individually insignificant loans and advances in groups of assets with similar risk characteristics.</w:t>
      </w:r>
    </w:p>
    <w:p>
      <w:pPr>
        <w:spacing w:after="0" w:line="158"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This is to determine whether provision should be made due to incurred loss events for which there is objective evidence, but the effects of which are not yet evident. The collective assessment takes account of data from the loan portfolio (such as levels of arrears, credit utilization, loan-to-collateral ratios, etc.), and judgments on the effect of concentrations of risks and economic data (including levels of unemployment, real estate prices indices, country risk and the performance of different individual groups).</w:t>
      </w:r>
    </w:p>
    <w:p>
      <w:pPr>
        <w:spacing w:after="0" w:line="183"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Impairment of investments securities measured at fair value through OCI and investment securities at amortized cost</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 reviews its debt securities classified as investments at fair value through OCI and investments at amortized cost at each reporting date to assess whether they are impaired. This requires similar judgment as applied to the individual assessment of the investment securities. The Bank records impairment charges when there has been a significant or prolonged decline in the fair value below their cost. The determination of what is ‘significant’ or ‘prolonged’ requires judgment. In making this judgment, the Bank evaluates, among other factors, historical price movements and duration and extent to which the fair value of an investment is less than its cost.</w:t>
      </w:r>
    </w:p>
    <w:p>
      <w:pPr>
        <w:spacing w:after="0" w:line="1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53" w:name="page154"/>
    <w:bookmarkEnd w:id="1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46"/>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3.23 Future changes in applicable accounting policies</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standards and interpretations that are issued, but not yet effective, up to the date of issuance of the consolidated financial statements are disclosed below. The Bank intends to adopt these standards, if applicable, when they become effective.</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Amendments to IFRS 2 Classification and Measurement of Share-based Payment Transactions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amendments clarify the following:</w:t>
      </w:r>
    </w:p>
    <w:p>
      <w:pPr>
        <w:spacing w:after="0" w:line="225" w:lineRule="exact"/>
        <w:rPr>
          <w:sz w:val="20"/>
          <w:szCs w:val="20"/>
          <w:color w:val="auto"/>
        </w:rPr>
      </w:pPr>
    </w:p>
    <w:p>
      <w:pPr>
        <w:ind w:left="660" w:hanging="328"/>
        <w:spacing w:after="0" w:line="277" w:lineRule="auto"/>
        <w:tabs>
          <w:tab w:leader="none" w:pos="660" w:val="left"/>
        </w:tabs>
        <w:numPr>
          <w:ilvl w:val="0"/>
          <w:numId w:val="147"/>
        </w:numPr>
        <w:rPr>
          <w:rFonts w:ascii="Arial" w:cs="Arial" w:eastAsia="Arial" w:hAnsi="Arial"/>
          <w:sz w:val="18"/>
          <w:szCs w:val="18"/>
          <w:color w:val="auto"/>
        </w:rPr>
      </w:pPr>
      <w:r>
        <w:rPr>
          <w:rFonts w:ascii="Arial" w:cs="Arial" w:eastAsia="Arial" w:hAnsi="Arial"/>
          <w:sz w:val="18"/>
          <w:szCs w:val="18"/>
          <w:color w:val="auto"/>
        </w:rPr>
        <w:t>In estimating the fair value of a cash-settled share-based payment, the accounting for the effects of vesting and non-vesting conditions should follow the same approach as for equity-settled share-based payments.</w:t>
      </w:r>
    </w:p>
    <w:p>
      <w:pPr>
        <w:spacing w:after="0" w:line="170"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0"/>
          <w:numId w:val="147"/>
        </w:numPr>
        <w:rPr>
          <w:rFonts w:ascii="Arial" w:cs="Arial" w:eastAsia="Arial" w:hAnsi="Arial"/>
          <w:sz w:val="18"/>
          <w:szCs w:val="18"/>
          <w:color w:val="auto"/>
        </w:rPr>
      </w:pPr>
      <w:r>
        <w:rPr>
          <w:rFonts w:ascii="Arial" w:cs="Arial" w:eastAsia="Arial" w:hAnsi="Arial"/>
          <w:sz w:val="18"/>
          <w:szCs w:val="18"/>
          <w:color w:val="auto"/>
        </w:rPr>
        <w:t>Where tax law or regulation requires an entity to withhold a specified number of equity instruments equal to the monetary value of the employee´s tax obligation to meet the employee´s tax liability which is then remitted to the tax authority, i.e the share-based payment arrangement has a net settlement feature, such as arrangement should be classified as equity-settled in its entirely, provided that the share-based payment would have been classified as equity-settled had it not included the net settlement feature.</w:t>
      </w:r>
    </w:p>
    <w:p>
      <w:pPr>
        <w:spacing w:after="0" w:line="186" w:lineRule="exact"/>
        <w:rPr>
          <w:rFonts w:ascii="Arial" w:cs="Arial" w:eastAsia="Arial" w:hAnsi="Arial"/>
          <w:sz w:val="18"/>
          <w:szCs w:val="18"/>
          <w:color w:val="auto"/>
        </w:rPr>
      </w:pPr>
    </w:p>
    <w:p>
      <w:pPr>
        <w:ind w:left="660" w:hanging="328"/>
        <w:spacing w:after="0"/>
        <w:tabs>
          <w:tab w:leader="none" w:pos="660" w:val="left"/>
        </w:tabs>
        <w:numPr>
          <w:ilvl w:val="0"/>
          <w:numId w:val="147"/>
        </w:numPr>
        <w:rPr>
          <w:rFonts w:ascii="Arial" w:cs="Arial" w:eastAsia="Arial" w:hAnsi="Arial"/>
          <w:sz w:val="17"/>
          <w:szCs w:val="17"/>
          <w:color w:val="auto"/>
        </w:rPr>
      </w:pPr>
      <w:r>
        <w:rPr>
          <w:rFonts w:ascii="Arial" w:cs="Arial" w:eastAsia="Arial" w:hAnsi="Arial"/>
          <w:sz w:val="17"/>
          <w:szCs w:val="17"/>
          <w:color w:val="auto"/>
        </w:rPr>
        <w:t>A modification of a share-based payment that changes the transaction from cash-settled to equity-settled should be accounted for as follows:</w:t>
      </w:r>
    </w:p>
    <w:p>
      <w:pPr>
        <w:spacing w:after="0" w:line="236" w:lineRule="exact"/>
        <w:rPr>
          <w:rFonts w:ascii="Arial" w:cs="Arial" w:eastAsia="Arial" w:hAnsi="Arial"/>
          <w:sz w:val="17"/>
          <w:szCs w:val="17"/>
          <w:color w:val="auto"/>
        </w:rPr>
      </w:pPr>
    </w:p>
    <w:p>
      <w:pPr>
        <w:ind w:left="1300" w:hanging="320"/>
        <w:spacing w:after="0"/>
        <w:tabs>
          <w:tab w:leader="none" w:pos="1300" w:val="left"/>
        </w:tabs>
        <w:numPr>
          <w:ilvl w:val="1"/>
          <w:numId w:val="147"/>
        </w:numPr>
        <w:rPr>
          <w:rFonts w:ascii="Arial" w:cs="Arial" w:eastAsia="Arial" w:hAnsi="Arial"/>
          <w:sz w:val="18"/>
          <w:szCs w:val="18"/>
          <w:color w:val="auto"/>
        </w:rPr>
      </w:pPr>
      <w:r>
        <w:rPr>
          <w:rFonts w:ascii="Arial" w:cs="Arial" w:eastAsia="Arial" w:hAnsi="Arial"/>
          <w:sz w:val="18"/>
          <w:szCs w:val="18"/>
          <w:color w:val="auto"/>
        </w:rPr>
        <w:t>The original liability is de-recognized;</w:t>
      </w:r>
    </w:p>
    <w:p>
      <w:pPr>
        <w:spacing w:after="0" w:line="23" w:lineRule="exact"/>
        <w:rPr>
          <w:rFonts w:ascii="Arial" w:cs="Arial" w:eastAsia="Arial" w:hAnsi="Arial"/>
          <w:sz w:val="18"/>
          <w:szCs w:val="18"/>
          <w:color w:val="auto"/>
        </w:rPr>
      </w:pPr>
    </w:p>
    <w:p>
      <w:pPr>
        <w:ind w:left="1300" w:hanging="320"/>
        <w:spacing w:after="0" w:line="250" w:lineRule="auto"/>
        <w:tabs>
          <w:tab w:leader="none" w:pos="1300" w:val="left"/>
        </w:tabs>
        <w:numPr>
          <w:ilvl w:val="1"/>
          <w:numId w:val="147"/>
        </w:numPr>
        <w:rPr>
          <w:rFonts w:ascii="Arial" w:cs="Arial" w:eastAsia="Arial" w:hAnsi="Arial"/>
          <w:sz w:val="18"/>
          <w:szCs w:val="18"/>
          <w:color w:val="auto"/>
        </w:rPr>
      </w:pPr>
      <w:r>
        <w:rPr>
          <w:rFonts w:ascii="Arial" w:cs="Arial" w:eastAsia="Arial" w:hAnsi="Arial"/>
          <w:sz w:val="18"/>
          <w:szCs w:val="18"/>
          <w:color w:val="auto"/>
        </w:rPr>
        <w:t>The equity-settled share-based payment is recognized at the modification date fair value of the equity instrument granted to the extent that services have been rendered up to the modification date; and</w:t>
      </w:r>
    </w:p>
    <w:p>
      <w:pPr>
        <w:ind w:left="1300" w:right="20" w:hanging="320"/>
        <w:spacing w:after="0" w:line="261" w:lineRule="auto"/>
        <w:tabs>
          <w:tab w:leader="none" w:pos="1300" w:val="left"/>
        </w:tabs>
        <w:numPr>
          <w:ilvl w:val="1"/>
          <w:numId w:val="147"/>
        </w:numPr>
        <w:rPr>
          <w:rFonts w:ascii="Arial" w:cs="Arial" w:eastAsia="Arial" w:hAnsi="Arial"/>
          <w:sz w:val="18"/>
          <w:szCs w:val="18"/>
          <w:color w:val="auto"/>
        </w:rPr>
      </w:pPr>
      <w:r>
        <w:rPr>
          <w:rFonts w:ascii="Arial" w:cs="Arial" w:eastAsia="Arial" w:hAnsi="Arial"/>
          <w:sz w:val="18"/>
          <w:szCs w:val="18"/>
          <w:color w:val="auto"/>
        </w:rPr>
        <w:t>Any difference between the carrying amount of the liability at the modification date and the amount recognized in equity should be recognized in profit or loss immediately.</w:t>
      </w:r>
    </w:p>
    <w:p>
      <w:pPr>
        <w:spacing w:after="0" w:line="184"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 amendments are effective for annual reporting periods beginning on or after 1 January 2018 with earlier application permitted. The Bank is evaluating this new standard in its consolidated financial statements and does not anticipate material impacts on the adoption of said standard.</w:t>
      </w:r>
    </w:p>
    <w:p>
      <w:pPr>
        <w:spacing w:after="0" w:line="14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IFRS 15 Revenue from Contracts with Customers</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IFRS 15 was issued in May 2014 and establishes a five-step model to account for revenue arising from contracts with customers. Under IFRS 15, revenue is recognized at an amount that reflects the consideration to which an entity expects to be entitled in exchange for transferring goods or services to a customer.</w:t>
      </w:r>
    </w:p>
    <w:p>
      <w:pPr>
        <w:spacing w:after="0" w:line="181" w:lineRule="exact"/>
        <w:rPr>
          <w:sz w:val="20"/>
          <w:szCs w:val="20"/>
          <w:color w:val="auto"/>
        </w:rPr>
      </w:pPr>
    </w:p>
    <w:p>
      <w:pPr>
        <w:jc w:val="both"/>
        <w:ind w:left="340"/>
        <w:spacing w:after="0" w:line="312" w:lineRule="auto"/>
        <w:rPr>
          <w:sz w:val="20"/>
          <w:szCs w:val="20"/>
          <w:color w:val="auto"/>
        </w:rPr>
      </w:pPr>
      <w:r>
        <w:rPr>
          <w:rFonts w:ascii="Arial" w:cs="Arial" w:eastAsia="Arial" w:hAnsi="Arial"/>
          <w:sz w:val="16"/>
          <w:szCs w:val="16"/>
          <w:color w:val="222222"/>
        </w:rPr>
        <w:t>The new revenue standard will replace all current requirements for revenue recognition under IFRS. Either a full retroactive application or a modified retroactive application is required for annual periods beginning on or after January 1, 2018. Early application is allowed. The Bank plans to adopt the new standard on the effective date required and, if any impact is identified, it will use a modified retroactive method in its initial application.</w:t>
      </w:r>
    </w:p>
    <w:p>
      <w:pPr>
        <w:spacing w:after="0" w:line="14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222222"/>
        </w:rPr>
        <w:t>During 2017, the Bank performed the preliminary assessment of the five steps for all credit products and does not anticipate material impacts on the adoption of this standard.</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154" w:name="page155"/>
    <w:bookmarkEnd w:id="1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60" w:hanging="317"/>
        <w:spacing w:after="0"/>
        <w:tabs>
          <w:tab w:leader="none" w:pos="460" w:val="left"/>
        </w:tabs>
        <w:numPr>
          <w:ilvl w:val="0"/>
          <w:numId w:val="148"/>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3.23 Future changes in applicable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IFRS 16 Leases</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IFRS 16 was issued in January 2016 and sets out the principles for the recognition, measurement, presentation and disclosure of leases. The objective is to ensure that lessees and lessors provide relevant information in a manner that faithfully represents those transactions. IFRS 16 introduces a single lessee accounting model and requires a lessee to recognize assets and liabilities for all leases with a term of more than 12 months, unless the underlying asset is of low value.</w:t>
      </w:r>
    </w:p>
    <w:p>
      <w:pPr>
        <w:spacing w:after="0" w:line="187"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IFRS 16 is effective for annual periods beginning on or after January 1, 2019. Earlier application is permitted for entities that apply IFRS 15 Revenue from Contracts with Customers at or before the date of initial application of IFRS 16. IFRS 16 supersedes IAS 17 – Leases. The Bank is evaluating the potential impact of this new standard in its consolidated financial statements.</w:t>
      </w:r>
    </w:p>
    <w:p>
      <w:pPr>
        <w:spacing w:after="0" w:line="17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IFRIC 22 Foreign Currency Transactions and Advance Consideration</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On 8 December 2016, the IFRS interpretations Committee of the International Accounting Standards Boards (IASB) issued IFRS Interpretation, IFRIC 22, Foreign Currency Transactions and Advance Considerations.</w:t>
      </w:r>
    </w:p>
    <w:p>
      <w:pPr>
        <w:spacing w:after="0" w:line="170"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IFRIC 22 addresses how to determine the “date of transaction” for the purpose of determining the exchange rate to use on initial recognition of an asset, expense or income, when consideration for the item has been paid or received in advance in a foreign currency which resulted in the recognition of a non-monetary asset or non-monetary liability.</w:t>
      </w:r>
    </w:p>
    <w:p>
      <w:pPr>
        <w:spacing w:after="0" w:line="18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Interpretation specifies that the date of transactions is the date on which the entity initially recognizes the non-monetary asset or non-monetary liability arising from the payment or receipt of advance consideration. If there are multiple payments or receipts in advance, the Interpretation requires an entity to determine the date of transaction for each payment or receipt advance consideration.</w:t>
      </w:r>
    </w:p>
    <w:p>
      <w:pPr>
        <w:spacing w:after="0" w:line="18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Interpretation is effective for annual periods beginning on or 1 January 2018 with earlier application permitted. The Bank is evaluating this new standard in its consolidated financial statements and does not anticipate material impacts on the adoption of said standard.</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155" w:name="page156"/>
    <w:bookmarkEnd w:id="1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300" w:type="dxa"/>
        <w:tblCellMar>
          <w:top w:w="0" w:type="dxa"/>
          <w:left w:w="0" w:type="dxa"/>
          <w:bottom w:w="0" w:type="dxa"/>
          <w:right w:w="0" w:type="dxa"/>
        </w:tblCellMar>
      </w:tblPr>
      <w:tr>
        <w:trPr>
          <w:trHeight w:val="234"/>
        </w:trPr>
        <w:tc>
          <w:tcPr>
            <w:tcW w:w="8040" w:type="dxa"/>
            <w:vAlign w:val="bottom"/>
            <w:gridSpan w:val="2"/>
          </w:tcPr>
          <w:p>
            <w:pPr>
              <w:spacing w:after="0"/>
              <w:rPr>
                <w:sz w:val="20"/>
                <w:szCs w:val="20"/>
                <w:color w:val="auto"/>
              </w:rPr>
            </w:pPr>
            <w:r>
              <w:rPr>
                <w:rFonts w:ascii="Arial" w:cs="Arial" w:eastAsia="Arial" w:hAnsi="Arial"/>
                <w:sz w:val="18"/>
                <w:szCs w:val="18"/>
                <w:b w:val="1"/>
                <w:bCs w:val="1"/>
                <w:color w:val="auto"/>
              </w:rPr>
              <w:t>4.  Cash and cash equivalents</w:t>
            </w:r>
          </w:p>
        </w:tc>
        <w:tc>
          <w:tcPr>
            <w:tcW w:w="13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40" w:type="dxa"/>
            <w:vAlign w:val="bottom"/>
          </w:tcPr>
          <w:p>
            <w:pPr>
              <w:spacing w:after="0"/>
              <w:rPr>
                <w:sz w:val="24"/>
                <w:szCs w:val="24"/>
                <w:color w:val="auto"/>
              </w:rPr>
            </w:pPr>
          </w:p>
        </w:tc>
        <w:tc>
          <w:tcPr>
            <w:tcW w:w="8000" w:type="dxa"/>
            <w:vAlign w:val="bottom"/>
          </w:tcPr>
          <w:p>
            <w:pPr>
              <w:spacing w:after="0"/>
              <w:rPr>
                <w:sz w:val="24"/>
                <w:szCs w:val="24"/>
                <w:color w:val="auto"/>
              </w:rPr>
            </w:pPr>
          </w:p>
        </w:tc>
        <w:tc>
          <w:tcPr>
            <w:tcW w:w="152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c>
          <w:tcPr>
            <w:tcW w:w="142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40" w:type="dxa"/>
            <w:vAlign w:val="bottom"/>
          </w:tcPr>
          <w:p>
            <w:pPr>
              <w:spacing w:after="0"/>
              <w:rPr>
                <w:sz w:val="20"/>
                <w:szCs w:val="20"/>
                <w:color w:val="auto"/>
              </w:rPr>
            </w:pPr>
          </w:p>
        </w:tc>
        <w:tc>
          <w:tcPr>
            <w:tcW w:w="8000" w:type="dxa"/>
            <w:vAlign w:val="bottom"/>
          </w:tcPr>
          <w:p>
            <w:pPr>
              <w:spacing w:after="0"/>
              <w:rPr>
                <w:sz w:val="20"/>
                <w:szCs w:val="20"/>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2017</w:t>
            </w:r>
          </w:p>
        </w:tc>
        <w:tc>
          <w:tcPr>
            <w:tcW w:w="200" w:type="dxa"/>
            <w:vAlign w:val="bottom"/>
          </w:tcPr>
          <w:p>
            <w:pPr>
              <w:spacing w:after="0"/>
              <w:rPr>
                <w:sz w:val="20"/>
                <w:szCs w:val="20"/>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r>
      <w:tr>
        <w:trPr>
          <w:trHeight w:val="210"/>
        </w:trPr>
        <w:tc>
          <w:tcPr>
            <w:tcW w:w="40" w:type="dxa"/>
            <w:vAlign w:val="bottom"/>
          </w:tcPr>
          <w:p>
            <w:pPr>
              <w:spacing w:after="0"/>
              <w:rPr>
                <w:sz w:val="18"/>
                <w:szCs w:val="18"/>
                <w:color w:val="auto"/>
              </w:rPr>
            </w:pPr>
          </w:p>
        </w:tc>
        <w:tc>
          <w:tcPr>
            <w:tcW w:w="80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0" w:type="dxa"/>
            <w:vAlign w:val="bottom"/>
          </w:tcPr>
          <w:p>
            <w:pPr>
              <w:spacing w:after="0"/>
              <w:rPr>
                <w:sz w:val="18"/>
                <w:szCs w:val="18"/>
                <w:color w:val="auto"/>
              </w:rPr>
            </w:pPr>
          </w:p>
        </w:tc>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11,032</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89,656</w:t>
            </w:r>
          </w:p>
        </w:tc>
      </w:tr>
      <w:tr>
        <w:trPr>
          <w:trHeight w:val="230"/>
        </w:trPr>
        <w:tc>
          <w:tcPr>
            <w:tcW w:w="40" w:type="dxa"/>
            <w:vAlign w:val="bottom"/>
          </w:tcPr>
          <w:p>
            <w:pPr>
              <w:spacing w:after="0"/>
              <w:rPr>
                <w:sz w:val="19"/>
                <w:szCs w:val="19"/>
                <w:color w:val="auto"/>
              </w:rPr>
            </w:pPr>
          </w:p>
        </w:tc>
        <w:tc>
          <w:tcPr>
            <w:tcW w:w="800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661,016</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979,882</w:t>
            </w:r>
          </w:p>
        </w:tc>
      </w:tr>
      <w:tr>
        <w:trPr>
          <w:trHeight w:val="210"/>
        </w:trPr>
        <w:tc>
          <w:tcPr>
            <w:tcW w:w="40" w:type="dxa"/>
            <w:vAlign w:val="bottom"/>
          </w:tcPr>
          <w:p>
            <w:pPr>
              <w:spacing w:after="0"/>
              <w:rPr>
                <w:sz w:val="18"/>
                <w:szCs w:val="18"/>
                <w:color w:val="auto"/>
              </w:rPr>
            </w:pPr>
          </w:p>
        </w:tc>
        <w:tc>
          <w:tcPr>
            <w:tcW w:w="8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672,048</w:t>
            </w:r>
          </w:p>
        </w:tc>
        <w:tc>
          <w:tcPr>
            <w:tcW w:w="2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1,069,538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0" w:type="dxa"/>
            <w:vAlign w:val="bottom"/>
          </w:tcPr>
          <w:p>
            <w:pPr>
              <w:spacing w:after="0"/>
              <w:rPr>
                <w:sz w:val="18"/>
                <w:szCs w:val="18"/>
                <w:color w:val="auto"/>
              </w:rPr>
            </w:pPr>
          </w:p>
        </w:tc>
        <w:tc>
          <w:tcPr>
            <w:tcW w:w="80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0" w:type="dxa"/>
            <w:vAlign w:val="bottom"/>
          </w:tcPr>
          <w:p>
            <w:pPr>
              <w:spacing w:after="0"/>
              <w:rPr>
                <w:sz w:val="18"/>
                <w:szCs w:val="18"/>
                <w:color w:val="auto"/>
              </w:rPr>
            </w:pPr>
          </w:p>
        </w:tc>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3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40" w:type="dxa"/>
            <w:vAlign w:val="bottom"/>
          </w:tcPr>
          <w:p>
            <w:pPr>
              <w:spacing w:after="0"/>
              <w:rPr>
                <w:sz w:val="19"/>
                <w:szCs w:val="19"/>
                <w:color w:val="auto"/>
              </w:rPr>
            </w:pPr>
          </w:p>
        </w:tc>
        <w:tc>
          <w:tcPr>
            <w:tcW w:w="8000" w:type="dxa"/>
            <w:vAlign w:val="bottom"/>
          </w:tcPr>
          <w:p>
            <w:pPr>
              <w:spacing w:after="0"/>
              <w:rPr>
                <w:sz w:val="20"/>
                <w:szCs w:val="20"/>
                <w:color w:val="auto"/>
              </w:rPr>
            </w:pPr>
            <w:r>
              <w:rPr>
                <w:rFonts w:ascii="Arial" w:cs="Arial" w:eastAsia="Arial" w:hAnsi="Arial"/>
                <w:sz w:val="18"/>
                <w:szCs w:val="18"/>
                <w:color w:val="auto"/>
              </w:rPr>
              <w:t>Pledged deposits</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53,241</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61,812</w:t>
            </w:r>
          </w:p>
        </w:tc>
      </w:tr>
      <w:tr>
        <w:trPr>
          <w:trHeight w:val="223"/>
        </w:trPr>
        <w:tc>
          <w:tcPr>
            <w:tcW w:w="40" w:type="dxa"/>
            <w:vAlign w:val="bottom"/>
          </w:tcPr>
          <w:p>
            <w:pPr>
              <w:spacing w:after="0"/>
              <w:rPr>
                <w:sz w:val="19"/>
                <w:szCs w:val="19"/>
                <w:color w:val="auto"/>
              </w:rPr>
            </w:pPr>
          </w:p>
        </w:tc>
        <w:tc>
          <w:tcPr>
            <w:tcW w:w="80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618,807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1,007,726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0" w:type="dxa"/>
            <w:vAlign w:val="bottom"/>
          </w:tcPr>
          <w:p>
            <w:pPr>
              <w:spacing w:after="0" w:line="20" w:lineRule="exact"/>
              <w:rPr>
                <w:sz w:val="1"/>
                <w:szCs w:val="1"/>
                <w:color w:val="auto"/>
              </w:rPr>
            </w:pPr>
          </w:p>
        </w:tc>
        <w:tc>
          <w:tcPr>
            <w:tcW w:w="80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details on interest-bearing deposits in banks and pledged deposits:</w:t>
      </w:r>
    </w:p>
    <w:p>
      <w:pPr>
        <w:sectPr>
          <w:pgSz w:w="11900" w:h="16838" w:orient="portrait"/>
          <w:cols w:equalWidth="0" w:num="1">
            <w:col w:w="11420"/>
          </w:cols>
          <w:pgMar w:left="240" w:top="688"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340"/>
        <w:spacing w:after="0"/>
        <w:rPr>
          <w:sz w:val="20"/>
          <w:szCs w:val="20"/>
          <w:color w:val="auto"/>
        </w:rPr>
      </w:pPr>
      <w:r>
        <w:rPr>
          <w:rFonts w:ascii="Arial" w:cs="Arial" w:eastAsia="Arial" w:hAnsi="Arial"/>
          <w:sz w:val="16"/>
          <w:szCs w:val="16"/>
          <w:b w:val="1"/>
          <w:bCs w:val="1"/>
          <w:color w:val="auto"/>
        </w:rPr>
        <w:t>Interest-bearing deposits in banks:</w:t>
      </w:r>
    </w:p>
    <w:p>
      <w:pPr>
        <w:ind w:left="500"/>
        <w:spacing w:after="0" w:line="214" w:lineRule="auto"/>
        <w:rPr>
          <w:sz w:val="20"/>
          <w:szCs w:val="20"/>
          <w:color w:val="auto"/>
        </w:rPr>
      </w:pPr>
      <w:r>
        <w:rPr>
          <w:rFonts w:ascii="Arial" w:cs="Arial" w:eastAsia="Arial" w:hAnsi="Arial"/>
          <w:sz w:val="18"/>
          <w:szCs w:val="18"/>
          <w:color w:val="auto"/>
        </w:rPr>
        <w:t>Demand deposits</w:t>
      </w:r>
      <w:r>
        <w:rPr>
          <w:rFonts w:ascii="Arial" w:cs="Arial" w:eastAsia="Arial" w:hAnsi="Arial"/>
          <w:sz w:val="30"/>
          <w:szCs w:val="30"/>
          <w:color w:val="auto"/>
          <w:vertAlign w:val="superscript"/>
        </w:rPr>
        <w:t>(1)</w:t>
      </w:r>
    </w:p>
    <w:p>
      <w:pPr>
        <w:ind w:left="500"/>
        <w:spacing w:after="0" w:line="188" w:lineRule="auto"/>
        <w:rPr>
          <w:sz w:val="20"/>
          <w:szCs w:val="20"/>
          <w:color w:val="auto"/>
        </w:rPr>
      </w:pPr>
      <w:r>
        <w:rPr>
          <w:rFonts w:ascii="Arial" w:cs="Arial" w:eastAsia="Arial" w:hAnsi="Arial"/>
          <w:sz w:val="18"/>
          <w:szCs w:val="18"/>
          <w:color w:val="auto"/>
        </w:rPr>
        <w:t>Time deposits</w:t>
      </w:r>
      <w:r>
        <w:rPr>
          <w:rFonts w:ascii="Arial" w:cs="Arial" w:eastAsia="Arial" w:hAnsi="Arial"/>
          <w:sz w:val="30"/>
          <w:szCs w:val="30"/>
          <w:color w:val="auto"/>
          <w:vertAlign w:val="superscript"/>
        </w:rPr>
        <w:t>(2)</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7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Pledged deposits:</w:t>
      </w:r>
    </w:p>
    <w:p>
      <w:pPr>
        <w:ind w:left="500"/>
        <w:spacing w:after="0" w:line="198" w:lineRule="auto"/>
        <w:rPr>
          <w:sz w:val="20"/>
          <w:szCs w:val="20"/>
          <w:color w:val="auto"/>
        </w:rPr>
      </w:pPr>
      <w:r>
        <w:rPr>
          <w:rFonts w:ascii="Arial" w:cs="Arial" w:eastAsia="Arial" w:hAnsi="Arial"/>
          <w:sz w:val="18"/>
          <w:szCs w:val="18"/>
          <w:color w:val="auto"/>
        </w:rPr>
        <w:t>New York</w:t>
      </w:r>
      <w:r>
        <w:rPr>
          <w:rFonts w:ascii="Arial" w:cs="Arial" w:eastAsia="Arial" w:hAnsi="Arial"/>
          <w:sz w:val="30"/>
          <w:szCs w:val="30"/>
          <w:color w:val="auto"/>
          <w:vertAlign w:val="superscript"/>
        </w:rPr>
        <w:t>(3)</w:t>
      </w:r>
    </w:p>
    <w:p>
      <w:pPr>
        <w:ind w:left="500"/>
        <w:spacing w:after="0" w:line="188" w:lineRule="auto"/>
        <w:rPr>
          <w:sz w:val="20"/>
          <w:szCs w:val="20"/>
          <w:color w:val="auto"/>
        </w:rPr>
      </w:pPr>
      <w:r>
        <w:rPr>
          <w:rFonts w:ascii="Arial" w:cs="Arial" w:eastAsia="Arial" w:hAnsi="Arial"/>
          <w:sz w:val="18"/>
          <w:szCs w:val="18"/>
          <w:color w:val="auto"/>
        </w:rPr>
        <w:t>Panama</w:t>
      </w:r>
      <w:r>
        <w:rPr>
          <w:rFonts w:ascii="Arial" w:cs="Arial" w:eastAsia="Arial" w:hAnsi="Arial"/>
          <w:sz w:val="30"/>
          <w:szCs w:val="30"/>
          <w:color w:val="auto"/>
          <w:vertAlign w:val="superscript"/>
        </w:rPr>
        <w:t>(4)</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3340" w:type="dxa"/>
            <w:vAlign w:val="bottom"/>
            <w:gridSpan w:val="4"/>
          </w:tcPr>
          <w:p>
            <w:pPr>
              <w:jc w:val="right"/>
              <w:ind w:right="1080"/>
              <w:spacing w:after="0"/>
              <w:rPr>
                <w:sz w:val="20"/>
                <w:szCs w:val="20"/>
                <w:color w:val="auto"/>
              </w:rPr>
            </w:pPr>
            <w:r>
              <w:rPr>
                <w:rFonts w:ascii="Arial" w:cs="Arial" w:eastAsia="Arial" w:hAnsi="Arial"/>
                <w:sz w:val="18"/>
                <w:szCs w:val="18"/>
                <w:b w:val="1"/>
                <w:bCs w:val="1"/>
                <w:color w:val="auto"/>
              </w:rPr>
              <w:t>December 31, 2017</w:t>
            </w:r>
          </w:p>
        </w:tc>
        <w:tc>
          <w:tcPr>
            <w:tcW w:w="3200" w:type="dxa"/>
            <w:vAlign w:val="bottom"/>
            <w:gridSpan w:val="4"/>
          </w:tcPr>
          <w:p>
            <w:pPr>
              <w:jc w:val="right"/>
              <w:ind w:right="960"/>
              <w:spacing w:after="0"/>
              <w:rPr>
                <w:sz w:val="20"/>
                <w:szCs w:val="20"/>
                <w:color w:val="auto"/>
              </w:rPr>
            </w:pPr>
            <w:r>
              <w:rPr>
                <w:rFonts w:ascii="Arial" w:cs="Arial" w:eastAsia="Arial" w:hAnsi="Arial"/>
                <w:sz w:val="18"/>
                <w:szCs w:val="18"/>
                <w:b w:val="1"/>
                <w:bCs w:val="1"/>
                <w:color w:val="auto"/>
              </w:rPr>
              <w:t>December 31, 2016</w:t>
            </w:r>
          </w:p>
        </w:tc>
      </w:tr>
      <w:tr>
        <w:trPr>
          <w:trHeight w:val="191"/>
        </w:trPr>
        <w:tc>
          <w:tcPr>
            <w:tcW w:w="14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tcPr>
          <w:p>
            <w:pPr>
              <w:ind w:left="460"/>
              <w:spacing w:after="0" w:line="191" w:lineRule="exact"/>
              <w:rPr>
                <w:sz w:val="20"/>
                <w:szCs w:val="20"/>
                <w:color w:val="auto"/>
              </w:rPr>
            </w:pPr>
            <w:r>
              <w:rPr>
                <w:rFonts w:ascii="Arial" w:cs="Arial" w:eastAsia="Arial" w:hAnsi="Arial"/>
                <w:sz w:val="18"/>
                <w:szCs w:val="18"/>
                <w:b w:val="1"/>
                <w:bCs w:val="1"/>
                <w:color w:val="auto"/>
              </w:rPr>
              <w:t>Range</w:t>
            </w:r>
          </w:p>
        </w:tc>
        <w:tc>
          <w:tcPr>
            <w:tcW w:w="280" w:type="dxa"/>
            <w:vAlign w:val="bottom"/>
          </w:tcPr>
          <w:p>
            <w:pPr>
              <w:spacing w:after="0"/>
              <w:rPr>
                <w:sz w:val="16"/>
                <w:szCs w:val="16"/>
                <w:color w:val="auto"/>
              </w:rPr>
            </w:pPr>
          </w:p>
        </w:tc>
        <w:tc>
          <w:tcPr>
            <w:tcW w:w="14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tcPr>
          <w:p>
            <w:pPr>
              <w:jc w:val="right"/>
              <w:ind w:right="370"/>
              <w:spacing w:after="0" w:line="191" w:lineRule="exact"/>
              <w:rPr>
                <w:sz w:val="20"/>
                <w:szCs w:val="20"/>
                <w:color w:val="auto"/>
              </w:rPr>
            </w:pPr>
            <w:r>
              <w:rPr>
                <w:rFonts w:ascii="Arial" w:cs="Arial" w:eastAsia="Arial" w:hAnsi="Arial"/>
                <w:sz w:val="18"/>
                <w:szCs w:val="18"/>
                <w:b w:val="1"/>
                <w:bCs w:val="1"/>
                <w:color w:val="auto"/>
              </w:rPr>
              <w:t>Range</w:t>
            </w:r>
          </w:p>
        </w:tc>
        <w:tc>
          <w:tcPr>
            <w:tcW w:w="160" w:type="dxa"/>
            <w:vAlign w:val="bottom"/>
          </w:tcPr>
          <w:p>
            <w:pPr>
              <w:spacing w:after="0"/>
              <w:rPr>
                <w:sz w:val="16"/>
                <w:szCs w:val="16"/>
                <w:color w:val="auto"/>
              </w:rPr>
            </w:pPr>
          </w:p>
        </w:tc>
      </w:tr>
      <w:tr>
        <w:trPr>
          <w:trHeight w:val="234"/>
        </w:trPr>
        <w:tc>
          <w:tcPr>
            <w:tcW w:w="14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20"/>
                <w:szCs w:val="20"/>
                <w:color w:val="auto"/>
              </w:rPr>
            </w:pPr>
          </w:p>
        </w:tc>
        <w:tc>
          <w:tcPr>
            <w:tcW w:w="1420" w:type="dxa"/>
            <w:vAlign w:val="bottom"/>
            <w:tcBorders>
              <w:bottom w:val="single" w:sz="8" w:color="auto"/>
            </w:tcBorders>
          </w:tcPr>
          <w:p>
            <w:pPr>
              <w:ind w:left="240"/>
              <w:spacing w:after="0"/>
              <w:rPr>
                <w:sz w:val="20"/>
                <w:szCs w:val="20"/>
                <w:color w:val="auto"/>
              </w:rPr>
            </w:pPr>
            <w:r>
              <w:rPr>
                <w:rFonts w:ascii="Arial" w:cs="Arial" w:eastAsia="Arial" w:hAnsi="Arial"/>
                <w:sz w:val="18"/>
                <w:szCs w:val="18"/>
                <w:b w:val="1"/>
                <w:bCs w:val="1"/>
                <w:color w:val="auto"/>
              </w:rPr>
              <w:t>Interest rate</w:t>
            </w:r>
          </w:p>
        </w:tc>
        <w:tc>
          <w:tcPr>
            <w:tcW w:w="280" w:type="dxa"/>
            <w:vAlign w:val="bottom"/>
          </w:tcPr>
          <w:p>
            <w:pPr>
              <w:spacing w:after="0"/>
              <w:rPr>
                <w:sz w:val="20"/>
                <w:szCs w:val="20"/>
                <w:color w:val="auto"/>
              </w:rPr>
            </w:pPr>
          </w:p>
        </w:tc>
        <w:tc>
          <w:tcPr>
            <w:tcW w:w="140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20"/>
                <w:szCs w:val="20"/>
                <w:color w:val="auto"/>
              </w:rPr>
            </w:pPr>
          </w:p>
        </w:tc>
        <w:tc>
          <w:tcPr>
            <w:tcW w:w="142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Interest rate</w:t>
            </w:r>
          </w:p>
        </w:tc>
        <w:tc>
          <w:tcPr>
            <w:tcW w:w="160" w:type="dxa"/>
            <w:vAlign w:val="bottom"/>
          </w:tcPr>
          <w:p>
            <w:pPr>
              <w:spacing w:after="0"/>
              <w:rPr>
                <w:sz w:val="20"/>
                <w:szCs w:val="20"/>
                <w:color w:val="auto"/>
              </w:rPr>
            </w:pPr>
          </w:p>
        </w:tc>
      </w:tr>
      <w:tr>
        <w:trPr>
          <w:trHeight w:val="466"/>
        </w:trPr>
        <w:tc>
          <w:tcPr>
            <w:tcW w:w="1420" w:type="dxa"/>
            <w:vAlign w:val="bottom"/>
          </w:tcPr>
          <w:p>
            <w:pPr>
              <w:jc w:val="right"/>
              <w:spacing w:after="0"/>
              <w:rPr>
                <w:sz w:val="20"/>
                <w:szCs w:val="20"/>
                <w:color w:val="auto"/>
              </w:rPr>
            </w:pPr>
            <w:r>
              <w:rPr>
                <w:rFonts w:ascii="Arial" w:cs="Arial" w:eastAsia="Arial" w:hAnsi="Arial"/>
                <w:sz w:val="18"/>
                <w:szCs w:val="18"/>
                <w:color w:val="auto"/>
              </w:rPr>
              <w:t>661,016</w:t>
            </w:r>
          </w:p>
        </w:tc>
        <w:tc>
          <w:tcPr>
            <w:tcW w:w="220" w:type="dxa"/>
            <w:vAlign w:val="bottom"/>
          </w:tcPr>
          <w:p>
            <w:pPr>
              <w:spacing w:after="0"/>
              <w:rPr>
                <w:sz w:val="24"/>
                <w:szCs w:val="24"/>
                <w:color w:val="auto"/>
              </w:rPr>
            </w:pPr>
          </w:p>
        </w:tc>
        <w:tc>
          <w:tcPr>
            <w:tcW w:w="1700" w:type="dxa"/>
            <w:vAlign w:val="bottom"/>
            <w:gridSpan w:val="2"/>
          </w:tcPr>
          <w:p>
            <w:pPr>
              <w:ind w:left="480"/>
              <w:spacing w:after="0"/>
              <w:rPr>
                <w:sz w:val="20"/>
                <w:szCs w:val="20"/>
                <w:color w:val="auto"/>
              </w:rPr>
            </w:pPr>
            <w:r>
              <w:rPr>
                <w:rFonts w:ascii="Arial" w:cs="Arial" w:eastAsia="Arial" w:hAnsi="Arial"/>
                <w:sz w:val="18"/>
                <w:szCs w:val="18"/>
                <w:color w:val="auto"/>
                <w:w w:val="98"/>
              </w:rPr>
              <w:t>0.25% a 1.55%</w:t>
            </w:r>
          </w:p>
        </w:tc>
        <w:tc>
          <w:tcPr>
            <w:tcW w:w="1400" w:type="dxa"/>
            <w:vAlign w:val="bottom"/>
          </w:tcPr>
          <w:p>
            <w:pPr>
              <w:jc w:val="right"/>
              <w:spacing w:after="0"/>
              <w:rPr>
                <w:sz w:val="20"/>
                <w:szCs w:val="20"/>
                <w:color w:val="auto"/>
              </w:rPr>
            </w:pPr>
            <w:r>
              <w:rPr>
                <w:rFonts w:ascii="Arial" w:cs="Arial" w:eastAsia="Arial" w:hAnsi="Arial"/>
                <w:sz w:val="18"/>
                <w:szCs w:val="18"/>
                <w:color w:val="auto"/>
              </w:rPr>
              <w:t>854,882</w:t>
            </w:r>
          </w:p>
        </w:tc>
        <w:tc>
          <w:tcPr>
            <w:tcW w:w="220" w:type="dxa"/>
            <w:vAlign w:val="bottom"/>
          </w:tcPr>
          <w:p>
            <w:pPr>
              <w:spacing w:after="0"/>
              <w:rPr>
                <w:sz w:val="24"/>
                <w:szCs w:val="24"/>
                <w:color w:val="auto"/>
              </w:rPr>
            </w:pP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0.01% to 0.77%</w:t>
            </w:r>
          </w:p>
        </w:tc>
      </w:tr>
      <w:tr>
        <w:trPr>
          <w:trHeight w:val="270"/>
        </w:trPr>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3"/>
                <w:szCs w:val="23"/>
                <w:color w:val="auto"/>
              </w:rPr>
            </w:pPr>
          </w:p>
        </w:tc>
        <w:tc>
          <w:tcPr>
            <w:tcW w:w="170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125,000</w:t>
            </w:r>
          </w:p>
        </w:tc>
        <w:tc>
          <w:tcPr>
            <w:tcW w:w="220" w:type="dxa"/>
            <w:vAlign w:val="bottom"/>
          </w:tcPr>
          <w:p>
            <w:pPr>
              <w:spacing w:after="0"/>
              <w:rPr>
                <w:sz w:val="23"/>
                <w:szCs w:val="23"/>
                <w:color w:val="auto"/>
              </w:rPr>
            </w:pP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0.83% to 0.88%</w:t>
            </w:r>
          </w:p>
        </w:tc>
      </w:tr>
      <w:tr>
        <w:trPr>
          <w:trHeight w:val="223"/>
        </w:trPr>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661,016</w:t>
            </w:r>
          </w:p>
        </w:tc>
        <w:tc>
          <w:tcPr>
            <w:tcW w:w="22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979,882</w:t>
            </w:r>
          </w:p>
        </w:tc>
        <w:tc>
          <w:tcPr>
            <w:tcW w:w="22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0"/>
        </w:trPr>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r>
        <w:trPr>
          <w:trHeight w:val="669"/>
        </w:trPr>
        <w:tc>
          <w:tcPr>
            <w:tcW w:w="1420" w:type="dxa"/>
            <w:vAlign w:val="bottom"/>
          </w:tcPr>
          <w:p>
            <w:pPr>
              <w:jc w:val="right"/>
              <w:spacing w:after="0"/>
              <w:rPr>
                <w:sz w:val="20"/>
                <w:szCs w:val="20"/>
                <w:color w:val="auto"/>
              </w:rPr>
            </w:pPr>
            <w:r>
              <w:rPr>
                <w:rFonts w:ascii="Arial" w:cs="Arial" w:eastAsia="Arial" w:hAnsi="Arial"/>
                <w:sz w:val="18"/>
                <w:szCs w:val="18"/>
                <w:color w:val="auto"/>
              </w:rPr>
              <w:t>3,000</w:t>
            </w:r>
          </w:p>
        </w:tc>
        <w:tc>
          <w:tcPr>
            <w:tcW w:w="220" w:type="dxa"/>
            <w:vAlign w:val="bottom"/>
          </w:tcPr>
          <w:p>
            <w:pPr>
              <w:spacing w:after="0"/>
              <w:rPr>
                <w:sz w:val="24"/>
                <w:szCs w:val="24"/>
                <w:color w:val="auto"/>
              </w:rPr>
            </w:pPr>
          </w:p>
        </w:tc>
        <w:tc>
          <w:tcPr>
            <w:tcW w:w="170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400" w:type="dxa"/>
            <w:vAlign w:val="bottom"/>
          </w:tcPr>
          <w:p>
            <w:pPr>
              <w:jc w:val="right"/>
              <w:spacing w:after="0"/>
              <w:rPr>
                <w:sz w:val="20"/>
                <w:szCs w:val="20"/>
                <w:color w:val="auto"/>
              </w:rPr>
            </w:pPr>
            <w:r>
              <w:rPr>
                <w:rFonts w:ascii="Arial" w:cs="Arial" w:eastAsia="Arial" w:hAnsi="Arial"/>
                <w:sz w:val="18"/>
                <w:szCs w:val="18"/>
                <w:color w:val="auto"/>
              </w:rPr>
              <w:t>2,800</w:t>
            </w:r>
          </w:p>
        </w:tc>
        <w:tc>
          <w:tcPr>
            <w:tcW w:w="16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4"/>
                <w:szCs w:val="24"/>
                <w:color w:val="auto"/>
              </w:rPr>
            </w:pPr>
          </w:p>
        </w:tc>
      </w:tr>
      <w:tr>
        <w:trPr>
          <w:trHeight w:val="270"/>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50,241</w:t>
            </w:r>
          </w:p>
        </w:tc>
        <w:tc>
          <w:tcPr>
            <w:tcW w:w="1700" w:type="dxa"/>
            <w:vAlign w:val="bottom"/>
            <w:gridSpan w:val="2"/>
          </w:tcPr>
          <w:p>
            <w:pPr>
              <w:jc w:val="right"/>
              <w:ind w:right="120"/>
              <w:spacing w:after="0"/>
              <w:rPr>
                <w:sz w:val="20"/>
                <w:szCs w:val="20"/>
                <w:color w:val="auto"/>
              </w:rPr>
            </w:pPr>
            <w:r>
              <w:rPr>
                <w:rFonts w:ascii="Arial" w:cs="Arial" w:eastAsia="Arial" w:hAnsi="Arial"/>
                <w:sz w:val="18"/>
                <w:szCs w:val="18"/>
                <w:color w:val="auto"/>
              </w:rPr>
              <w:t>1.42%</w:t>
            </w:r>
          </w:p>
        </w:tc>
        <w:tc>
          <w:tcPr>
            <w:tcW w:w="1400" w:type="dxa"/>
            <w:vAlign w:val="bottom"/>
          </w:tcPr>
          <w:p>
            <w:pPr>
              <w:jc w:val="right"/>
              <w:spacing w:after="0"/>
              <w:rPr>
                <w:sz w:val="20"/>
                <w:szCs w:val="20"/>
                <w:color w:val="auto"/>
              </w:rPr>
            </w:pPr>
            <w:r>
              <w:rPr>
                <w:rFonts w:ascii="Arial" w:cs="Arial" w:eastAsia="Arial" w:hAnsi="Arial"/>
                <w:sz w:val="18"/>
                <w:szCs w:val="18"/>
                <w:color w:val="auto"/>
              </w:rPr>
              <w:t>59,012</w:t>
            </w:r>
          </w:p>
        </w:tc>
        <w:tc>
          <w:tcPr>
            <w:tcW w:w="1800" w:type="dxa"/>
            <w:vAlign w:val="bottom"/>
            <w:gridSpan w:val="3"/>
          </w:tcPr>
          <w:p>
            <w:pPr>
              <w:jc w:val="right"/>
              <w:spacing w:after="0"/>
              <w:rPr>
                <w:sz w:val="20"/>
                <w:szCs w:val="20"/>
                <w:color w:val="auto"/>
              </w:rPr>
            </w:pPr>
            <w:r>
              <w:rPr>
                <w:rFonts w:ascii="Arial" w:cs="Arial" w:eastAsia="Arial" w:hAnsi="Arial"/>
                <w:sz w:val="18"/>
                <w:szCs w:val="18"/>
                <w:color w:val="auto"/>
              </w:rPr>
              <w:t>0.66%</w:t>
            </w:r>
          </w:p>
        </w:tc>
      </w:tr>
      <w:tr>
        <w:trPr>
          <w:trHeight w:val="223"/>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53,241</w:t>
            </w:r>
          </w:p>
        </w:tc>
        <w:tc>
          <w:tcPr>
            <w:tcW w:w="22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61,812</w:t>
            </w:r>
          </w:p>
        </w:tc>
        <w:tc>
          <w:tcPr>
            <w:tcW w:w="22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0"/>
        </w:trPr>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-2798445</wp:posOffset>
            </wp:positionH>
            <wp:positionV relativeFrom="paragraph">
              <wp:posOffset>-1448435</wp:posOffset>
            </wp:positionV>
            <wp:extent cx="6955155" cy="14605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-2798445</wp:posOffset>
            </wp:positionH>
            <wp:positionV relativeFrom="paragraph">
              <wp:posOffset>-1139825</wp:posOffset>
            </wp:positionV>
            <wp:extent cx="6955155" cy="17145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4">
                      <a:extLst>
                        <a:ext uri="{28A0092B-C50C-407E-A947-70E740481C1C}"/>
                      </a:extLst>
                    </a:blip>
                    <a:srcRect/>
                    <a:stretch>
                      <a:fillRect/>
                    </a:stretch>
                  </pic:blipFill>
                  <pic:spPr bwMode="auto">
                    <a:xfrm>
                      <a:off x="0" y="0"/>
                      <a:ext cx="6955155" cy="171450"/>
                    </a:xfrm>
                    <a:prstGeom prst="rect">
                      <a:avLst/>
                    </a:prstGeom>
                    <a:noFill/>
                  </pic:spPr>
                </pic:pic>
              </a:graphicData>
            </a:graphic>
          </wp:anchor>
        </w:drawing>
        <w:drawing>
          <wp:anchor simplePos="0" relativeHeight="251657728" behindDoc="1" locked="0" layoutInCell="0" allowOverlap="1">
            <wp:simplePos x="0" y="0"/>
            <wp:positionH relativeFrom="column">
              <wp:posOffset>-2798445</wp:posOffset>
            </wp:positionH>
            <wp:positionV relativeFrom="paragraph">
              <wp:posOffset>-805180</wp:posOffset>
            </wp:positionV>
            <wp:extent cx="6955155" cy="154305"/>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5">
                      <a:extLst>
                        <a:ext uri="{28A0092B-C50C-407E-A947-70E740481C1C}"/>
                      </a:extLst>
                    </a:blip>
                    <a:srcRect/>
                    <a:stretch>
                      <a:fillRect/>
                    </a:stretch>
                  </pic:blipFill>
                  <pic:spPr bwMode="auto">
                    <a:xfrm>
                      <a:off x="0" y="0"/>
                      <a:ext cx="6955155" cy="154305"/>
                    </a:xfrm>
                    <a:prstGeom prst="rect">
                      <a:avLst/>
                    </a:prstGeom>
                    <a:noFill/>
                  </pic:spPr>
                </pic:pic>
              </a:graphicData>
            </a:graphic>
          </wp:anchor>
        </w:drawing>
        <w:drawing>
          <wp:anchor simplePos="0" relativeHeight="251657728" behindDoc="1" locked="0" layoutInCell="0" allowOverlap="1">
            <wp:simplePos x="0" y="0"/>
            <wp:positionH relativeFrom="column">
              <wp:posOffset>-2798445</wp:posOffset>
            </wp:positionH>
            <wp:positionV relativeFrom="paragraph">
              <wp:posOffset>-513715</wp:posOffset>
            </wp:positionV>
            <wp:extent cx="6955155" cy="163195"/>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6">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-2798445</wp:posOffset>
            </wp:positionH>
            <wp:positionV relativeFrom="paragraph">
              <wp:posOffset>-179705</wp:posOffset>
            </wp:positionV>
            <wp:extent cx="6955155" cy="163195"/>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7">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87" w:lineRule="exact"/>
        <w:rPr>
          <w:sz w:val="20"/>
          <w:szCs w:val="20"/>
          <w:color w:val="auto"/>
        </w:rPr>
      </w:pPr>
    </w:p>
    <w:p>
      <w:pPr>
        <w:sectPr>
          <w:pgSz w:w="11900" w:h="16838" w:orient="portrait"/>
          <w:cols w:equalWidth="0" w:num="2">
            <w:col w:w="4020" w:space="720"/>
            <w:col w:w="6680"/>
          </w:cols>
          <w:pgMar w:left="240" w:top="688" w:right="239" w:bottom="1440" w:gutter="0" w:footer="0" w:header="0"/>
          <w:type w:val="continuous"/>
        </w:sectPr>
      </w:pPr>
    </w:p>
    <w:p>
      <w:pPr>
        <w:ind w:left="1140" w:hanging="322"/>
        <w:spacing w:after="0"/>
        <w:tabs>
          <w:tab w:leader="none" w:pos="1140" w:val="left"/>
        </w:tabs>
        <w:numPr>
          <w:ilvl w:val="1"/>
          <w:numId w:val="149"/>
        </w:numPr>
        <w:rPr>
          <w:rFonts w:ascii="Arial" w:cs="Arial" w:eastAsia="Arial" w:hAnsi="Arial"/>
          <w:sz w:val="30"/>
          <w:szCs w:val="30"/>
          <w:color w:val="auto"/>
          <w:vertAlign w:val="superscript"/>
        </w:rPr>
      </w:pPr>
      <w:r>
        <w:rPr>
          <w:rFonts w:ascii="Arial" w:cs="Arial" w:eastAsia="Arial" w:hAnsi="Arial"/>
          <w:sz w:val="18"/>
          <w:szCs w:val="18"/>
          <w:color w:val="auto"/>
        </w:rPr>
        <w:t>Demand deposits with bearing interest based on the daily rates determined by banks.</w:t>
      </w:r>
    </w:p>
    <w:p>
      <w:pPr>
        <w:spacing w:after="0" w:line="1" w:lineRule="exact"/>
        <w:rPr>
          <w:rFonts w:ascii="Arial" w:cs="Arial" w:eastAsia="Arial" w:hAnsi="Arial"/>
          <w:sz w:val="30"/>
          <w:szCs w:val="30"/>
          <w:color w:val="auto"/>
          <w:vertAlign w:val="superscript"/>
        </w:rPr>
      </w:pPr>
    </w:p>
    <w:p>
      <w:pPr>
        <w:ind w:left="1140" w:hanging="322"/>
        <w:spacing w:after="0" w:line="186" w:lineRule="auto"/>
        <w:tabs>
          <w:tab w:leader="none" w:pos="1140" w:val="left"/>
        </w:tabs>
        <w:numPr>
          <w:ilvl w:val="1"/>
          <w:numId w:val="149"/>
        </w:numPr>
        <w:rPr>
          <w:rFonts w:ascii="Arial" w:cs="Arial" w:eastAsia="Arial" w:hAnsi="Arial"/>
          <w:sz w:val="24"/>
          <w:szCs w:val="24"/>
          <w:color w:val="auto"/>
          <w:vertAlign w:val="superscript"/>
        </w:rPr>
      </w:pPr>
      <w:r>
        <w:rPr>
          <w:rFonts w:ascii="Arial" w:cs="Arial" w:eastAsia="Arial" w:hAnsi="Arial"/>
          <w:sz w:val="15"/>
          <w:szCs w:val="15"/>
          <w:color w:val="auto"/>
        </w:rPr>
        <w:t>Time deposits “overnight” calculated on an average interest rate.</w:t>
      </w:r>
    </w:p>
    <w:p>
      <w:pPr>
        <w:spacing w:after="0" w:line="2" w:lineRule="exact"/>
        <w:rPr>
          <w:rFonts w:ascii="Arial" w:cs="Arial" w:eastAsia="Arial" w:hAnsi="Arial"/>
          <w:sz w:val="24"/>
          <w:szCs w:val="24"/>
          <w:color w:val="auto"/>
          <w:vertAlign w:val="superscript"/>
        </w:rPr>
      </w:pPr>
    </w:p>
    <w:p>
      <w:pPr>
        <w:ind w:left="1140" w:hanging="322"/>
        <w:spacing w:after="0" w:line="186" w:lineRule="auto"/>
        <w:tabs>
          <w:tab w:leader="none" w:pos="1140" w:val="left"/>
        </w:tabs>
        <w:numPr>
          <w:ilvl w:val="1"/>
          <w:numId w:val="149"/>
        </w:numPr>
        <w:rPr>
          <w:rFonts w:ascii="Arial" w:cs="Arial" w:eastAsia="Arial" w:hAnsi="Arial"/>
          <w:sz w:val="24"/>
          <w:szCs w:val="24"/>
          <w:color w:val="auto"/>
          <w:vertAlign w:val="superscript"/>
        </w:rPr>
      </w:pPr>
      <w:r>
        <w:rPr>
          <w:rFonts w:ascii="Arial" w:cs="Arial" w:eastAsia="Arial" w:hAnsi="Arial"/>
          <w:sz w:val="15"/>
          <w:szCs w:val="15"/>
          <w:color w:val="auto"/>
        </w:rPr>
        <w:t>The New York Agency had a pledged deposit with the New York State Banking Department, as required by law since March 1994.</w:t>
      </w:r>
    </w:p>
    <w:p>
      <w:pPr>
        <w:spacing w:after="0" w:line="2" w:lineRule="exact"/>
        <w:rPr>
          <w:rFonts w:ascii="Arial" w:cs="Arial" w:eastAsia="Arial" w:hAnsi="Arial"/>
          <w:sz w:val="24"/>
          <w:szCs w:val="24"/>
          <w:color w:val="auto"/>
          <w:vertAlign w:val="superscript"/>
        </w:rPr>
      </w:pPr>
    </w:p>
    <w:p>
      <w:pPr>
        <w:ind w:left="1140" w:hanging="322"/>
        <w:spacing w:after="0" w:line="186" w:lineRule="auto"/>
        <w:tabs>
          <w:tab w:leader="none" w:pos="1140" w:val="left"/>
        </w:tabs>
        <w:numPr>
          <w:ilvl w:val="1"/>
          <w:numId w:val="149"/>
        </w:numPr>
        <w:rPr>
          <w:rFonts w:ascii="Arial" w:cs="Arial" w:eastAsia="Arial" w:hAnsi="Arial"/>
          <w:sz w:val="24"/>
          <w:szCs w:val="24"/>
          <w:color w:val="auto"/>
          <w:vertAlign w:val="superscript"/>
        </w:rPr>
      </w:pPr>
      <w:r>
        <w:rPr>
          <w:rFonts w:ascii="Arial" w:cs="Arial" w:eastAsia="Arial" w:hAnsi="Arial"/>
          <w:sz w:val="15"/>
          <w:szCs w:val="15"/>
          <w:color w:val="auto"/>
        </w:rPr>
        <w:t>The Bank had pledged deposits to secure derivative financial instruments transactions.</w:t>
      </w:r>
    </w:p>
    <w:p>
      <w:pPr>
        <w:spacing w:after="0" w:line="198" w:lineRule="exact"/>
        <w:rPr>
          <w:rFonts w:ascii="Arial" w:cs="Arial" w:eastAsia="Arial" w:hAnsi="Arial"/>
          <w:sz w:val="24"/>
          <w:szCs w:val="24"/>
          <w:color w:val="auto"/>
          <w:vertAlign w:val="superscript"/>
        </w:rPr>
      </w:pPr>
    </w:p>
    <w:p>
      <w:pPr>
        <w:ind w:left="660" w:hanging="314"/>
        <w:spacing w:after="0"/>
        <w:tabs>
          <w:tab w:leader="none" w:pos="660" w:val="left"/>
        </w:tabs>
        <w:numPr>
          <w:ilvl w:val="0"/>
          <w:numId w:val="15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520" w:type="dxa"/>
            <w:vAlign w:val="bottom"/>
            <w:gridSpan w:val="3"/>
          </w:tcPr>
          <w:p>
            <w:pPr>
              <w:ind w:left="340"/>
              <w:spacing w:after="0"/>
              <w:rPr>
                <w:sz w:val="20"/>
                <w:szCs w:val="20"/>
                <w:color w:val="auto"/>
              </w:rPr>
            </w:pPr>
            <w:r>
              <w:rPr>
                <w:rFonts w:ascii="Arial" w:cs="Arial" w:eastAsia="Arial" w:hAnsi="Arial"/>
                <w:sz w:val="18"/>
                <w:szCs w:val="18"/>
                <w:b w:val="1"/>
                <w:bCs w:val="1"/>
                <w:color w:val="auto"/>
              </w:rPr>
              <w:t>5.1  Financial instruments at FVTPL - Fair value through profit or loss</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80" w:type="dxa"/>
            <w:vAlign w:val="bottom"/>
          </w:tcPr>
          <w:p>
            <w:pPr>
              <w:spacing w:after="0"/>
              <w:rPr>
                <w:sz w:val="20"/>
                <w:szCs w:val="20"/>
                <w:color w:val="auto"/>
              </w:rPr>
            </w:pPr>
          </w:p>
        </w:tc>
      </w:tr>
      <w:tr>
        <w:trPr>
          <w:trHeight w:val="432"/>
        </w:trPr>
        <w:tc>
          <w:tcPr>
            <w:tcW w:w="9520" w:type="dxa"/>
            <w:vAlign w:val="bottom"/>
            <w:gridSpan w:val="3"/>
          </w:tcPr>
          <w:p>
            <w:pPr>
              <w:ind w:left="340"/>
              <w:spacing w:after="0"/>
              <w:rPr>
                <w:sz w:val="20"/>
                <w:szCs w:val="20"/>
                <w:color w:val="auto"/>
              </w:rPr>
            </w:pPr>
            <w:r>
              <w:rPr>
                <w:rFonts w:ascii="Arial" w:cs="Arial" w:eastAsia="Arial" w:hAnsi="Arial"/>
                <w:sz w:val="18"/>
                <w:szCs w:val="18"/>
                <w:color w:val="auto"/>
              </w:rPr>
              <w:t>The fair value of financial liabilities at FVTPL is as follows:</w:t>
            </w: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80" w:type="dxa"/>
            <w:vAlign w:val="bottom"/>
          </w:tcPr>
          <w:p>
            <w:pPr>
              <w:spacing w:after="0"/>
              <w:rPr>
                <w:sz w:val="24"/>
                <w:szCs w:val="24"/>
                <w:color w:val="auto"/>
              </w:rPr>
            </w:pPr>
          </w:p>
        </w:tc>
      </w:tr>
      <w:tr>
        <w:trPr>
          <w:trHeight w:val="414"/>
        </w:trPr>
        <w:tc>
          <w:tcPr>
            <w:tcW w:w="660" w:type="dxa"/>
            <w:vAlign w:val="bottom"/>
          </w:tcPr>
          <w:p>
            <w:pPr>
              <w:spacing w:after="0"/>
              <w:rPr>
                <w:sz w:val="24"/>
                <w:szCs w:val="24"/>
                <w:color w:val="auto"/>
              </w:rPr>
            </w:pPr>
          </w:p>
        </w:tc>
        <w:tc>
          <w:tcPr>
            <w:tcW w:w="7660" w:type="dxa"/>
            <w:vAlign w:val="bottom"/>
          </w:tcPr>
          <w:p>
            <w:pPr>
              <w:spacing w:after="0"/>
              <w:rPr>
                <w:sz w:val="24"/>
                <w:szCs w:val="24"/>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280" w:type="dxa"/>
            <w:vAlign w:val="bottom"/>
          </w:tcPr>
          <w:p>
            <w:pPr>
              <w:spacing w:after="0"/>
              <w:rPr>
                <w:sz w:val="24"/>
                <w:szCs w:val="24"/>
                <w:color w:val="auto"/>
              </w:rPr>
            </w:pPr>
          </w:p>
        </w:tc>
      </w:tr>
      <w:tr>
        <w:trPr>
          <w:trHeight w:val="234"/>
        </w:trPr>
        <w:tc>
          <w:tcPr>
            <w:tcW w:w="9520" w:type="dxa"/>
            <w:vAlign w:val="bottom"/>
            <w:gridSpan w:val="3"/>
          </w:tcPr>
          <w:p>
            <w:pPr>
              <w:jc w:val="right"/>
              <w:ind w:right="290"/>
              <w:spacing w:after="0"/>
              <w:rPr>
                <w:sz w:val="20"/>
                <w:szCs w:val="20"/>
                <w:color w:val="auto"/>
              </w:rPr>
            </w:pPr>
            <w:r>
              <w:rPr>
                <w:rFonts w:ascii="Arial" w:cs="Arial" w:eastAsia="Arial" w:hAnsi="Arial"/>
                <w:sz w:val="18"/>
                <w:szCs w:val="18"/>
                <w:b w:val="1"/>
                <w:bCs w:val="1"/>
                <w:color w:val="auto"/>
              </w:rPr>
              <w:t>2017</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80" w:type="dxa"/>
            <w:vAlign w:val="bottom"/>
          </w:tcPr>
          <w:p>
            <w:pPr>
              <w:spacing w:after="0"/>
              <w:rPr>
                <w:sz w:val="20"/>
                <w:szCs w:val="20"/>
                <w:color w:val="auto"/>
              </w:rPr>
            </w:pPr>
          </w:p>
        </w:tc>
        <w:tc>
          <w:tcPr>
            <w:tcW w:w="280" w:type="dxa"/>
            <w:vAlign w:val="bottom"/>
          </w:tcPr>
          <w:p>
            <w:pPr>
              <w:spacing w:after="0"/>
              <w:rPr>
                <w:sz w:val="20"/>
                <w:szCs w:val="20"/>
                <w:color w:val="auto"/>
              </w:rPr>
            </w:pPr>
          </w:p>
        </w:tc>
      </w:tr>
      <w:tr>
        <w:trPr>
          <w:trHeight w:val="210"/>
        </w:trPr>
        <w:tc>
          <w:tcPr>
            <w:tcW w:w="660" w:type="dxa"/>
            <w:vAlign w:val="bottom"/>
          </w:tcPr>
          <w:p>
            <w:pPr>
              <w:spacing w:after="0"/>
              <w:rPr>
                <w:sz w:val="18"/>
                <w:szCs w:val="18"/>
                <w:color w:val="auto"/>
              </w:rPr>
            </w:pPr>
          </w:p>
        </w:tc>
        <w:tc>
          <w:tcPr>
            <w:tcW w:w="7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2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30"/>
        </w:trPr>
        <w:tc>
          <w:tcPr>
            <w:tcW w:w="660" w:type="dxa"/>
            <w:vAlign w:val="bottom"/>
          </w:tcPr>
          <w:p>
            <w:pPr>
              <w:spacing w:after="0"/>
              <w:rPr>
                <w:sz w:val="19"/>
                <w:szCs w:val="19"/>
                <w:color w:val="auto"/>
              </w:rPr>
            </w:pPr>
          </w:p>
        </w:tc>
        <w:tc>
          <w:tcPr>
            <w:tcW w:w="8860" w:type="dxa"/>
            <w:vAlign w:val="bottom"/>
            <w:gridSpan w:val="2"/>
          </w:tcPr>
          <w:p>
            <w:pPr>
              <w:spacing w:after="0"/>
              <w:rPr>
                <w:sz w:val="20"/>
                <w:szCs w:val="20"/>
                <w:color w:val="auto"/>
              </w:rPr>
            </w:pPr>
            <w:r>
              <w:rPr>
                <w:rFonts w:ascii="Arial" w:cs="Arial" w:eastAsia="Arial" w:hAnsi="Arial"/>
                <w:sz w:val="18"/>
                <w:szCs w:val="18"/>
                <w:color w:val="auto"/>
              </w:rPr>
              <w:t>Foreign exchange forward</w:t>
            </w:r>
          </w:p>
        </w:tc>
        <w:tc>
          <w:tcPr>
            <w:tcW w:w="30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w:t>
            </w:r>
          </w:p>
        </w:tc>
        <w:tc>
          <w:tcPr>
            <w:tcW w:w="1320" w:type="dxa"/>
            <w:vAlign w:val="bottom"/>
            <w:gridSpan w:val="2"/>
          </w:tcPr>
          <w:p>
            <w:pPr>
              <w:jc w:val="right"/>
              <w:ind w:right="80"/>
              <w:spacing w:after="0"/>
              <w:rPr>
                <w:sz w:val="20"/>
                <w:szCs w:val="20"/>
                <w:color w:val="auto"/>
              </w:rPr>
            </w:pPr>
            <w:r>
              <w:rPr>
                <w:rFonts w:ascii="Arial" w:cs="Arial" w:eastAsia="Arial" w:hAnsi="Arial"/>
                <w:sz w:val="18"/>
                <w:szCs w:val="18"/>
                <w:color w:val="auto"/>
              </w:rPr>
              <w:t>24</w:t>
            </w:r>
          </w:p>
        </w:tc>
        <w:tc>
          <w:tcPr>
            <w:tcW w:w="280" w:type="dxa"/>
            <w:vAlign w:val="bottom"/>
          </w:tcPr>
          <w:p>
            <w:pPr>
              <w:spacing w:after="0"/>
              <w:rPr>
                <w:sz w:val="19"/>
                <w:szCs w:val="19"/>
                <w:color w:val="auto"/>
              </w:rPr>
            </w:pPr>
          </w:p>
        </w:tc>
      </w:tr>
      <w:tr>
        <w:trPr>
          <w:trHeight w:val="223"/>
        </w:trPr>
        <w:tc>
          <w:tcPr>
            <w:tcW w:w="660" w:type="dxa"/>
            <w:vAlign w:val="bottom"/>
          </w:tcPr>
          <w:p>
            <w:pPr>
              <w:spacing w:after="0"/>
              <w:rPr>
                <w:sz w:val="19"/>
                <w:szCs w:val="19"/>
                <w:color w:val="auto"/>
              </w:rPr>
            </w:pPr>
          </w:p>
        </w:tc>
        <w:tc>
          <w:tcPr>
            <w:tcW w:w="76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200" w:type="dxa"/>
            <w:vAlign w:val="bottom"/>
            <w:tcBorders>
              <w:top w:val="single" w:sz="8" w:color="auto"/>
              <w:bottom w:val="single" w:sz="8" w:color="auto"/>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660" w:type="dxa"/>
            <w:vAlign w:val="bottom"/>
          </w:tcPr>
          <w:p>
            <w:pPr>
              <w:spacing w:after="0" w:line="20" w:lineRule="exact"/>
              <w:rPr>
                <w:sz w:val="1"/>
                <w:szCs w:val="1"/>
                <w:color w:val="auto"/>
              </w:rPr>
            </w:pPr>
          </w:p>
        </w:tc>
        <w:tc>
          <w:tcPr>
            <w:tcW w:w="76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413"/>
        </w:trPr>
        <w:tc>
          <w:tcPr>
            <w:tcW w:w="660" w:type="dxa"/>
            <w:vAlign w:val="bottom"/>
            <w:tcBorders>
              <w:bottom w:val="single" w:sz="8" w:color="auto"/>
            </w:tcBorders>
          </w:tcPr>
          <w:p>
            <w:pPr>
              <w:spacing w:after="0"/>
              <w:rPr>
                <w:sz w:val="24"/>
                <w:szCs w:val="24"/>
                <w:color w:val="auto"/>
              </w:rPr>
            </w:pPr>
          </w:p>
        </w:tc>
        <w:tc>
          <w:tcPr>
            <w:tcW w:w="8860" w:type="dxa"/>
            <w:vAlign w:val="bottom"/>
            <w:tcBorders>
              <w:bottom w:val="single" w:sz="8" w:color="auto"/>
            </w:tcBorders>
            <w:gridSpan w:val="2"/>
          </w:tcPr>
          <w:p>
            <w:pPr>
              <w:ind w:left="4900"/>
              <w:spacing w:after="0"/>
              <w:rPr>
                <w:sz w:val="20"/>
                <w:szCs w:val="20"/>
                <w:color w:val="auto"/>
              </w:rPr>
            </w:pPr>
            <w:r>
              <w:rPr>
                <w:rFonts w:ascii="Arial" w:cs="Arial" w:eastAsia="Arial" w:hAnsi="Arial"/>
                <w:sz w:val="18"/>
                <w:szCs w:val="18"/>
                <w:color w:val="auto"/>
              </w:rPr>
              <w:t>F-34</w:t>
            </w:r>
          </w:p>
        </w:tc>
        <w:tc>
          <w:tcPr>
            <w:tcW w:w="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8" w:right="239" w:bottom="1440" w:gutter="0" w:footer="0" w:header="0"/>
          <w:type w:val="continuous"/>
        </w:sectPr>
      </w:pPr>
    </w:p>
    <w:bookmarkStart w:id="156" w:name="page157"/>
    <w:bookmarkEnd w:id="1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540" w:hanging="316"/>
        <w:spacing w:after="0"/>
        <w:tabs>
          <w:tab w:leader="none" w:pos="540" w:val="left"/>
        </w:tabs>
        <w:numPr>
          <w:ilvl w:val="0"/>
          <w:numId w:val="15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5.1</w:t>
      </w:r>
      <w:r>
        <w:rPr>
          <w:sz w:val="20"/>
          <w:szCs w:val="20"/>
          <w:color w:val="auto"/>
        </w:rPr>
        <w:tab/>
      </w:r>
      <w:r>
        <w:rPr>
          <w:rFonts w:ascii="Arial" w:cs="Arial" w:eastAsia="Arial" w:hAnsi="Arial"/>
          <w:sz w:val="16"/>
          <w:szCs w:val="16"/>
          <w:b w:val="1"/>
          <w:bCs w:val="1"/>
          <w:color w:val="auto"/>
        </w:rPr>
        <w:t>Financial instruments at FVTPL - Fair value through profit or loss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information on the nominal amounts of derivative financial instruments at FVTPL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840" w:type="dxa"/>
            <w:vAlign w:val="bottom"/>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2440" w:type="dxa"/>
            <w:vAlign w:val="bottom"/>
            <w:tcBorders>
              <w:bottom w:val="single" w:sz="8" w:color="auto"/>
            </w:tcBorders>
            <w:gridSpan w:val="6"/>
          </w:tcPr>
          <w:p>
            <w:pPr>
              <w:ind w:left="100"/>
              <w:spacing w:after="0"/>
              <w:rPr>
                <w:sz w:val="20"/>
                <w:szCs w:val="20"/>
                <w:color w:val="auto"/>
              </w:rPr>
            </w:pPr>
            <w:r>
              <w:rPr>
                <w:rFonts w:ascii="Arial" w:cs="Arial" w:eastAsia="Arial" w:hAnsi="Arial"/>
                <w:sz w:val="18"/>
                <w:szCs w:val="18"/>
                <w:b w:val="1"/>
                <w:bCs w:val="1"/>
                <w:color w:val="auto"/>
              </w:rPr>
              <w:t>December 31, 2017</w:t>
            </w:r>
          </w:p>
        </w:tc>
        <w:tc>
          <w:tcPr>
            <w:tcW w:w="12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2480" w:type="dxa"/>
            <w:vAlign w:val="bottom"/>
            <w:tcBorders>
              <w:bottom w:val="single" w:sz="8" w:color="auto"/>
            </w:tcBorders>
            <w:gridSpan w:val="5"/>
          </w:tcPr>
          <w:p>
            <w:pPr>
              <w:jc w:val="center"/>
              <w:ind w:left="790"/>
              <w:spacing w:after="0"/>
              <w:rPr>
                <w:sz w:val="20"/>
                <w:szCs w:val="20"/>
                <w:color w:val="auto"/>
              </w:rPr>
            </w:pPr>
            <w:r>
              <w:rPr>
                <w:rFonts w:ascii="Arial" w:cs="Arial" w:eastAsia="Arial" w:hAnsi="Arial"/>
                <w:sz w:val="18"/>
                <w:szCs w:val="18"/>
                <w:b w:val="1"/>
                <w:bCs w:val="1"/>
                <w:color w:val="auto"/>
                <w:w w:val="88"/>
              </w:rPr>
              <w:t>December 31, 2016</w:t>
            </w:r>
          </w:p>
        </w:tc>
        <w:tc>
          <w:tcPr>
            <w:tcW w:w="8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3840" w:type="dxa"/>
            <w:vAlign w:val="bottom"/>
          </w:tcPr>
          <w:p>
            <w:pPr>
              <w:spacing w:after="0"/>
              <w:rPr>
                <w:sz w:val="19"/>
                <w:szCs w:val="19"/>
                <w:color w:val="auto"/>
              </w:rPr>
            </w:pPr>
          </w:p>
        </w:tc>
        <w:tc>
          <w:tcPr>
            <w:tcW w:w="880" w:type="dxa"/>
            <w:vAlign w:val="bottom"/>
          </w:tcPr>
          <w:p>
            <w:pPr>
              <w:jc w:val="center"/>
              <w:ind w:left="50"/>
              <w:spacing w:after="0"/>
              <w:rPr>
                <w:sz w:val="20"/>
                <w:szCs w:val="20"/>
                <w:color w:val="auto"/>
              </w:rPr>
            </w:pPr>
            <w:r>
              <w:rPr>
                <w:rFonts w:ascii="Arial" w:cs="Arial" w:eastAsia="Arial" w:hAnsi="Arial"/>
                <w:sz w:val="18"/>
                <w:szCs w:val="18"/>
                <w:b w:val="1"/>
                <w:bCs w:val="1"/>
                <w:color w:val="auto"/>
                <w:w w:val="92"/>
              </w:rPr>
              <w:t>Nominal</w:t>
            </w:r>
          </w:p>
        </w:tc>
        <w:tc>
          <w:tcPr>
            <w:tcW w:w="1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2080" w:type="dxa"/>
            <w:vAlign w:val="bottom"/>
            <w:tcBorders>
              <w:bottom w:val="single" w:sz="8" w:color="auto"/>
            </w:tcBorders>
            <w:gridSpan w:val="4"/>
          </w:tcPr>
          <w:p>
            <w:pPr>
              <w:ind w:left="700"/>
              <w:spacing w:after="0"/>
              <w:rPr>
                <w:sz w:val="20"/>
                <w:szCs w:val="20"/>
                <w:color w:val="auto"/>
              </w:rPr>
            </w:pPr>
            <w:r>
              <w:rPr>
                <w:rFonts w:ascii="Arial" w:cs="Arial" w:eastAsia="Arial" w:hAnsi="Arial"/>
                <w:sz w:val="18"/>
                <w:szCs w:val="18"/>
                <w:b w:val="1"/>
                <w:bCs w:val="1"/>
                <w:color w:val="auto"/>
              </w:rPr>
              <w:t>Fair value</w:t>
            </w:r>
          </w:p>
        </w:tc>
        <w:tc>
          <w:tcPr>
            <w:tcW w:w="12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Nominal</w:t>
            </w:r>
          </w:p>
        </w:tc>
        <w:tc>
          <w:tcPr>
            <w:tcW w:w="2160" w:type="dxa"/>
            <w:vAlign w:val="bottom"/>
            <w:tcBorders>
              <w:bottom w:val="single" w:sz="8" w:color="auto"/>
            </w:tcBorders>
            <w:gridSpan w:val="4"/>
          </w:tcPr>
          <w:p>
            <w:pPr>
              <w:jc w:val="right"/>
              <w:ind w:right="610"/>
              <w:spacing w:after="0"/>
              <w:rPr>
                <w:sz w:val="20"/>
                <w:szCs w:val="20"/>
                <w:color w:val="auto"/>
              </w:rPr>
            </w:pPr>
            <w:r>
              <w:rPr>
                <w:rFonts w:ascii="Arial" w:cs="Arial" w:eastAsia="Arial" w:hAnsi="Arial"/>
                <w:sz w:val="18"/>
                <w:szCs w:val="18"/>
                <w:b w:val="1"/>
                <w:bCs w:val="1"/>
                <w:color w:val="auto"/>
              </w:rPr>
              <w:t>Fair value</w:t>
            </w:r>
          </w:p>
        </w:tc>
        <w:tc>
          <w:tcPr>
            <w:tcW w:w="100" w:type="dxa"/>
            <w:vAlign w:val="bottom"/>
          </w:tcPr>
          <w:p>
            <w:pPr>
              <w:spacing w:after="0"/>
              <w:rPr>
                <w:sz w:val="19"/>
                <w:szCs w:val="19"/>
                <w:color w:val="auto"/>
              </w:rPr>
            </w:pPr>
          </w:p>
        </w:tc>
      </w:tr>
      <w:tr>
        <w:trPr>
          <w:trHeight w:val="223"/>
        </w:trPr>
        <w:tc>
          <w:tcPr>
            <w:tcW w:w="3840" w:type="dxa"/>
            <w:vAlign w:val="bottom"/>
          </w:tcPr>
          <w:p>
            <w:pPr>
              <w:spacing w:after="0"/>
              <w:rPr>
                <w:sz w:val="19"/>
                <w:szCs w:val="19"/>
                <w:color w:val="auto"/>
              </w:rPr>
            </w:pPr>
          </w:p>
        </w:tc>
        <w:tc>
          <w:tcPr>
            <w:tcW w:w="880" w:type="dxa"/>
            <w:vAlign w:val="bottom"/>
          </w:tcPr>
          <w:p>
            <w:pPr>
              <w:jc w:val="center"/>
              <w:ind w:left="30"/>
              <w:spacing w:after="0"/>
              <w:rPr>
                <w:sz w:val="20"/>
                <w:szCs w:val="20"/>
                <w:color w:val="auto"/>
              </w:rPr>
            </w:pPr>
            <w:r>
              <w:rPr>
                <w:rFonts w:ascii="Arial" w:cs="Arial" w:eastAsia="Arial" w:hAnsi="Arial"/>
                <w:sz w:val="18"/>
                <w:szCs w:val="18"/>
                <w:b w:val="1"/>
                <w:bCs w:val="1"/>
                <w:color w:val="auto"/>
                <w:w w:val="92"/>
              </w:rPr>
              <w:t>amount</w:t>
            </w:r>
          </w:p>
        </w:tc>
        <w:tc>
          <w:tcPr>
            <w:tcW w:w="1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820" w:type="dxa"/>
            <w:vAlign w:val="bottom"/>
          </w:tcPr>
          <w:p>
            <w:pPr>
              <w:ind w:left="300"/>
              <w:spacing w:after="0"/>
              <w:rPr>
                <w:sz w:val="20"/>
                <w:szCs w:val="20"/>
                <w:color w:val="auto"/>
              </w:rPr>
            </w:pPr>
            <w:r>
              <w:rPr>
                <w:rFonts w:ascii="Arial" w:cs="Arial" w:eastAsia="Arial" w:hAnsi="Arial"/>
                <w:sz w:val="18"/>
                <w:szCs w:val="18"/>
                <w:b w:val="1"/>
                <w:bCs w:val="1"/>
                <w:color w:val="auto"/>
              </w:rPr>
              <w:t>Asset</w:t>
            </w:r>
          </w:p>
        </w:tc>
        <w:tc>
          <w:tcPr>
            <w:tcW w:w="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860" w:type="dxa"/>
            <w:vAlign w:val="bottom"/>
          </w:tcPr>
          <w:p>
            <w:pPr>
              <w:ind w:left="160"/>
              <w:spacing w:after="0"/>
              <w:rPr>
                <w:sz w:val="20"/>
                <w:szCs w:val="20"/>
                <w:color w:val="auto"/>
              </w:rPr>
            </w:pPr>
            <w:r>
              <w:rPr>
                <w:rFonts w:ascii="Arial" w:cs="Arial" w:eastAsia="Arial" w:hAnsi="Arial"/>
                <w:sz w:val="18"/>
                <w:szCs w:val="18"/>
                <w:b w:val="1"/>
                <w:bCs w:val="1"/>
                <w:color w:val="auto"/>
                <w:w w:val="99"/>
              </w:rPr>
              <w:t>Liability</w:t>
            </w: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amount</w:t>
            </w:r>
          </w:p>
        </w:tc>
        <w:tc>
          <w:tcPr>
            <w:tcW w:w="128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1"/>
              </w:rPr>
              <w:t>Asset</w:t>
            </w:r>
          </w:p>
        </w:tc>
        <w:tc>
          <w:tcPr>
            <w:tcW w:w="880" w:type="dxa"/>
            <w:vAlign w:val="bottom"/>
          </w:tcPr>
          <w:p>
            <w:pPr>
              <w:jc w:val="right"/>
              <w:ind w:right="70"/>
              <w:spacing w:after="0"/>
              <w:rPr>
                <w:sz w:val="20"/>
                <w:szCs w:val="20"/>
                <w:color w:val="auto"/>
              </w:rPr>
            </w:pPr>
            <w:r>
              <w:rPr>
                <w:rFonts w:ascii="Arial" w:cs="Arial" w:eastAsia="Arial" w:hAnsi="Arial"/>
                <w:sz w:val="18"/>
                <w:szCs w:val="18"/>
                <w:b w:val="1"/>
                <w:bCs w:val="1"/>
                <w:color w:val="auto"/>
              </w:rPr>
              <w:t>Liability</w:t>
            </w:r>
          </w:p>
        </w:tc>
        <w:tc>
          <w:tcPr>
            <w:tcW w:w="100" w:type="dxa"/>
            <w:vAlign w:val="bottom"/>
          </w:tcPr>
          <w:p>
            <w:pPr>
              <w:spacing w:after="0"/>
              <w:rPr>
                <w:sz w:val="19"/>
                <w:szCs w:val="19"/>
                <w:color w:val="auto"/>
              </w:rPr>
            </w:pPr>
          </w:p>
        </w:tc>
      </w:tr>
      <w:tr>
        <w:trPr>
          <w:trHeight w:val="210"/>
        </w:trPr>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88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1,274</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100" w:type="dxa"/>
            <w:vAlign w:val="bottom"/>
            <w:tcBorders>
              <w:top w:val="single" w:sz="8" w:color="CCEEFF"/>
            </w:tcBorders>
            <w:shd w:val="clear" w:color="auto" w:fill="CCEEFF"/>
          </w:tcPr>
          <w:p>
            <w:pPr>
              <w:spacing w:after="0"/>
              <w:rPr>
                <w:sz w:val="18"/>
                <w:szCs w:val="18"/>
                <w:color w:val="auto"/>
              </w:rPr>
            </w:pPr>
          </w:p>
        </w:tc>
      </w:tr>
      <w:tr>
        <w:trPr>
          <w:trHeight w:val="223"/>
        </w:trPr>
        <w:tc>
          <w:tcPr>
            <w:tcW w:w="3840" w:type="dxa"/>
            <w:vAlign w:val="bottom"/>
          </w:tcPr>
          <w:p>
            <w:pPr>
              <w:spacing w:after="0"/>
              <w:rPr>
                <w:sz w:val="20"/>
                <w:szCs w:val="20"/>
                <w:color w:val="auto"/>
              </w:rPr>
            </w:pPr>
            <w:r>
              <w:rPr>
                <w:rFonts w:ascii="Arial" w:cs="Arial" w:eastAsia="Arial" w:hAnsi="Arial"/>
                <w:sz w:val="18"/>
                <w:szCs w:val="18"/>
                <w:color w:val="auto"/>
              </w:rPr>
              <w:t>Total</w:t>
            </w:r>
          </w:p>
        </w:tc>
        <w:tc>
          <w:tcPr>
            <w:tcW w:w="88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6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1,274</w:t>
            </w:r>
          </w:p>
        </w:tc>
        <w:tc>
          <w:tcPr>
            <w:tcW w:w="22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w:t>
            </w:r>
          </w:p>
        </w:tc>
        <w:tc>
          <w:tcPr>
            <w:tcW w:w="100" w:type="dxa"/>
            <w:vAlign w:val="bottom"/>
          </w:tcPr>
          <w:p>
            <w:pPr>
              <w:spacing w:after="0"/>
              <w:rPr>
                <w:sz w:val="19"/>
                <w:szCs w:val="19"/>
                <w:color w:val="auto"/>
              </w:rPr>
            </w:pPr>
          </w:p>
        </w:tc>
      </w:tr>
      <w:tr>
        <w:trPr>
          <w:trHeight w:val="20"/>
        </w:trPr>
        <w:tc>
          <w:tcPr>
            <w:tcW w:w="38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5.2</w:t>
      </w:r>
      <w:r>
        <w:rPr>
          <w:sz w:val="20"/>
          <w:szCs w:val="20"/>
          <w:color w:val="auto"/>
        </w:rPr>
        <w:tab/>
      </w:r>
      <w:r>
        <w:rPr>
          <w:rFonts w:ascii="Arial" w:cs="Arial" w:eastAsia="Arial" w:hAnsi="Arial"/>
          <w:sz w:val="16"/>
          <w:szCs w:val="16"/>
          <w:b w:val="1"/>
          <w:bCs w:val="1"/>
          <w:color w:val="auto"/>
        </w:rPr>
        <w:t>Financial instruments at fair value through other comprehensive income</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amortized cost, related unrealized gross gain (loss) and fair value of financial instruments at fair value through other comprehensive income by country risk and type of debt are as follows:</w:t>
      </w:r>
    </w:p>
    <w:p>
      <w:pPr>
        <w:spacing w:after="0" w:line="153"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4620" w:type="dxa"/>
            <w:vAlign w:val="bottom"/>
            <w:gridSpan w:val="4"/>
          </w:tcPr>
          <w:p>
            <w:pPr>
              <w:spacing w:after="0"/>
              <w:rPr>
                <w:sz w:val="20"/>
                <w:szCs w:val="20"/>
                <w:color w:val="auto"/>
              </w:rPr>
            </w:pPr>
            <w:r>
              <w:rPr>
                <w:rFonts w:ascii="Arial" w:cs="Arial" w:eastAsia="Arial" w:hAnsi="Arial"/>
                <w:sz w:val="18"/>
                <w:szCs w:val="18"/>
                <w:b w:val="1"/>
                <w:bCs w:val="1"/>
                <w:color w:val="auto"/>
              </w:rPr>
              <w:t>Equity Investment at FVOCI</w:t>
            </w:r>
          </w:p>
        </w:tc>
        <w:tc>
          <w:tcPr>
            <w:tcW w:w="13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466"/>
        </w:trPr>
        <w:tc>
          <w:tcPr>
            <w:tcW w:w="320" w:type="dxa"/>
            <w:vAlign w:val="bottom"/>
            <w:tcBorders>
              <w:top w:val="single" w:sz="8" w:color="auto"/>
            </w:tcBorders>
          </w:tcPr>
          <w:p>
            <w:pPr>
              <w:spacing w:after="0"/>
              <w:rPr>
                <w:sz w:val="24"/>
                <w:szCs w:val="24"/>
                <w:color w:val="auto"/>
              </w:rPr>
            </w:pPr>
          </w:p>
        </w:tc>
        <w:tc>
          <w:tcPr>
            <w:tcW w:w="1240" w:type="dxa"/>
            <w:vAlign w:val="bottom"/>
            <w:tcBorders>
              <w:top w:val="single" w:sz="8" w:color="auto"/>
            </w:tcBorders>
          </w:tcPr>
          <w:p>
            <w:pPr>
              <w:spacing w:after="0"/>
              <w:rPr>
                <w:sz w:val="24"/>
                <w:szCs w:val="24"/>
                <w:color w:val="auto"/>
              </w:rPr>
            </w:pPr>
          </w:p>
        </w:tc>
        <w:tc>
          <w:tcPr>
            <w:tcW w:w="680" w:type="dxa"/>
            <w:vAlign w:val="bottom"/>
            <w:tcBorders>
              <w:top w:val="single" w:sz="8" w:color="auto"/>
            </w:tcBorders>
          </w:tcPr>
          <w:p>
            <w:pPr>
              <w:spacing w:after="0"/>
              <w:rPr>
                <w:sz w:val="24"/>
                <w:szCs w:val="24"/>
                <w:color w:val="auto"/>
              </w:rPr>
            </w:pPr>
          </w:p>
        </w:tc>
        <w:tc>
          <w:tcPr>
            <w:tcW w:w="2380" w:type="dxa"/>
            <w:vAlign w:val="bottom"/>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gridSpan w:val="4"/>
          </w:tcPr>
          <w:p>
            <w:pPr>
              <w:ind w:left="720"/>
              <w:spacing w:after="0"/>
              <w:rPr>
                <w:sz w:val="20"/>
                <w:szCs w:val="20"/>
                <w:color w:val="auto"/>
              </w:rPr>
            </w:pPr>
            <w:r>
              <w:rPr>
                <w:rFonts w:ascii="Arial" w:cs="Arial" w:eastAsia="Arial" w:hAnsi="Arial"/>
                <w:sz w:val="18"/>
                <w:szCs w:val="18"/>
                <w:b w:val="1"/>
                <w:bCs w:val="1"/>
                <w:color w:val="auto"/>
              </w:rPr>
              <w:t>December 31, 2017</w:t>
            </w:r>
          </w:p>
        </w:tc>
        <w:tc>
          <w:tcPr>
            <w:tcW w:w="4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223"/>
        </w:trPr>
        <w:tc>
          <w:tcPr>
            <w:tcW w:w="3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38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1600" w:type="dxa"/>
            <w:vAlign w:val="bottom"/>
            <w:tcBorders>
              <w:bottom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Unrealized</w:t>
            </w:r>
          </w:p>
        </w:tc>
        <w:tc>
          <w:tcPr>
            <w:tcW w:w="40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23"/>
        </w:trPr>
        <w:tc>
          <w:tcPr>
            <w:tcW w:w="3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380" w:type="dxa"/>
            <w:vAlign w:val="bottom"/>
          </w:tcPr>
          <w:p>
            <w:pPr>
              <w:spacing w:after="0"/>
              <w:rPr>
                <w:sz w:val="19"/>
                <w:szCs w:val="19"/>
                <w:color w:val="auto"/>
              </w:rPr>
            </w:pPr>
          </w:p>
        </w:tc>
        <w:tc>
          <w:tcPr>
            <w:tcW w:w="16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6"/>
              </w:rPr>
              <w:t>Amortized cost</w:t>
            </w:r>
          </w:p>
        </w:tc>
        <w:tc>
          <w:tcPr>
            <w:tcW w:w="960" w:type="dxa"/>
            <w:vAlign w:val="bottom"/>
          </w:tcPr>
          <w:p>
            <w:pPr>
              <w:ind w:left="500"/>
              <w:spacing w:after="0"/>
              <w:rPr>
                <w:sz w:val="20"/>
                <w:szCs w:val="20"/>
                <w:color w:val="auto"/>
              </w:rPr>
            </w:pPr>
            <w:r>
              <w:rPr>
                <w:rFonts w:ascii="Arial" w:cs="Arial" w:eastAsia="Arial" w:hAnsi="Arial"/>
                <w:sz w:val="18"/>
                <w:szCs w:val="18"/>
                <w:b w:val="1"/>
                <w:bCs w:val="1"/>
                <w:color w:val="auto"/>
              </w:rPr>
              <w:t>Gain</w:t>
            </w:r>
          </w:p>
        </w:tc>
        <w:tc>
          <w:tcPr>
            <w:tcW w:w="4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Pr>
          <w:p>
            <w:pPr>
              <w:ind w:left="500"/>
              <w:spacing w:after="0"/>
              <w:rPr>
                <w:sz w:val="20"/>
                <w:szCs w:val="20"/>
                <w:color w:val="auto"/>
              </w:rPr>
            </w:pPr>
            <w:r>
              <w:rPr>
                <w:rFonts w:ascii="Arial" w:cs="Arial" w:eastAsia="Arial" w:hAnsi="Arial"/>
                <w:sz w:val="18"/>
                <w:szCs w:val="18"/>
                <w:b w:val="1"/>
                <w:bCs w:val="1"/>
                <w:color w:val="auto"/>
              </w:rPr>
              <w:t>Loss</w:t>
            </w:r>
          </w:p>
        </w:tc>
        <w:tc>
          <w:tcPr>
            <w:tcW w:w="4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440" w:type="dxa"/>
            <w:vAlign w:val="bottom"/>
            <w:gridSpan w:val="3"/>
          </w:tcPr>
          <w:p>
            <w:pPr>
              <w:ind w:left="280"/>
              <w:spacing w:after="0"/>
              <w:rPr>
                <w:sz w:val="20"/>
                <w:szCs w:val="20"/>
                <w:color w:val="auto"/>
              </w:rPr>
            </w:pPr>
            <w:r>
              <w:rPr>
                <w:rFonts w:ascii="Arial" w:cs="Arial" w:eastAsia="Arial" w:hAnsi="Arial"/>
                <w:sz w:val="18"/>
                <w:szCs w:val="18"/>
                <w:b w:val="1"/>
                <w:bCs w:val="1"/>
                <w:color w:val="auto"/>
              </w:rPr>
              <w:t>Fair value</w:t>
            </w:r>
          </w:p>
        </w:tc>
      </w:tr>
      <w:tr>
        <w:trPr>
          <w:trHeight w:val="237"/>
        </w:trPr>
        <w:tc>
          <w:tcPr>
            <w:tcW w:w="320" w:type="dxa"/>
            <w:vAlign w:val="bottom"/>
          </w:tcPr>
          <w:p>
            <w:pPr>
              <w:spacing w:after="0"/>
              <w:rPr>
                <w:sz w:val="20"/>
                <w:szCs w:val="20"/>
                <w:color w:val="auto"/>
              </w:rPr>
            </w:pPr>
          </w:p>
        </w:tc>
        <w:tc>
          <w:tcPr>
            <w:tcW w:w="4300" w:type="dxa"/>
            <w:vAlign w:val="bottom"/>
            <w:tcBorders>
              <w:top w:val="single" w:sz="8" w:color="CCEEFF"/>
            </w:tcBorders>
            <w:gridSpan w:val="3"/>
            <w:shd w:val="clear" w:color="auto" w:fill="CCEEFF"/>
          </w:tcPr>
          <w:p>
            <w:pPr>
              <w:spacing w:after="0" w:line="236" w:lineRule="exact"/>
              <w:rPr>
                <w:sz w:val="20"/>
                <w:szCs w:val="20"/>
                <w:color w:val="auto"/>
              </w:rPr>
            </w:pPr>
            <w:r>
              <w:rPr>
                <w:rFonts w:ascii="Arial" w:cs="Arial" w:eastAsia="Arial" w:hAnsi="Arial"/>
                <w:sz w:val="17"/>
                <w:szCs w:val="17"/>
                <w:b w:val="1"/>
                <w:bCs w:val="1"/>
                <w:color w:val="auto"/>
              </w:rPr>
              <w:t xml:space="preserve">Equity investments </w:t>
            </w:r>
            <w:r>
              <w:rPr>
                <w:rFonts w:ascii="Arial" w:cs="Arial" w:eastAsia="Arial" w:hAnsi="Arial"/>
                <w:sz w:val="27"/>
                <w:szCs w:val="27"/>
                <w:b w:val="1"/>
                <w:bCs w:val="1"/>
                <w:color w:val="auto"/>
                <w:vertAlign w:val="superscript"/>
              </w:rPr>
              <w:t>(1)</w:t>
            </w:r>
          </w:p>
        </w:tc>
        <w:tc>
          <w:tcPr>
            <w:tcW w:w="138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960" w:type="dxa"/>
            <w:vAlign w:val="bottom"/>
            <w:tcBorders>
              <w:top w:val="single" w:sz="8" w:color="auto"/>
            </w:tcBorders>
            <w:shd w:val="clear" w:color="auto" w:fill="CCEEFF"/>
          </w:tcPr>
          <w:p>
            <w:pPr>
              <w:spacing w:after="0"/>
              <w:rPr>
                <w:sz w:val="20"/>
                <w:szCs w:val="20"/>
                <w:color w:val="auto"/>
              </w:rPr>
            </w:pPr>
          </w:p>
        </w:tc>
        <w:tc>
          <w:tcPr>
            <w:tcW w:w="42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960" w:type="dxa"/>
            <w:vAlign w:val="bottom"/>
            <w:tcBorders>
              <w:top w:val="single" w:sz="8" w:color="auto"/>
            </w:tcBorders>
            <w:shd w:val="clear" w:color="auto" w:fill="CCEEFF"/>
          </w:tcPr>
          <w:p>
            <w:pPr>
              <w:spacing w:after="0"/>
              <w:rPr>
                <w:sz w:val="20"/>
                <w:szCs w:val="20"/>
                <w:color w:val="auto"/>
              </w:rPr>
            </w:pPr>
          </w:p>
        </w:tc>
        <w:tc>
          <w:tcPr>
            <w:tcW w:w="400" w:type="dxa"/>
            <w:vAlign w:val="bottom"/>
            <w:tcBorders>
              <w:top w:val="single" w:sz="8" w:color="auto"/>
            </w:tcBorders>
            <w:shd w:val="clear" w:color="auto" w:fill="CCEEFF"/>
          </w:tcPr>
          <w:p>
            <w:pPr>
              <w:spacing w:after="0"/>
              <w:rPr>
                <w:sz w:val="20"/>
                <w:szCs w:val="20"/>
                <w:color w:val="auto"/>
              </w:rPr>
            </w:pPr>
          </w:p>
        </w:tc>
        <w:tc>
          <w:tcPr>
            <w:tcW w:w="180" w:type="dxa"/>
            <w:vAlign w:val="bottom"/>
            <w:tcBorders>
              <w:top w:val="single" w:sz="8" w:color="CCEEFF"/>
            </w:tcBorders>
            <w:shd w:val="clear" w:color="auto" w:fill="CCEEFF"/>
          </w:tcPr>
          <w:p>
            <w:pPr>
              <w:spacing w:after="0"/>
              <w:rPr>
                <w:sz w:val="20"/>
                <w:szCs w:val="20"/>
                <w:color w:val="auto"/>
              </w:rPr>
            </w:pPr>
          </w:p>
        </w:tc>
        <w:tc>
          <w:tcPr>
            <w:tcW w:w="1360" w:type="dxa"/>
            <w:vAlign w:val="bottom"/>
            <w:tcBorders>
              <w:top w:val="single" w:sz="8" w:color="auto"/>
            </w:tcBorders>
            <w:shd w:val="clear" w:color="auto" w:fill="CCEEFF"/>
          </w:tcPr>
          <w:p>
            <w:pPr>
              <w:spacing w:after="0"/>
              <w:rPr>
                <w:sz w:val="20"/>
                <w:szCs w:val="20"/>
                <w:color w:val="auto"/>
              </w:rPr>
            </w:pPr>
          </w:p>
        </w:tc>
        <w:tc>
          <w:tcPr>
            <w:tcW w:w="20" w:type="dxa"/>
            <w:vAlign w:val="bottom"/>
            <w:tcBorders>
              <w:top w:val="single" w:sz="8" w:color="CCEEFF"/>
            </w:tcBorders>
            <w:shd w:val="clear" w:color="auto" w:fill="CCEEFF"/>
          </w:tcPr>
          <w:p>
            <w:pPr>
              <w:spacing w:after="0"/>
              <w:rPr>
                <w:sz w:val="20"/>
                <w:szCs w:val="20"/>
                <w:color w:val="auto"/>
              </w:rPr>
            </w:pPr>
          </w:p>
        </w:tc>
        <w:tc>
          <w:tcPr>
            <w:tcW w:w="60" w:type="dxa"/>
            <w:vAlign w:val="bottom"/>
            <w:tcBorders>
              <w:top w:val="single" w:sz="8" w:color="CCEEFF"/>
            </w:tcBorders>
            <w:shd w:val="clear" w:color="auto" w:fill="CCEEFF"/>
          </w:tcPr>
          <w:p>
            <w:pPr>
              <w:spacing w:after="0"/>
              <w:rPr>
                <w:sz w:val="20"/>
                <w:szCs w:val="20"/>
                <w:color w:val="auto"/>
              </w:rPr>
            </w:pPr>
          </w:p>
        </w:tc>
      </w:tr>
      <w:tr>
        <w:trPr>
          <w:trHeight w:val="230"/>
        </w:trPr>
        <w:tc>
          <w:tcPr>
            <w:tcW w:w="320" w:type="dxa"/>
            <w:vAlign w:val="bottom"/>
          </w:tcPr>
          <w:p>
            <w:pPr>
              <w:spacing w:after="0"/>
              <w:rPr>
                <w:sz w:val="19"/>
                <w:szCs w:val="19"/>
                <w:color w:val="auto"/>
              </w:rPr>
            </w:pPr>
          </w:p>
        </w:tc>
        <w:tc>
          <w:tcPr>
            <w:tcW w:w="4300" w:type="dxa"/>
            <w:vAlign w:val="bottom"/>
            <w:gridSpan w:val="3"/>
          </w:tcPr>
          <w:p>
            <w:pPr>
              <w:ind w:left="160"/>
              <w:spacing w:after="0"/>
              <w:rPr>
                <w:sz w:val="20"/>
                <w:szCs w:val="20"/>
                <w:color w:val="auto"/>
              </w:rPr>
            </w:pPr>
            <w:r>
              <w:rPr>
                <w:rFonts w:ascii="Arial" w:cs="Arial" w:eastAsia="Arial" w:hAnsi="Arial"/>
                <w:sz w:val="18"/>
                <w:szCs w:val="18"/>
                <w:color w:val="auto"/>
              </w:rPr>
              <w:t>Brazil</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8,630</w:t>
            </w:r>
          </w:p>
        </w:tc>
        <w:tc>
          <w:tcPr>
            <w:tcW w:w="96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580" w:type="dxa"/>
            <w:vAlign w:val="bottom"/>
            <w:gridSpan w:val="2"/>
          </w:tcPr>
          <w:p>
            <w:pPr>
              <w:jc w:val="right"/>
              <w:ind w:right="180"/>
              <w:spacing w:after="0"/>
              <w:rPr>
                <w:sz w:val="20"/>
                <w:szCs w:val="20"/>
                <w:color w:val="auto"/>
              </w:rPr>
            </w:pPr>
            <w:r>
              <w:rPr>
                <w:rFonts w:ascii="Arial" w:cs="Arial" w:eastAsia="Arial" w:hAnsi="Arial"/>
                <w:sz w:val="18"/>
                <w:szCs w:val="18"/>
                <w:color w:val="auto"/>
              </w:rPr>
              <w:t>228</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8,402</w:t>
            </w:r>
          </w:p>
        </w:tc>
        <w:tc>
          <w:tcPr>
            <w:tcW w:w="60" w:type="dxa"/>
            <w:vAlign w:val="bottom"/>
          </w:tcPr>
          <w:p>
            <w:pPr>
              <w:spacing w:after="0"/>
              <w:rPr>
                <w:sz w:val="19"/>
                <w:szCs w:val="19"/>
                <w:color w:val="auto"/>
              </w:rPr>
            </w:pPr>
          </w:p>
        </w:tc>
      </w:tr>
      <w:tr>
        <w:trPr>
          <w:trHeight w:val="210"/>
        </w:trPr>
        <w:tc>
          <w:tcPr>
            <w:tcW w:w="320" w:type="dxa"/>
            <w:vAlign w:val="bottom"/>
          </w:tcPr>
          <w:p>
            <w:pPr>
              <w:spacing w:after="0"/>
              <w:rPr>
                <w:sz w:val="18"/>
                <w:szCs w:val="18"/>
                <w:color w:val="auto"/>
              </w:rPr>
            </w:pPr>
          </w:p>
        </w:tc>
        <w:tc>
          <w:tcPr>
            <w:tcW w:w="124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CCEEFF"/>
            </w:tcBorders>
            <w:shd w:val="clear" w:color="auto" w:fill="CCEEFF"/>
          </w:tcPr>
          <w:p>
            <w:pPr>
              <w:spacing w:after="0"/>
              <w:rPr>
                <w:sz w:val="18"/>
                <w:szCs w:val="18"/>
                <w:color w:val="auto"/>
              </w:rPr>
            </w:pPr>
          </w:p>
        </w:tc>
        <w:tc>
          <w:tcPr>
            <w:tcW w:w="238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8,630</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228</w:t>
            </w:r>
          </w:p>
        </w:tc>
        <w:tc>
          <w:tcPr>
            <w:tcW w:w="18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8,402</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385"/>
        </w:trPr>
        <w:tc>
          <w:tcPr>
            <w:tcW w:w="4620" w:type="dxa"/>
            <w:vAlign w:val="bottom"/>
            <w:gridSpan w:val="4"/>
          </w:tcPr>
          <w:p>
            <w:pPr>
              <w:spacing w:after="0"/>
              <w:rPr>
                <w:sz w:val="20"/>
                <w:szCs w:val="20"/>
                <w:color w:val="auto"/>
              </w:rPr>
            </w:pPr>
            <w:r>
              <w:rPr>
                <w:rFonts w:ascii="Arial" w:cs="Arial" w:eastAsia="Arial" w:hAnsi="Arial"/>
                <w:sz w:val="18"/>
                <w:szCs w:val="18"/>
                <w:b w:val="1"/>
                <w:bCs w:val="1"/>
                <w:color w:val="auto"/>
              </w:rPr>
              <w:t>Securities at FVOCI</w:t>
            </w:r>
          </w:p>
        </w:tc>
        <w:tc>
          <w:tcPr>
            <w:tcW w:w="1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466"/>
        </w:trPr>
        <w:tc>
          <w:tcPr>
            <w:tcW w:w="320" w:type="dxa"/>
            <w:vAlign w:val="bottom"/>
            <w:tcBorders>
              <w:top w:val="single" w:sz="8" w:color="auto"/>
            </w:tcBorders>
          </w:tcPr>
          <w:p>
            <w:pPr>
              <w:spacing w:after="0"/>
              <w:rPr>
                <w:sz w:val="24"/>
                <w:szCs w:val="24"/>
                <w:color w:val="auto"/>
              </w:rPr>
            </w:pPr>
          </w:p>
        </w:tc>
        <w:tc>
          <w:tcPr>
            <w:tcW w:w="1240" w:type="dxa"/>
            <w:vAlign w:val="bottom"/>
            <w:tcBorders>
              <w:top w:val="single" w:sz="8" w:color="auto"/>
            </w:tcBorders>
          </w:tcPr>
          <w:p>
            <w:pPr>
              <w:spacing w:after="0"/>
              <w:rPr>
                <w:sz w:val="24"/>
                <w:szCs w:val="24"/>
                <w:color w:val="auto"/>
              </w:rPr>
            </w:pPr>
          </w:p>
        </w:tc>
        <w:tc>
          <w:tcPr>
            <w:tcW w:w="680" w:type="dxa"/>
            <w:vAlign w:val="bottom"/>
          </w:tcPr>
          <w:p>
            <w:pPr>
              <w:spacing w:after="0"/>
              <w:rPr>
                <w:sz w:val="24"/>
                <w:szCs w:val="24"/>
                <w:color w:val="auto"/>
              </w:rPr>
            </w:pPr>
          </w:p>
        </w:tc>
        <w:tc>
          <w:tcPr>
            <w:tcW w:w="2380" w:type="dxa"/>
            <w:vAlign w:val="bottom"/>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gridSpan w:val="4"/>
          </w:tcPr>
          <w:p>
            <w:pPr>
              <w:ind w:left="720"/>
              <w:spacing w:after="0"/>
              <w:rPr>
                <w:sz w:val="20"/>
                <w:szCs w:val="20"/>
                <w:color w:val="auto"/>
              </w:rPr>
            </w:pPr>
            <w:r>
              <w:rPr>
                <w:rFonts w:ascii="Arial" w:cs="Arial" w:eastAsia="Arial" w:hAnsi="Arial"/>
                <w:sz w:val="18"/>
                <w:szCs w:val="18"/>
                <w:b w:val="1"/>
                <w:bCs w:val="1"/>
                <w:color w:val="auto"/>
              </w:rPr>
              <w:t>December 31, 2017</w:t>
            </w:r>
          </w:p>
        </w:tc>
        <w:tc>
          <w:tcPr>
            <w:tcW w:w="4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223"/>
        </w:trPr>
        <w:tc>
          <w:tcPr>
            <w:tcW w:w="3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38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1600" w:type="dxa"/>
            <w:vAlign w:val="bottom"/>
            <w:tcBorders>
              <w:bottom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Unrealized</w:t>
            </w:r>
          </w:p>
        </w:tc>
        <w:tc>
          <w:tcPr>
            <w:tcW w:w="40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23"/>
        </w:trPr>
        <w:tc>
          <w:tcPr>
            <w:tcW w:w="3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380" w:type="dxa"/>
            <w:vAlign w:val="bottom"/>
          </w:tcPr>
          <w:p>
            <w:pPr>
              <w:spacing w:after="0"/>
              <w:rPr>
                <w:sz w:val="19"/>
                <w:szCs w:val="19"/>
                <w:color w:val="auto"/>
              </w:rPr>
            </w:pPr>
          </w:p>
        </w:tc>
        <w:tc>
          <w:tcPr>
            <w:tcW w:w="16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6"/>
              </w:rPr>
              <w:t>Amortized cost</w:t>
            </w:r>
          </w:p>
        </w:tc>
        <w:tc>
          <w:tcPr>
            <w:tcW w:w="960" w:type="dxa"/>
            <w:vAlign w:val="bottom"/>
          </w:tcPr>
          <w:p>
            <w:pPr>
              <w:ind w:left="500"/>
              <w:spacing w:after="0"/>
              <w:rPr>
                <w:sz w:val="20"/>
                <w:szCs w:val="20"/>
                <w:color w:val="auto"/>
              </w:rPr>
            </w:pPr>
            <w:r>
              <w:rPr>
                <w:rFonts w:ascii="Arial" w:cs="Arial" w:eastAsia="Arial" w:hAnsi="Arial"/>
                <w:sz w:val="18"/>
                <w:szCs w:val="18"/>
                <w:b w:val="1"/>
                <w:bCs w:val="1"/>
                <w:color w:val="auto"/>
              </w:rPr>
              <w:t>Gain</w:t>
            </w:r>
          </w:p>
        </w:tc>
        <w:tc>
          <w:tcPr>
            <w:tcW w:w="4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Pr>
          <w:p>
            <w:pPr>
              <w:ind w:left="500"/>
              <w:spacing w:after="0"/>
              <w:rPr>
                <w:sz w:val="20"/>
                <w:szCs w:val="20"/>
                <w:color w:val="auto"/>
              </w:rPr>
            </w:pPr>
            <w:r>
              <w:rPr>
                <w:rFonts w:ascii="Arial" w:cs="Arial" w:eastAsia="Arial" w:hAnsi="Arial"/>
                <w:sz w:val="18"/>
                <w:szCs w:val="18"/>
                <w:b w:val="1"/>
                <w:bCs w:val="1"/>
                <w:color w:val="auto"/>
              </w:rPr>
              <w:t>Loss</w:t>
            </w:r>
          </w:p>
        </w:tc>
        <w:tc>
          <w:tcPr>
            <w:tcW w:w="4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440" w:type="dxa"/>
            <w:vAlign w:val="bottom"/>
            <w:gridSpan w:val="3"/>
          </w:tcPr>
          <w:p>
            <w:pPr>
              <w:ind w:left="280"/>
              <w:spacing w:after="0"/>
              <w:rPr>
                <w:sz w:val="20"/>
                <w:szCs w:val="20"/>
                <w:color w:val="auto"/>
              </w:rPr>
            </w:pPr>
            <w:r>
              <w:rPr>
                <w:rFonts w:ascii="Arial" w:cs="Arial" w:eastAsia="Arial" w:hAnsi="Arial"/>
                <w:sz w:val="18"/>
                <w:szCs w:val="18"/>
                <w:b w:val="1"/>
                <w:bCs w:val="1"/>
                <w:color w:val="auto"/>
              </w:rPr>
              <w:t>Fair value</w:t>
            </w:r>
          </w:p>
        </w:tc>
      </w:tr>
      <w:tr>
        <w:trPr>
          <w:trHeight w:val="210"/>
        </w:trPr>
        <w:tc>
          <w:tcPr>
            <w:tcW w:w="320" w:type="dxa"/>
            <w:vAlign w:val="bottom"/>
          </w:tcPr>
          <w:p>
            <w:pPr>
              <w:spacing w:after="0"/>
              <w:rPr>
                <w:sz w:val="18"/>
                <w:szCs w:val="18"/>
                <w:color w:val="auto"/>
              </w:rPr>
            </w:pPr>
          </w:p>
        </w:tc>
        <w:tc>
          <w:tcPr>
            <w:tcW w:w="43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3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6"/>
        </w:trPr>
        <w:tc>
          <w:tcPr>
            <w:tcW w:w="320" w:type="dxa"/>
            <w:vAlign w:val="bottom"/>
          </w:tcPr>
          <w:p>
            <w:pPr>
              <w:spacing w:after="0"/>
              <w:rPr>
                <w:sz w:val="18"/>
                <w:szCs w:val="18"/>
                <w:color w:val="auto"/>
              </w:rPr>
            </w:pPr>
          </w:p>
        </w:tc>
        <w:tc>
          <w:tcPr>
            <w:tcW w:w="4300" w:type="dxa"/>
            <w:vAlign w:val="bottom"/>
            <w:gridSpan w:val="3"/>
          </w:tcPr>
          <w:p>
            <w:pPr>
              <w:ind w:left="160"/>
              <w:spacing w:after="0"/>
              <w:rPr>
                <w:sz w:val="20"/>
                <w:szCs w:val="20"/>
                <w:color w:val="auto"/>
              </w:rPr>
            </w:pPr>
            <w:r>
              <w:rPr>
                <w:rFonts w:ascii="Arial" w:cs="Arial" w:eastAsia="Arial" w:hAnsi="Arial"/>
                <w:sz w:val="18"/>
                <w:szCs w:val="18"/>
                <w:color w:val="auto"/>
              </w:rPr>
              <w:t>Brazil</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2,937</w:t>
            </w:r>
          </w:p>
        </w:tc>
        <w:tc>
          <w:tcPr>
            <w:tcW w:w="96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29</w:t>
            </w: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580" w:type="dxa"/>
            <w:vAlign w:val="bottom"/>
            <w:gridSpan w:val="2"/>
          </w:tcPr>
          <w:p>
            <w:pPr>
              <w:jc w:val="right"/>
              <w:ind w:right="180"/>
              <w:spacing w:after="0"/>
              <w:rPr>
                <w:sz w:val="20"/>
                <w:szCs w:val="20"/>
                <w:color w:val="auto"/>
              </w:rPr>
            </w:pPr>
            <w:r>
              <w:rPr>
                <w:rFonts w:ascii="Arial" w:cs="Arial" w:eastAsia="Arial" w:hAnsi="Arial"/>
                <w:sz w:val="18"/>
                <w:szCs w:val="18"/>
                <w:color w:val="auto"/>
              </w:rPr>
              <w:t>12</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2,954</w:t>
            </w:r>
          </w:p>
        </w:tc>
        <w:tc>
          <w:tcPr>
            <w:tcW w:w="60" w:type="dxa"/>
            <w:vAlign w:val="bottom"/>
          </w:tcPr>
          <w:p>
            <w:pPr>
              <w:spacing w:after="0"/>
              <w:rPr>
                <w:sz w:val="18"/>
                <w:szCs w:val="18"/>
                <w:color w:val="auto"/>
              </w:rPr>
            </w:pPr>
          </w:p>
        </w:tc>
      </w:tr>
      <w:tr>
        <w:trPr>
          <w:trHeight w:val="216"/>
        </w:trPr>
        <w:tc>
          <w:tcPr>
            <w:tcW w:w="320" w:type="dxa"/>
            <w:vAlign w:val="bottom"/>
          </w:tcPr>
          <w:p>
            <w:pPr>
              <w:spacing w:after="0"/>
              <w:rPr>
                <w:sz w:val="18"/>
                <w:szCs w:val="18"/>
                <w:color w:val="auto"/>
              </w:rPr>
            </w:pPr>
          </w:p>
        </w:tc>
        <w:tc>
          <w:tcPr>
            <w:tcW w:w="43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5,182</w:t>
            </w:r>
          </w:p>
        </w:tc>
        <w:tc>
          <w:tcPr>
            <w:tcW w:w="96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35</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5,147</w:t>
            </w:r>
          </w:p>
        </w:tc>
        <w:tc>
          <w:tcPr>
            <w:tcW w:w="60" w:type="dxa"/>
            <w:vAlign w:val="bottom"/>
            <w:shd w:val="clear" w:color="auto" w:fill="CCEEFF"/>
          </w:tcPr>
          <w:p>
            <w:pPr>
              <w:spacing w:after="0"/>
              <w:rPr>
                <w:sz w:val="18"/>
                <w:szCs w:val="18"/>
                <w:color w:val="auto"/>
              </w:rPr>
            </w:pPr>
          </w:p>
        </w:tc>
      </w:tr>
      <w:tr>
        <w:trPr>
          <w:trHeight w:val="230"/>
        </w:trPr>
        <w:tc>
          <w:tcPr>
            <w:tcW w:w="320" w:type="dxa"/>
            <w:vAlign w:val="bottom"/>
          </w:tcPr>
          <w:p>
            <w:pPr>
              <w:spacing w:after="0"/>
              <w:rPr>
                <w:sz w:val="19"/>
                <w:szCs w:val="19"/>
                <w:color w:val="auto"/>
              </w:rPr>
            </w:pPr>
          </w:p>
        </w:tc>
        <w:tc>
          <w:tcPr>
            <w:tcW w:w="4300" w:type="dxa"/>
            <w:vAlign w:val="bottom"/>
            <w:gridSpan w:val="3"/>
          </w:tcPr>
          <w:p>
            <w:pPr>
              <w:ind w:left="160"/>
              <w:spacing w:after="0"/>
              <w:rPr>
                <w:sz w:val="20"/>
                <w:szCs w:val="20"/>
                <w:color w:val="auto"/>
              </w:rPr>
            </w:pPr>
            <w:r>
              <w:rPr>
                <w:rFonts w:ascii="Arial" w:cs="Arial" w:eastAsia="Arial" w:hAnsi="Arial"/>
                <w:sz w:val="18"/>
                <w:szCs w:val="18"/>
                <w:color w:val="auto"/>
              </w:rPr>
              <w:t>Trinidad and Tobago</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8,843</w:t>
            </w:r>
          </w:p>
        </w:tc>
        <w:tc>
          <w:tcPr>
            <w:tcW w:w="96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580" w:type="dxa"/>
            <w:vAlign w:val="bottom"/>
            <w:gridSpan w:val="2"/>
          </w:tcPr>
          <w:p>
            <w:pPr>
              <w:jc w:val="right"/>
              <w:ind w:right="180"/>
              <w:spacing w:after="0"/>
              <w:rPr>
                <w:sz w:val="20"/>
                <w:szCs w:val="20"/>
                <w:color w:val="auto"/>
              </w:rPr>
            </w:pPr>
            <w:r>
              <w:rPr>
                <w:rFonts w:ascii="Arial" w:cs="Arial" w:eastAsia="Arial" w:hAnsi="Arial"/>
                <w:sz w:val="18"/>
                <w:szCs w:val="18"/>
                <w:color w:val="auto"/>
              </w:rPr>
              <w:t>211</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8,632</w:t>
            </w:r>
          </w:p>
        </w:tc>
        <w:tc>
          <w:tcPr>
            <w:tcW w:w="60" w:type="dxa"/>
            <w:vAlign w:val="bottom"/>
          </w:tcPr>
          <w:p>
            <w:pPr>
              <w:spacing w:after="0"/>
              <w:rPr>
                <w:sz w:val="19"/>
                <w:szCs w:val="19"/>
                <w:color w:val="auto"/>
              </w:rPr>
            </w:pPr>
          </w:p>
        </w:tc>
      </w:tr>
      <w:tr>
        <w:trPr>
          <w:trHeight w:val="210"/>
        </w:trPr>
        <w:tc>
          <w:tcPr>
            <w:tcW w:w="320" w:type="dxa"/>
            <w:vAlign w:val="bottom"/>
          </w:tcPr>
          <w:p>
            <w:pPr>
              <w:spacing w:after="0"/>
              <w:rPr>
                <w:sz w:val="18"/>
                <w:szCs w:val="18"/>
                <w:color w:val="auto"/>
              </w:rPr>
            </w:pPr>
          </w:p>
        </w:tc>
        <w:tc>
          <w:tcPr>
            <w:tcW w:w="124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CCEEFF"/>
            </w:tcBorders>
            <w:shd w:val="clear" w:color="auto" w:fill="CCEEFF"/>
          </w:tcPr>
          <w:p>
            <w:pPr>
              <w:spacing w:after="0"/>
              <w:rPr>
                <w:sz w:val="18"/>
                <w:szCs w:val="18"/>
                <w:color w:val="auto"/>
              </w:rPr>
            </w:pPr>
          </w:p>
        </w:tc>
        <w:tc>
          <w:tcPr>
            <w:tcW w:w="238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16,962</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w:t>
            </w:r>
          </w:p>
        </w:tc>
        <w:tc>
          <w:tcPr>
            <w:tcW w:w="18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16,733</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23"/>
        </w:trPr>
        <w:tc>
          <w:tcPr>
            <w:tcW w:w="3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380" w:type="dxa"/>
            <w:vAlign w:val="bottom"/>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25,592</w:t>
            </w:r>
          </w:p>
        </w:tc>
        <w:tc>
          <w:tcPr>
            <w:tcW w:w="22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w:t>
            </w:r>
          </w:p>
        </w:tc>
        <w:tc>
          <w:tcPr>
            <w:tcW w:w="22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486</w:t>
            </w:r>
          </w:p>
        </w:tc>
        <w:tc>
          <w:tcPr>
            <w:tcW w:w="18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25,135</w:t>
            </w:r>
          </w:p>
        </w:tc>
        <w:tc>
          <w:tcPr>
            <w:tcW w:w="2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2" w:lineRule="exact"/>
        <w:rPr>
          <w:sz w:val="20"/>
          <w:szCs w:val="20"/>
          <w:color w:val="auto"/>
        </w:rPr>
      </w:pPr>
    </w:p>
    <w:p>
      <w:pPr>
        <w:ind w:left="980" w:right="840" w:hanging="324"/>
        <w:spacing w:after="0" w:line="194" w:lineRule="auto"/>
        <w:tabs>
          <w:tab w:leader="none" w:pos="980" w:val="left"/>
        </w:tabs>
        <w:numPr>
          <w:ilvl w:val="0"/>
          <w:numId w:val="152"/>
        </w:numPr>
        <w:rPr>
          <w:rFonts w:ascii="Arial" w:cs="Arial" w:eastAsia="Arial" w:hAnsi="Arial"/>
          <w:sz w:val="30"/>
          <w:szCs w:val="30"/>
          <w:color w:val="222222"/>
          <w:vertAlign w:val="superscript"/>
        </w:rPr>
      </w:pPr>
      <w:r>
        <w:rPr>
          <w:rFonts w:ascii="Arial" w:cs="Arial" w:eastAsia="Arial" w:hAnsi="Arial"/>
          <w:sz w:val="18"/>
          <w:szCs w:val="18"/>
          <w:color w:val="222222"/>
        </w:rPr>
        <w:t>Equity instruments were initially recognized at fair value. These equity instruments correspond to equity securities classified with the irrevocable option of changes in OCI.</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57" w:name="page158"/>
    <w:bookmarkEnd w:id="1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540" w:hanging="316"/>
        <w:spacing w:after="0"/>
        <w:tabs>
          <w:tab w:leader="none" w:pos="540" w:val="left"/>
        </w:tabs>
        <w:numPr>
          <w:ilvl w:val="0"/>
          <w:numId w:val="15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tabs>
          <w:tab w:leader="none" w:pos="760" w:val="left"/>
        </w:tabs>
        <w:rPr>
          <w:sz w:val="20"/>
          <w:szCs w:val="20"/>
          <w:color w:val="auto"/>
        </w:rPr>
      </w:pPr>
      <w:r>
        <w:rPr>
          <w:rFonts w:ascii="Arial" w:cs="Arial" w:eastAsia="Arial" w:hAnsi="Arial"/>
          <w:sz w:val="18"/>
          <w:szCs w:val="18"/>
          <w:b w:val="1"/>
          <w:bCs w:val="1"/>
          <w:color w:val="auto"/>
        </w:rPr>
        <w:t>5.2</w:t>
      </w:r>
      <w:r>
        <w:rPr>
          <w:sz w:val="20"/>
          <w:szCs w:val="20"/>
          <w:color w:val="auto"/>
        </w:rPr>
        <w:tab/>
      </w:r>
      <w:r>
        <w:rPr>
          <w:rFonts w:ascii="Arial" w:cs="Arial" w:eastAsia="Arial" w:hAnsi="Arial"/>
          <w:sz w:val="16"/>
          <w:szCs w:val="16"/>
          <w:b w:val="1"/>
          <w:bCs w:val="1"/>
          <w:color w:val="auto"/>
        </w:rPr>
        <w:t>Financial instruments at fair value through other comprehensive income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Securities at FVOCI</w:t>
      </w:r>
      <w:r>
        <w:rPr>
          <w:rFonts w:ascii="Arial" w:cs="Arial" w:eastAsia="Arial" w:hAnsi="Arial"/>
          <w:sz w:val="18"/>
          <w:szCs w:val="18"/>
          <w:b w:val="1"/>
          <w:bCs w:val="1"/>
          <w:color w:val="auto"/>
        </w:rPr>
        <w:t xml:space="preserve"> (continued)</w:t>
      </w:r>
    </w:p>
    <w:p>
      <w:pPr>
        <w:spacing w:after="0" w:line="239" w:lineRule="exact"/>
        <w:rPr>
          <w:sz w:val="20"/>
          <w:szCs w:val="20"/>
          <w:color w:val="auto"/>
        </w:rPr>
      </w:pPr>
    </w:p>
    <w:tbl>
      <w:tblPr>
        <w:tblLayout w:type="fixed"/>
        <w:tblInd w:w="660" w:type="dxa"/>
        <w:tblCellMar>
          <w:top w:w="0" w:type="dxa"/>
          <w:left w:w="0" w:type="dxa"/>
          <w:bottom w:w="0" w:type="dxa"/>
          <w:right w:w="0" w:type="dxa"/>
        </w:tblCellMar>
      </w:tblPr>
      <w:tr>
        <w:trPr>
          <w:trHeight w:val="234"/>
        </w:trPr>
        <w:tc>
          <w:tcPr>
            <w:tcW w:w="4300" w:type="dxa"/>
            <w:vAlign w:val="bottom"/>
          </w:tcPr>
          <w:p>
            <w:pPr>
              <w:spacing w:after="0"/>
              <w:rPr>
                <w:sz w:val="20"/>
                <w:szCs w:val="20"/>
                <w:color w:val="auto"/>
              </w:rPr>
            </w:pPr>
          </w:p>
        </w:tc>
        <w:tc>
          <w:tcPr>
            <w:tcW w:w="13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560" w:type="dxa"/>
            <w:vAlign w:val="bottom"/>
            <w:tcBorders>
              <w:bottom w:val="single" w:sz="8" w:color="auto"/>
            </w:tcBorders>
            <w:gridSpan w:val="4"/>
          </w:tcPr>
          <w:p>
            <w:pPr>
              <w:ind w:left="720"/>
              <w:spacing w:after="0"/>
              <w:rPr>
                <w:sz w:val="20"/>
                <w:szCs w:val="20"/>
                <w:color w:val="auto"/>
              </w:rPr>
            </w:pPr>
            <w:r>
              <w:rPr>
                <w:rFonts w:ascii="Arial" w:cs="Arial" w:eastAsia="Arial" w:hAnsi="Arial"/>
                <w:sz w:val="18"/>
                <w:szCs w:val="18"/>
                <w:b w:val="1"/>
                <w:bCs w:val="1"/>
                <w:color w:val="auto"/>
              </w:rPr>
              <w:t>December 31, 2016</w:t>
            </w:r>
          </w:p>
        </w:tc>
        <w:tc>
          <w:tcPr>
            <w:tcW w:w="4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36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430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1600" w:type="dxa"/>
            <w:vAlign w:val="bottom"/>
            <w:tcBorders>
              <w:bottom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Unrealized</w:t>
            </w:r>
          </w:p>
        </w:tc>
        <w:tc>
          <w:tcPr>
            <w:tcW w:w="40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4300" w:type="dxa"/>
            <w:vAlign w:val="bottom"/>
          </w:tcPr>
          <w:p>
            <w:pPr>
              <w:spacing w:after="0"/>
              <w:rPr>
                <w:sz w:val="19"/>
                <w:szCs w:val="19"/>
                <w:color w:val="auto"/>
              </w:rPr>
            </w:pPr>
          </w:p>
        </w:tc>
        <w:tc>
          <w:tcPr>
            <w:tcW w:w="16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6"/>
              </w:rPr>
              <w:t>Amortized cost</w:t>
            </w:r>
          </w:p>
        </w:tc>
        <w:tc>
          <w:tcPr>
            <w:tcW w:w="960" w:type="dxa"/>
            <w:vAlign w:val="bottom"/>
          </w:tcPr>
          <w:p>
            <w:pPr>
              <w:ind w:left="500"/>
              <w:spacing w:after="0"/>
              <w:rPr>
                <w:sz w:val="20"/>
                <w:szCs w:val="20"/>
                <w:color w:val="auto"/>
              </w:rPr>
            </w:pPr>
            <w:r>
              <w:rPr>
                <w:rFonts w:ascii="Arial" w:cs="Arial" w:eastAsia="Arial" w:hAnsi="Arial"/>
                <w:sz w:val="18"/>
                <w:szCs w:val="18"/>
                <w:b w:val="1"/>
                <w:bCs w:val="1"/>
                <w:color w:val="auto"/>
              </w:rPr>
              <w:t>Gain</w:t>
            </w:r>
          </w:p>
        </w:tc>
        <w:tc>
          <w:tcPr>
            <w:tcW w:w="4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Pr>
          <w:p>
            <w:pPr>
              <w:ind w:left="500"/>
              <w:spacing w:after="0"/>
              <w:rPr>
                <w:sz w:val="20"/>
                <w:szCs w:val="20"/>
                <w:color w:val="auto"/>
              </w:rPr>
            </w:pPr>
            <w:r>
              <w:rPr>
                <w:rFonts w:ascii="Arial" w:cs="Arial" w:eastAsia="Arial" w:hAnsi="Arial"/>
                <w:sz w:val="18"/>
                <w:szCs w:val="18"/>
                <w:b w:val="1"/>
                <w:bCs w:val="1"/>
                <w:color w:val="auto"/>
              </w:rPr>
              <w:t>Loss</w:t>
            </w:r>
          </w:p>
        </w:tc>
        <w:tc>
          <w:tcPr>
            <w:tcW w:w="4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440" w:type="dxa"/>
            <w:vAlign w:val="bottom"/>
            <w:gridSpan w:val="2"/>
          </w:tcPr>
          <w:p>
            <w:pPr>
              <w:ind w:left="280"/>
              <w:spacing w:after="0"/>
              <w:rPr>
                <w:sz w:val="20"/>
                <w:szCs w:val="20"/>
                <w:color w:val="auto"/>
              </w:rPr>
            </w:pPr>
            <w:r>
              <w:rPr>
                <w:rFonts w:ascii="Arial" w:cs="Arial" w:eastAsia="Arial" w:hAnsi="Arial"/>
                <w:sz w:val="18"/>
                <w:szCs w:val="18"/>
                <w:b w:val="1"/>
                <w:bCs w:val="1"/>
                <w:color w:val="auto"/>
              </w:rPr>
              <w:t>Fair value</w:t>
            </w:r>
          </w:p>
        </w:tc>
      </w:tr>
      <w:tr>
        <w:trPr>
          <w:trHeight w:val="210"/>
        </w:trPr>
        <w:tc>
          <w:tcPr>
            <w:tcW w:w="4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3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4300" w:type="dxa"/>
            <w:vAlign w:val="bottom"/>
          </w:tcPr>
          <w:p>
            <w:pPr>
              <w:ind w:left="160"/>
              <w:spacing w:after="0"/>
              <w:rPr>
                <w:sz w:val="20"/>
                <w:szCs w:val="20"/>
                <w:color w:val="auto"/>
              </w:rPr>
            </w:pPr>
            <w:r>
              <w:rPr>
                <w:rFonts w:ascii="Arial" w:cs="Arial" w:eastAsia="Arial" w:hAnsi="Arial"/>
                <w:sz w:val="18"/>
                <w:szCs w:val="18"/>
                <w:color w:val="auto"/>
              </w:rPr>
              <w:t>Brazil</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3,144</w:t>
            </w:r>
          </w:p>
        </w:tc>
        <w:tc>
          <w:tcPr>
            <w:tcW w:w="96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580" w:type="dxa"/>
            <w:vAlign w:val="bottom"/>
            <w:gridSpan w:val="2"/>
          </w:tcPr>
          <w:p>
            <w:pPr>
              <w:jc w:val="right"/>
              <w:ind w:right="180"/>
              <w:spacing w:after="0"/>
              <w:rPr>
                <w:sz w:val="20"/>
                <w:szCs w:val="20"/>
                <w:color w:val="auto"/>
              </w:rPr>
            </w:pPr>
            <w:r>
              <w:rPr>
                <w:rFonts w:ascii="Arial" w:cs="Arial" w:eastAsia="Arial" w:hAnsi="Arial"/>
                <w:sz w:val="18"/>
                <w:szCs w:val="18"/>
                <w:color w:val="auto"/>
              </w:rPr>
              <w:t>62</w:t>
            </w:r>
          </w:p>
        </w:tc>
        <w:tc>
          <w:tcPr>
            <w:tcW w:w="1440" w:type="dxa"/>
            <w:vAlign w:val="bottom"/>
            <w:gridSpan w:val="2"/>
          </w:tcPr>
          <w:p>
            <w:pPr>
              <w:jc w:val="right"/>
              <w:ind w:right="80"/>
              <w:spacing w:after="0"/>
              <w:rPr>
                <w:sz w:val="20"/>
                <w:szCs w:val="20"/>
                <w:color w:val="auto"/>
              </w:rPr>
            </w:pPr>
            <w:r>
              <w:rPr>
                <w:rFonts w:ascii="Arial" w:cs="Arial" w:eastAsia="Arial" w:hAnsi="Arial"/>
                <w:sz w:val="18"/>
                <w:szCs w:val="18"/>
                <w:color w:val="auto"/>
              </w:rPr>
              <w:t>3,082</w:t>
            </w:r>
          </w:p>
        </w:tc>
      </w:tr>
      <w:tr>
        <w:trPr>
          <w:trHeight w:val="230"/>
        </w:trPr>
        <w:tc>
          <w:tcPr>
            <w:tcW w:w="4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Venezuela</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10,810</w:t>
            </w:r>
          </w:p>
        </w:tc>
        <w:tc>
          <w:tcPr>
            <w:tcW w:w="96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22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w:t>
            </w:r>
          </w:p>
        </w:tc>
        <w:tc>
          <w:tcPr>
            <w:tcW w:w="14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10,827</w:t>
            </w:r>
          </w:p>
        </w:tc>
      </w:tr>
      <w:tr>
        <w:trPr>
          <w:trHeight w:val="210"/>
        </w:trPr>
        <w:tc>
          <w:tcPr>
            <w:tcW w:w="4300" w:type="dxa"/>
            <w:vAlign w:val="bottom"/>
            <w:tcBorders>
              <w:bottom w:val="single" w:sz="8" w:color="CCEEFF"/>
            </w:tcBorders>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13,954</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w:t>
            </w:r>
          </w:p>
        </w:tc>
        <w:tc>
          <w:tcPr>
            <w:tcW w:w="180" w:type="dxa"/>
            <w:vAlign w:val="bottom"/>
            <w:tcBorders>
              <w:bottom w:val="single" w:sz="8" w:color="CCEEFF"/>
            </w:tcBorders>
          </w:tcPr>
          <w:p>
            <w:pPr>
              <w:spacing w:after="0"/>
              <w:rPr>
                <w:sz w:val="18"/>
                <w:szCs w:val="18"/>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13,909</w:t>
            </w:r>
          </w:p>
        </w:tc>
        <w:tc>
          <w:tcPr>
            <w:tcW w:w="80" w:type="dxa"/>
            <w:vAlign w:val="bottom"/>
            <w:tcBorders>
              <w:bottom w:val="single" w:sz="8" w:color="CCEEFF"/>
            </w:tcBorders>
          </w:tcPr>
          <w:p>
            <w:pPr>
              <w:spacing w:after="0"/>
              <w:rPr>
                <w:sz w:val="18"/>
                <w:szCs w:val="18"/>
                <w:color w:val="auto"/>
              </w:rPr>
            </w:pPr>
          </w:p>
        </w:tc>
      </w:tr>
      <w:tr>
        <w:trPr>
          <w:trHeight w:val="210"/>
        </w:trPr>
        <w:tc>
          <w:tcPr>
            <w:tcW w:w="43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4300" w:type="dxa"/>
            <w:vAlign w:val="bottom"/>
          </w:tcPr>
          <w:p>
            <w:pPr>
              <w:ind w:left="20"/>
              <w:spacing w:after="0"/>
              <w:rPr>
                <w:sz w:val="20"/>
                <w:szCs w:val="20"/>
                <w:color w:val="auto"/>
              </w:rPr>
            </w:pPr>
            <w:r>
              <w:rPr>
                <w:rFonts w:ascii="Arial" w:cs="Arial" w:eastAsia="Arial" w:hAnsi="Arial"/>
                <w:sz w:val="18"/>
                <w:szCs w:val="18"/>
                <w:b w:val="1"/>
                <w:bCs w:val="1"/>
                <w:color w:val="auto"/>
              </w:rPr>
              <w:t>Sovereign debt:</w:t>
            </w: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2,926</w:t>
            </w:r>
          </w:p>
        </w:tc>
        <w:tc>
          <w:tcPr>
            <w:tcW w:w="96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140</w:t>
            </w:r>
          </w:p>
        </w:tc>
        <w:tc>
          <w:tcPr>
            <w:tcW w:w="14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2,786</w:t>
            </w:r>
          </w:p>
        </w:tc>
      </w:tr>
      <w:tr>
        <w:trPr>
          <w:trHeight w:val="216"/>
        </w:trPr>
        <w:tc>
          <w:tcPr>
            <w:tcW w:w="4300" w:type="dxa"/>
            <w:vAlign w:val="bottom"/>
          </w:tcPr>
          <w:p>
            <w:pPr>
              <w:ind w:left="160"/>
              <w:spacing w:after="0"/>
              <w:rPr>
                <w:sz w:val="20"/>
                <w:szCs w:val="20"/>
                <w:color w:val="auto"/>
              </w:rPr>
            </w:pPr>
            <w:r>
              <w:rPr>
                <w:rFonts w:ascii="Arial" w:cs="Arial" w:eastAsia="Arial" w:hAnsi="Arial"/>
                <w:sz w:val="18"/>
                <w:szCs w:val="18"/>
                <w:color w:val="auto"/>
              </w:rPr>
              <w:t>Chile</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5,229</w:t>
            </w:r>
          </w:p>
        </w:tc>
        <w:tc>
          <w:tcPr>
            <w:tcW w:w="96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580" w:type="dxa"/>
            <w:vAlign w:val="bottom"/>
            <w:gridSpan w:val="2"/>
          </w:tcPr>
          <w:p>
            <w:pPr>
              <w:jc w:val="right"/>
              <w:ind w:right="180"/>
              <w:spacing w:after="0"/>
              <w:rPr>
                <w:sz w:val="20"/>
                <w:szCs w:val="20"/>
                <w:color w:val="auto"/>
              </w:rPr>
            </w:pPr>
            <w:r>
              <w:rPr>
                <w:rFonts w:ascii="Arial" w:cs="Arial" w:eastAsia="Arial" w:hAnsi="Arial"/>
                <w:sz w:val="18"/>
                <w:szCs w:val="18"/>
                <w:color w:val="auto"/>
              </w:rPr>
              <w:t>59</w:t>
            </w:r>
          </w:p>
        </w:tc>
        <w:tc>
          <w:tcPr>
            <w:tcW w:w="1440" w:type="dxa"/>
            <w:vAlign w:val="bottom"/>
            <w:gridSpan w:val="2"/>
          </w:tcPr>
          <w:p>
            <w:pPr>
              <w:jc w:val="right"/>
              <w:ind w:right="80"/>
              <w:spacing w:after="0"/>
              <w:rPr>
                <w:sz w:val="20"/>
                <w:szCs w:val="20"/>
                <w:color w:val="auto"/>
              </w:rPr>
            </w:pPr>
            <w:r>
              <w:rPr>
                <w:rFonts w:ascii="Arial" w:cs="Arial" w:eastAsia="Arial" w:hAnsi="Arial"/>
                <w:sz w:val="18"/>
                <w:szCs w:val="18"/>
                <w:color w:val="auto"/>
              </w:rPr>
              <w:t>5,170</w:t>
            </w:r>
          </w:p>
        </w:tc>
      </w:tr>
      <w:tr>
        <w:trPr>
          <w:trHeight w:val="230"/>
        </w:trPr>
        <w:tc>
          <w:tcPr>
            <w:tcW w:w="4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Trinidad and Tobago</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9,283</w:t>
            </w:r>
          </w:p>
        </w:tc>
        <w:tc>
          <w:tcPr>
            <w:tcW w:w="96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541</w:t>
            </w:r>
          </w:p>
        </w:tc>
        <w:tc>
          <w:tcPr>
            <w:tcW w:w="14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8,742</w:t>
            </w:r>
          </w:p>
        </w:tc>
      </w:tr>
      <w:tr>
        <w:trPr>
          <w:trHeight w:val="210"/>
        </w:trPr>
        <w:tc>
          <w:tcPr>
            <w:tcW w:w="4300" w:type="dxa"/>
            <w:vAlign w:val="bottom"/>
            <w:tcBorders>
              <w:bottom w:val="single" w:sz="8" w:color="CCEEFF"/>
            </w:tcBorders>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17,438</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740</w:t>
            </w:r>
          </w:p>
        </w:tc>
        <w:tc>
          <w:tcPr>
            <w:tcW w:w="180" w:type="dxa"/>
            <w:vAlign w:val="bottom"/>
            <w:tcBorders>
              <w:bottom w:val="single" w:sz="8" w:color="CCEEFF"/>
            </w:tcBorders>
          </w:tcPr>
          <w:p>
            <w:pPr>
              <w:spacing w:after="0"/>
              <w:rPr>
                <w:sz w:val="18"/>
                <w:szCs w:val="18"/>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16,698</w:t>
            </w:r>
          </w:p>
        </w:tc>
        <w:tc>
          <w:tcPr>
            <w:tcW w:w="80" w:type="dxa"/>
            <w:vAlign w:val="bottom"/>
            <w:tcBorders>
              <w:bottom w:val="single" w:sz="8" w:color="CCEEFF"/>
            </w:tcBorders>
          </w:tcPr>
          <w:p>
            <w:pPr>
              <w:spacing w:after="0"/>
              <w:rPr>
                <w:sz w:val="18"/>
                <w:szCs w:val="18"/>
                <w:color w:val="auto"/>
              </w:rPr>
            </w:pPr>
          </w:p>
        </w:tc>
      </w:tr>
      <w:tr>
        <w:trPr>
          <w:trHeight w:val="223"/>
        </w:trPr>
        <w:tc>
          <w:tcPr>
            <w:tcW w:w="4300" w:type="dxa"/>
            <w:vAlign w:val="bottom"/>
            <w:tcBorders>
              <w:bottom w:val="single" w:sz="8" w:color="CCEEFF"/>
            </w:tcBorders>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31,392</w:t>
            </w:r>
          </w:p>
        </w:tc>
        <w:tc>
          <w:tcPr>
            <w:tcW w:w="22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spacing w:after="0"/>
              <w:rPr>
                <w:sz w:val="19"/>
                <w:szCs w:val="19"/>
                <w:color w:val="auto"/>
              </w:rPr>
            </w:pPr>
          </w:p>
        </w:tc>
        <w:tc>
          <w:tcPr>
            <w:tcW w:w="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w:t>
            </w:r>
          </w:p>
        </w:tc>
        <w:tc>
          <w:tcPr>
            <w:tcW w:w="22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spacing w:after="0"/>
              <w:rPr>
                <w:sz w:val="19"/>
                <w:szCs w:val="19"/>
                <w:color w:val="auto"/>
              </w:rPr>
            </w:pPr>
          </w:p>
        </w:tc>
        <w:tc>
          <w:tcPr>
            <w:tcW w:w="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805</w:t>
            </w:r>
          </w:p>
        </w:tc>
        <w:tc>
          <w:tcPr>
            <w:tcW w:w="180" w:type="dxa"/>
            <w:vAlign w:val="bottom"/>
            <w:tcBorders>
              <w:bottom w:val="single" w:sz="8" w:color="CCEEFF"/>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30,607</w:t>
            </w:r>
          </w:p>
        </w:tc>
        <w:tc>
          <w:tcPr>
            <w:tcW w:w="80" w:type="dxa"/>
            <w:vAlign w:val="bottom"/>
            <w:tcBorders>
              <w:bottom w:val="single" w:sz="8" w:color="CCEEFF"/>
            </w:tcBorders>
            <w:shd w:val="clear" w:color="auto" w:fill="CCEEFF"/>
          </w:tcPr>
          <w:p>
            <w:pPr>
              <w:spacing w:after="0"/>
              <w:rPr>
                <w:sz w:val="19"/>
                <w:szCs w:val="19"/>
                <w:color w:val="auto"/>
              </w:rPr>
            </w:pPr>
          </w:p>
        </w:tc>
      </w:tr>
      <w:tr>
        <w:trPr>
          <w:trHeight w:val="20"/>
        </w:trPr>
        <w:tc>
          <w:tcPr>
            <w:tcW w:w="43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2017 and 2016, there were no securities at fair value through OCI guaranteeing repurchase transactions.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discloses those securities that had unrealized losses for a period less than 12 months and for 12 months or longer:</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54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90"/>
              </w:rPr>
              <w:t>December 31, 2017</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2540" w:type="dxa"/>
            <w:vAlign w:val="bottom"/>
          </w:tcPr>
          <w:p>
            <w:pPr>
              <w:spacing w:after="0"/>
              <w:rPr>
                <w:sz w:val="19"/>
                <w:szCs w:val="19"/>
                <w:color w:val="auto"/>
              </w:rPr>
            </w:pPr>
          </w:p>
        </w:tc>
        <w:tc>
          <w:tcPr>
            <w:tcW w:w="2640" w:type="dxa"/>
            <w:vAlign w:val="bottom"/>
            <w:gridSpan w:val="4"/>
          </w:tcPr>
          <w:p>
            <w:pPr>
              <w:ind w:left="520"/>
              <w:spacing w:after="0"/>
              <w:rPr>
                <w:sz w:val="20"/>
                <w:szCs w:val="20"/>
                <w:color w:val="auto"/>
              </w:rPr>
            </w:pPr>
            <w:r>
              <w:rPr>
                <w:rFonts w:ascii="Arial" w:cs="Arial" w:eastAsia="Arial" w:hAnsi="Arial"/>
                <w:sz w:val="18"/>
                <w:szCs w:val="18"/>
                <w:b w:val="1"/>
                <w:bCs w:val="1"/>
                <w:color w:val="auto"/>
              </w:rPr>
              <w:t>Less than 12 months</w:t>
            </w:r>
          </w:p>
        </w:tc>
        <w:tc>
          <w:tcPr>
            <w:tcW w:w="200" w:type="dxa"/>
            <w:vAlign w:val="bottom"/>
          </w:tcPr>
          <w:p>
            <w:pPr>
              <w:spacing w:after="0"/>
              <w:rPr>
                <w:sz w:val="19"/>
                <w:szCs w:val="19"/>
                <w:color w:val="auto"/>
              </w:rPr>
            </w:pPr>
          </w:p>
        </w:tc>
        <w:tc>
          <w:tcPr>
            <w:tcW w:w="28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8"/>
              </w:rPr>
              <w:t>12 months or longer</w:t>
            </w:r>
          </w:p>
        </w:tc>
        <w:tc>
          <w:tcPr>
            <w:tcW w:w="1540" w:type="dxa"/>
            <w:vAlign w:val="bottom"/>
            <w:gridSpan w:val="3"/>
          </w:tcPr>
          <w:p>
            <w:pPr>
              <w:ind w:left="1120"/>
              <w:spacing w:after="0"/>
              <w:rPr>
                <w:sz w:val="20"/>
                <w:szCs w:val="20"/>
                <w:color w:val="auto"/>
              </w:rPr>
            </w:pPr>
            <w:r>
              <w:rPr>
                <w:rFonts w:ascii="Arial" w:cs="Arial" w:eastAsia="Arial" w:hAnsi="Arial"/>
                <w:sz w:val="18"/>
                <w:szCs w:val="18"/>
                <w:b w:val="1"/>
                <w:bCs w:val="1"/>
                <w:color w:val="auto"/>
                <w:w w:val="92"/>
              </w:rPr>
              <w:t>Total</w:t>
            </w: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191"/>
        </w:trPr>
        <w:tc>
          <w:tcPr>
            <w:tcW w:w="340" w:type="dxa"/>
            <w:vAlign w:val="bottom"/>
          </w:tcPr>
          <w:p>
            <w:pPr>
              <w:spacing w:after="0"/>
              <w:rPr>
                <w:sz w:val="16"/>
                <w:szCs w:val="16"/>
                <w:color w:val="auto"/>
              </w:rPr>
            </w:pPr>
          </w:p>
        </w:tc>
        <w:tc>
          <w:tcPr>
            <w:tcW w:w="2540" w:type="dxa"/>
            <w:vAlign w:val="bottom"/>
          </w:tcPr>
          <w:p>
            <w:pPr>
              <w:spacing w:after="0"/>
              <w:rPr>
                <w:sz w:val="16"/>
                <w:szCs w:val="16"/>
                <w:color w:val="auto"/>
              </w:rPr>
            </w:pPr>
          </w:p>
        </w:tc>
        <w:tc>
          <w:tcPr>
            <w:tcW w:w="1420" w:type="dxa"/>
            <w:vAlign w:val="bottom"/>
            <w:tcBorders>
              <w:top w:val="single" w:sz="8" w:color="auto"/>
            </w:tcBorders>
            <w:gridSpan w:val="2"/>
          </w:tcPr>
          <w:p>
            <w:pPr>
              <w:ind w:left="420"/>
              <w:spacing w:after="0" w:line="191" w:lineRule="exact"/>
              <w:rPr>
                <w:sz w:val="20"/>
                <w:szCs w:val="20"/>
                <w:color w:val="auto"/>
              </w:rPr>
            </w:pPr>
            <w:r>
              <w:rPr>
                <w:rFonts w:ascii="Arial" w:cs="Arial" w:eastAsia="Arial" w:hAnsi="Arial"/>
                <w:sz w:val="18"/>
                <w:szCs w:val="18"/>
                <w:b w:val="1"/>
                <w:bCs w:val="1"/>
                <w:color w:val="auto"/>
              </w:rPr>
              <w:t>Fair</w:t>
            </w:r>
          </w:p>
        </w:tc>
        <w:tc>
          <w:tcPr>
            <w:tcW w:w="1200" w:type="dxa"/>
            <w:vAlign w:val="bottom"/>
            <w:tcBorders>
              <w:top w:val="single" w:sz="8" w:color="auto"/>
            </w:tcBorders>
          </w:tcPr>
          <w:p>
            <w:pPr>
              <w:ind w:left="180"/>
              <w:spacing w:after="0" w:line="191" w:lineRule="exact"/>
              <w:rPr>
                <w:sz w:val="20"/>
                <w:szCs w:val="20"/>
                <w:color w:val="auto"/>
              </w:rPr>
            </w:pPr>
            <w:r>
              <w:rPr>
                <w:rFonts w:ascii="Arial" w:cs="Arial" w:eastAsia="Arial" w:hAnsi="Arial"/>
                <w:sz w:val="18"/>
                <w:szCs w:val="18"/>
                <w:b w:val="1"/>
                <w:bCs w:val="1"/>
                <w:color w:val="auto"/>
              </w:rPr>
              <w:t>Unrealized</w:t>
            </w: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20" w:type="dxa"/>
            <w:vAlign w:val="bottom"/>
            <w:tcBorders>
              <w:top w:val="single" w:sz="8" w:color="auto"/>
            </w:tcBorders>
            <w:gridSpan w:val="2"/>
          </w:tcPr>
          <w:p>
            <w:pPr>
              <w:ind w:left="420"/>
              <w:spacing w:after="0" w:line="191" w:lineRule="exact"/>
              <w:rPr>
                <w:sz w:val="20"/>
                <w:szCs w:val="20"/>
                <w:color w:val="auto"/>
              </w:rPr>
            </w:pPr>
            <w:r>
              <w:rPr>
                <w:rFonts w:ascii="Arial" w:cs="Arial" w:eastAsia="Arial" w:hAnsi="Arial"/>
                <w:sz w:val="18"/>
                <w:szCs w:val="18"/>
                <w:b w:val="1"/>
                <w:bCs w:val="1"/>
                <w:color w:val="auto"/>
              </w:rPr>
              <w:t>Fair</w:t>
            </w:r>
          </w:p>
        </w:tc>
        <w:tc>
          <w:tcPr>
            <w:tcW w:w="1200" w:type="dxa"/>
            <w:vAlign w:val="bottom"/>
            <w:tcBorders>
              <w:top w:val="single" w:sz="8" w:color="auto"/>
            </w:tcBorders>
          </w:tcPr>
          <w:p>
            <w:pPr>
              <w:ind w:left="18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540" w:type="dxa"/>
            <w:vAlign w:val="bottom"/>
            <w:tcBorders>
              <w:top w:val="single" w:sz="8" w:color="auto"/>
            </w:tcBorders>
            <w:gridSpan w:val="3"/>
          </w:tcPr>
          <w:p>
            <w:pPr>
              <w:ind w:left="42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ind w:left="60"/>
              <w:spacing w:after="0" w:line="191" w:lineRule="exact"/>
              <w:rPr>
                <w:sz w:val="20"/>
                <w:szCs w:val="20"/>
                <w:color w:val="auto"/>
              </w:rPr>
            </w:pPr>
            <w:r>
              <w:rPr>
                <w:rFonts w:ascii="Arial" w:cs="Arial" w:eastAsia="Arial" w:hAnsi="Arial"/>
                <w:sz w:val="18"/>
                <w:szCs w:val="18"/>
                <w:b w:val="1"/>
                <w:bCs w:val="1"/>
                <w:color w:val="auto"/>
              </w:rPr>
              <w:t>Unrealized</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2540" w:type="dxa"/>
            <w:vAlign w:val="bottom"/>
          </w:tcPr>
          <w:p>
            <w:pPr>
              <w:spacing w:after="0"/>
              <w:rPr>
                <w:sz w:val="20"/>
                <w:szCs w:val="20"/>
                <w:color w:val="auto"/>
              </w:rPr>
            </w:pPr>
          </w:p>
        </w:tc>
        <w:tc>
          <w:tcPr>
            <w:tcW w:w="1420" w:type="dxa"/>
            <w:vAlign w:val="bottom"/>
            <w:gridSpan w:val="2"/>
          </w:tcPr>
          <w:p>
            <w:pPr>
              <w:ind w:left="400"/>
              <w:spacing w:after="0"/>
              <w:rPr>
                <w:sz w:val="20"/>
                <w:szCs w:val="20"/>
                <w:color w:val="auto"/>
              </w:rPr>
            </w:pPr>
            <w:r>
              <w:rPr>
                <w:rFonts w:ascii="Arial" w:cs="Arial" w:eastAsia="Arial" w:hAnsi="Arial"/>
                <w:sz w:val="18"/>
                <w:szCs w:val="18"/>
                <w:b w:val="1"/>
                <w:bCs w:val="1"/>
                <w:color w:val="auto"/>
              </w:rPr>
              <w:t>value</w:t>
            </w:r>
          </w:p>
        </w:tc>
        <w:tc>
          <w:tcPr>
            <w:tcW w:w="1220" w:type="dxa"/>
            <w:vAlign w:val="bottom"/>
            <w:gridSpan w:val="2"/>
          </w:tcPr>
          <w:p>
            <w:pPr>
              <w:ind w:left="160"/>
              <w:spacing w:after="0"/>
              <w:rPr>
                <w:sz w:val="20"/>
                <w:szCs w:val="20"/>
                <w:color w:val="auto"/>
              </w:rPr>
            </w:pPr>
            <w:r>
              <w:rPr>
                <w:rFonts w:ascii="Arial" w:cs="Arial" w:eastAsia="Arial" w:hAnsi="Arial"/>
                <w:sz w:val="18"/>
                <w:szCs w:val="18"/>
                <w:b w:val="1"/>
                <w:bCs w:val="1"/>
                <w:color w:val="auto"/>
                <w:w w:val="94"/>
              </w:rPr>
              <w:t>gross losses</w:t>
            </w:r>
          </w:p>
        </w:tc>
        <w:tc>
          <w:tcPr>
            <w:tcW w:w="200" w:type="dxa"/>
            <w:vAlign w:val="bottom"/>
          </w:tcPr>
          <w:p>
            <w:pPr>
              <w:spacing w:after="0"/>
              <w:rPr>
                <w:sz w:val="20"/>
                <w:szCs w:val="20"/>
                <w:color w:val="auto"/>
              </w:rPr>
            </w:pPr>
          </w:p>
        </w:tc>
        <w:tc>
          <w:tcPr>
            <w:tcW w:w="1420" w:type="dxa"/>
            <w:vAlign w:val="bottom"/>
            <w:gridSpan w:val="2"/>
          </w:tcPr>
          <w:p>
            <w:pPr>
              <w:ind w:left="400"/>
              <w:spacing w:after="0"/>
              <w:rPr>
                <w:sz w:val="20"/>
                <w:szCs w:val="20"/>
                <w:color w:val="auto"/>
              </w:rPr>
            </w:pPr>
            <w:r>
              <w:rPr>
                <w:rFonts w:ascii="Arial" w:cs="Arial" w:eastAsia="Arial" w:hAnsi="Arial"/>
                <w:sz w:val="18"/>
                <w:szCs w:val="18"/>
                <w:b w:val="1"/>
                <w:bCs w:val="1"/>
                <w:color w:val="auto"/>
              </w:rPr>
              <w:t>value</w:t>
            </w:r>
          </w:p>
        </w:tc>
        <w:tc>
          <w:tcPr>
            <w:tcW w:w="142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losses</w:t>
            </w:r>
          </w:p>
        </w:tc>
        <w:tc>
          <w:tcPr>
            <w:tcW w:w="1540" w:type="dxa"/>
            <w:vAlign w:val="bottom"/>
            <w:gridSpan w:val="3"/>
          </w:tcPr>
          <w:p>
            <w:pPr>
              <w:ind w:left="400"/>
              <w:spacing w:after="0"/>
              <w:rPr>
                <w:sz w:val="20"/>
                <w:szCs w:val="20"/>
                <w:color w:val="auto"/>
              </w:rPr>
            </w:pPr>
            <w:r>
              <w:rPr>
                <w:rFonts w:ascii="Arial" w:cs="Arial" w:eastAsia="Arial" w:hAnsi="Arial"/>
                <w:sz w:val="18"/>
                <w:szCs w:val="18"/>
                <w:b w:val="1"/>
                <w:bCs w:val="1"/>
                <w:color w:val="auto"/>
              </w:rPr>
              <w:t>value</w:t>
            </w:r>
          </w:p>
        </w:tc>
        <w:tc>
          <w:tcPr>
            <w:tcW w:w="1180" w:type="dxa"/>
            <w:vAlign w:val="bottom"/>
            <w:gridSpan w:val="2"/>
          </w:tcPr>
          <w:p>
            <w:pPr>
              <w:ind w:left="40"/>
              <w:spacing w:after="0"/>
              <w:rPr>
                <w:sz w:val="20"/>
                <w:szCs w:val="20"/>
                <w:color w:val="auto"/>
              </w:rPr>
            </w:pPr>
            <w:r>
              <w:rPr>
                <w:rFonts w:ascii="Arial" w:cs="Arial" w:eastAsia="Arial" w:hAnsi="Arial"/>
                <w:sz w:val="18"/>
                <w:szCs w:val="18"/>
                <w:b w:val="1"/>
                <w:bCs w:val="1"/>
                <w:color w:val="auto"/>
              </w:rPr>
              <w:t>gross losses</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25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Sovereign debt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5,147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9,616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14,763</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2540" w:type="dxa"/>
            <w:vAlign w:val="bottom"/>
          </w:tcPr>
          <w:p>
            <w:pPr>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5,147</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9,616</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223</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14,763</w:t>
            </w:r>
          </w:p>
        </w:tc>
        <w:tc>
          <w:tcPr>
            <w:tcW w:w="22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258</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5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54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90"/>
              </w:rPr>
              <w:t>December 31, 2016</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2540" w:type="dxa"/>
            <w:vAlign w:val="bottom"/>
          </w:tcPr>
          <w:p>
            <w:pPr>
              <w:spacing w:after="0"/>
              <w:rPr>
                <w:sz w:val="19"/>
                <w:szCs w:val="19"/>
                <w:color w:val="auto"/>
              </w:rPr>
            </w:pPr>
          </w:p>
        </w:tc>
        <w:tc>
          <w:tcPr>
            <w:tcW w:w="2640" w:type="dxa"/>
            <w:vAlign w:val="bottom"/>
            <w:gridSpan w:val="4"/>
          </w:tcPr>
          <w:p>
            <w:pPr>
              <w:ind w:left="520"/>
              <w:spacing w:after="0"/>
              <w:rPr>
                <w:sz w:val="20"/>
                <w:szCs w:val="20"/>
                <w:color w:val="auto"/>
              </w:rPr>
            </w:pPr>
            <w:r>
              <w:rPr>
                <w:rFonts w:ascii="Arial" w:cs="Arial" w:eastAsia="Arial" w:hAnsi="Arial"/>
                <w:sz w:val="18"/>
                <w:szCs w:val="18"/>
                <w:b w:val="1"/>
                <w:bCs w:val="1"/>
                <w:color w:val="auto"/>
              </w:rPr>
              <w:t>Less than 12 months</w:t>
            </w:r>
          </w:p>
        </w:tc>
        <w:tc>
          <w:tcPr>
            <w:tcW w:w="200" w:type="dxa"/>
            <w:vAlign w:val="bottom"/>
          </w:tcPr>
          <w:p>
            <w:pPr>
              <w:spacing w:after="0"/>
              <w:rPr>
                <w:sz w:val="19"/>
                <w:szCs w:val="19"/>
                <w:color w:val="auto"/>
              </w:rPr>
            </w:pPr>
          </w:p>
        </w:tc>
        <w:tc>
          <w:tcPr>
            <w:tcW w:w="28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8"/>
              </w:rPr>
              <w:t>12 months or longer</w:t>
            </w:r>
          </w:p>
        </w:tc>
        <w:tc>
          <w:tcPr>
            <w:tcW w:w="1540" w:type="dxa"/>
            <w:vAlign w:val="bottom"/>
            <w:gridSpan w:val="3"/>
          </w:tcPr>
          <w:p>
            <w:pPr>
              <w:ind w:left="1120"/>
              <w:spacing w:after="0"/>
              <w:rPr>
                <w:sz w:val="20"/>
                <w:szCs w:val="20"/>
                <w:color w:val="auto"/>
              </w:rPr>
            </w:pPr>
            <w:r>
              <w:rPr>
                <w:rFonts w:ascii="Arial" w:cs="Arial" w:eastAsia="Arial" w:hAnsi="Arial"/>
                <w:sz w:val="18"/>
                <w:szCs w:val="18"/>
                <w:b w:val="1"/>
                <w:bCs w:val="1"/>
                <w:color w:val="auto"/>
                <w:w w:val="92"/>
              </w:rPr>
              <w:t>Total</w:t>
            </w: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191"/>
        </w:trPr>
        <w:tc>
          <w:tcPr>
            <w:tcW w:w="340" w:type="dxa"/>
            <w:vAlign w:val="bottom"/>
          </w:tcPr>
          <w:p>
            <w:pPr>
              <w:spacing w:after="0"/>
              <w:rPr>
                <w:sz w:val="16"/>
                <w:szCs w:val="16"/>
                <w:color w:val="auto"/>
              </w:rPr>
            </w:pPr>
          </w:p>
        </w:tc>
        <w:tc>
          <w:tcPr>
            <w:tcW w:w="2540" w:type="dxa"/>
            <w:vAlign w:val="bottom"/>
          </w:tcPr>
          <w:p>
            <w:pPr>
              <w:spacing w:after="0"/>
              <w:rPr>
                <w:sz w:val="16"/>
                <w:szCs w:val="16"/>
                <w:color w:val="auto"/>
              </w:rPr>
            </w:pPr>
          </w:p>
        </w:tc>
        <w:tc>
          <w:tcPr>
            <w:tcW w:w="1420" w:type="dxa"/>
            <w:vAlign w:val="bottom"/>
            <w:tcBorders>
              <w:top w:val="single" w:sz="8" w:color="auto"/>
            </w:tcBorders>
            <w:gridSpan w:val="2"/>
          </w:tcPr>
          <w:p>
            <w:pPr>
              <w:ind w:left="420"/>
              <w:spacing w:after="0" w:line="191" w:lineRule="exact"/>
              <w:rPr>
                <w:sz w:val="20"/>
                <w:szCs w:val="20"/>
                <w:color w:val="auto"/>
              </w:rPr>
            </w:pPr>
            <w:r>
              <w:rPr>
                <w:rFonts w:ascii="Arial" w:cs="Arial" w:eastAsia="Arial" w:hAnsi="Arial"/>
                <w:sz w:val="18"/>
                <w:szCs w:val="18"/>
                <w:b w:val="1"/>
                <w:bCs w:val="1"/>
                <w:color w:val="auto"/>
              </w:rPr>
              <w:t>Fair</w:t>
            </w:r>
          </w:p>
        </w:tc>
        <w:tc>
          <w:tcPr>
            <w:tcW w:w="1200" w:type="dxa"/>
            <w:vAlign w:val="bottom"/>
            <w:tcBorders>
              <w:top w:val="single" w:sz="8" w:color="auto"/>
            </w:tcBorders>
          </w:tcPr>
          <w:p>
            <w:pPr>
              <w:ind w:left="180"/>
              <w:spacing w:after="0" w:line="191" w:lineRule="exact"/>
              <w:rPr>
                <w:sz w:val="20"/>
                <w:szCs w:val="20"/>
                <w:color w:val="auto"/>
              </w:rPr>
            </w:pPr>
            <w:r>
              <w:rPr>
                <w:rFonts w:ascii="Arial" w:cs="Arial" w:eastAsia="Arial" w:hAnsi="Arial"/>
                <w:sz w:val="18"/>
                <w:szCs w:val="18"/>
                <w:b w:val="1"/>
                <w:bCs w:val="1"/>
                <w:color w:val="auto"/>
              </w:rPr>
              <w:t>Unrealized</w:t>
            </w: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20" w:type="dxa"/>
            <w:vAlign w:val="bottom"/>
            <w:tcBorders>
              <w:top w:val="single" w:sz="8" w:color="auto"/>
            </w:tcBorders>
            <w:gridSpan w:val="2"/>
          </w:tcPr>
          <w:p>
            <w:pPr>
              <w:ind w:left="420"/>
              <w:spacing w:after="0" w:line="191" w:lineRule="exact"/>
              <w:rPr>
                <w:sz w:val="20"/>
                <w:szCs w:val="20"/>
                <w:color w:val="auto"/>
              </w:rPr>
            </w:pPr>
            <w:r>
              <w:rPr>
                <w:rFonts w:ascii="Arial" w:cs="Arial" w:eastAsia="Arial" w:hAnsi="Arial"/>
                <w:sz w:val="18"/>
                <w:szCs w:val="18"/>
                <w:b w:val="1"/>
                <w:bCs w:val="1"/>
                <w:color w:val="auto"/>
              </w:rPr>
              <w:t>Fair</w:t>
            </w:r>
          </w:p>
        </w:tc>
        <w:tc>
          <w:tcPr>
            <w:tcW w:w="1200" w:type="dxa"/>
            <w:vAlign w:val="bottom"/>
            <w:tcBorders>
              <w:top w:val="single" w:sz="8" w:color="auto"/>
            </w:tcBorders>
          </w:tcPr>
          <w:p>
            <w:pPr>
              <w:ind w:left="18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540" w:type="dxa"/>
            <w:vAlign w:val="bottom"/>
            <w:tcBorders>
              <w:top w:val="single" w:sz="8" w:color="auto"/>
            </w:tcBorders>
            <w:gridSpan w:val="3"/>
          </w:tcPr>
          <w:p>
            <w:pPr>
              <w:ind w:left="42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ind w:left="60"/>
              <w:spacing w:after="0" w:line="191" w:lineRule="exact"/>
              <w:rPr>
                <w:sz w:val="20"/>
                <w:szCs w:val="20"/>
                <w:color w:val="auto"/>
              </w:rPr>
            </w:pPr>
            <w:r>
              <w:rPr>
                <w:rFonts w:ascii="Arial" w:cs="Arial" w:eastAsia="Arial" w:hAnsi="Arial"/>
                <w:sz w:val="18"/>
                <w:szCs w:val="18"/>
                <w:b w:val="1"/>
                <w:bCs w:val="1"/>
                <w:color w:val="auto"/>
              </w:rPr>
              <w:t>Unrealized</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2540" w:type="dxa"/>
            <w:vAlign w:val="bottom"/>
          </w:tcPr>
          <w:p>
            <w:pPr>
              <w:spacing w:after="0"/>
              <w:rPr>
                <w:sz w:val="20"/>
                <w:szCs w:val="20"/>
                <w:color w:val="auto"/>
              </w:rPr>
            </w:pPr>
          </w:p>
        </w:tc>
        <w:tc>
          <w:tcPr>
            <w:tcW w:w="1420" w:type="dxa"/>
            <w:vAlign w:val="bottom"/>
            <w:gridSpan w:val="2"/>
          </w:tcPr>
          <w:p>
            <w:pPr>
              <w:ind w:left="400"/>
              <w:spacing w:after="0"/>
              <w:rPr>
                <w:sz w:val="20"/>
                <w:szCs w:val="20"/>
                <w:color w:val="auto"/>
              </w:rPr>
            </w:pPr>
            <w:r>
              <w:rPr>
                <w:rFonts w:ascii="Arial" w:cs="Arial" w:eastAsia="Arial" w:hAnsi="Arial"/>
                <w:sz w:val="18"/>
                <w:szCs w:val="18"/>
                <w:b w:val="1"/>
                <w:bCs w:val="1"/>
                <w:color w:val="auto"/>
              </w:rPr>
              <w:t>value</w:t>
            </w:r>
          </w:p>
        </w:tc>
        <w:tc>
          <w:tcPr>
            <w:tcW w:w="1220" w:type="dxa"/>
            <w:vAlign w:val="bottom"/>
            <w:gridSpan w:val="2"/>
          </w:tcPr>
          <w:p>
            <w:pPr>
              <w:ind w:left="160"/>
              <w:spacing w:after="0"/>
              <w:rPr>
                <w:sz w:val="20"/>
                <w:szCs w:val="20"/>
                <w:color w:val="auto"/>
              </w:rPr>
            </w:pPr>
            <w:r>
              <w:rPr>
                <w:rFonts w:ascii="Arial" w:cs="Arial" w:eastAsia="Arial" w:hAnsi="Arial"/>
                <w:sz w:val="18"/>
                <w:szCs w:val="18"/>
                <w:b w:val="1"/>
                <w:bCs w:val="1"/>
                <w:color w:val="auto"/>
                <w:w w:val="94"/>
              </w:rPr>
              <w:t>gross losses</w:t>
            </w:r>
          </w:p>
        </w:tc>
        <w:tc>
          <w:tcPr>
            <w:tcW w:w="200" w:type="dxa"/>
            <w:vAlign w:val="bottom"/>
          </w:tcPr>
          <w:p>
            <w:pPr>
              <w:spacing w:after="0"/>
              <w:rPr>
                <w:sz w:val="20"/>
                <w:szCs w:val="20"/>
                <w:color w:val="auto"/>
              </w:rPr>
            </w:pPr>
          </w:p>
        </w:tc>
        <w:tc>
          <w:tcPr>
            <w:tcW w:w="1420" w:type="dxa"/>
            <w:vAlign w:val="bottom"/>
            <w:gridSpan w:val="2"/>
          </w:tcPr>
          <w:p>
            <w:pPr>
              <w:ind w:left="400"/>
              <w:spacing w:after="0"/>
              <w:rPr>
                <w:sz w:val="20"/>
                <w:szCs w:val="20"/>
                <w:color w:val="auto"/>
              </w:rPr>
            </w:pPr>
            <w:r>
              <w:rPr>
                <w:rFonts w:ascii="Arial" w:cs="Arial" w:eastAsia="Arial" w:hAnsi="Arial"/>
                <w:sz w:val="18"/>
                <w:szCs w:val="18"/>
                <w:b w:val="1"/>
                <w:bCs w:val="1"/>
                <w:color w:val="auto"/>
              </w:rPr>
              <w:t>value</w:t>
            </w:r>
          </w:p>
        </w:tc>
        <w:tc>
          <w:tcPr>
            <w:tcW w:w="142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losses</w:t>
            </w:r>
          </w:p>
        </w:tc>
        <w:tc>
          <w:tcPr>
            <w:tcW w:w="1540" w:type="dxa"/>
            <w:vAlign w:val="bottom"/>
            <w:gridSpan w:val="3"/>
          </w:tcPr>
          <w:p>
            <w:pPr>
              <w:ind w:left="400"/>
              <w:spacing w:after="0"/>
              <w:rPr>
                <w:sz w:val="20"/>
                <w:szCs w:val="20"/>
                <w:color w:val="auto"/>
              </w:rPr>
            </w:pPr>
            <w:r>
              <w:rPr>
                <w:rFonts w:ascii="Arial" w:cs="Arial" w:eastAsia="Arial" w:hAnsi="Arial"/>
                <w:sz w:val="18"/>
                <w:szCs w:val="18"/>
                <w:b w:val="1"/>
                <w:bCs w:val="1"/>
                <w:color w:val="auto"/>
              </w:rPr>
              <w:t>value</w:t>
            </w:r>
          </w:p>
        </w:tc>
        <w:tc>
          <w:tcPr>
            <w:tcW w:w="1180" w:type="dxa"/>
            <w:vAlign w:val="bottom"/>
            <w:gridSpan w:val="2"/>
          </w:tcPr>
          <w:p>
            <w:pPr>
              <w:ind w:left="40"/>
              <w:spacing w:after="0"/>
              <w:rPr>
                <w:sz w:val="20"/>
                <w:szCs w:val="20"/>
                <w:color w:val="auto"/>
              </w:rPr>
            </w:pPr>
            <w:r>
              <w:rPr>
                <w:rFonts w:ascii="Arial" w:cs="Arial" w:eastAsia="Arial" w:hAnsi="Arial"/>
                <w:sz w:val="18"/>
                <w:szCs w:val="18"/>
                <w:b w:val="1"/>
                <w:bCs w:val="1"/>
                <w:color w:val="auto"/>
              </w:rPr>
              <w:t>gross losses</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25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4,887</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540" w:type="dxa"/>
            <w:vAlign w:val="bottom"/>
          </w:tcPr>
          <w:p>
            <w:pPr>
              <w:spacing w:after="0"/>
              <w:rPr>
                <w:sz w:val="20"/>
                <w:szCs w:val="20"/>
                <w:color w:val="auto"/>
              </w:rPr>
            </w:pPr>
            <w:r>
              <w:rPr>
                <w:rFonts w:ascii="Arial" w:cs="Arial" w:eastAsia="Arial" w:hAnsi="Arial"/>
                <w:sz w:val="18"/>
                <w:szCs w:val="18"/>
                <w:color w:val="auto"/>
              </w:rPr>
              <w:t>Sovereign debt</w:t>
            </w:r>
          </w:p>
        </w:tc>
        <w:tc>
          <w:tcPr>
            <w:tcW w:w="1200" w:type="dxa"/>
            <w:vAlign w:val="bottom"/>
          </w:tcPr>
          <w:p>
            <w:pPr>
              <w:jc w:val="right"/>
              <w:spacing w:after="0"/>
              <w:rPr>
                <w:sz w:val="20"/>
                <w:szCs w:val="20"/>
                <w:color w:val="auto"/>
              </w:rPr>
            </w:pPr>
            <w:r>
              <w:rPr>
                <w:rFonts w:ascii="Arial" w:cs="Arial" w:eastAsia="Arial" w:hAnsi="Arial"/>
                <w:sz w:val="18"/>
                <w:szCs w:val="18"/>
                <w:color w:val="auto"/>
              </w:rPr>
              <w:t>5,170</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59</w:t>
            </w:r>
          </w:p>
        </w:tc>
        <w:tc>
          <w:tcPr>
            <w:tcW w:w="20" w:type="dxa"/>
            <w:vAlign w:val="bottom"/>
          </w:tcPr>
          <w:p>
            <w:pPr>
              <w:spacing w:after="0"/>
              <w:rPr>
                <w:sz w:val="19"/>
                <w:szCs w:val="19"/>
                <w:color w:val="auto"/>
              </w:rPr>
            </w:pPr>
          </w:p>
        </w:tc>
        <w:tc>
          <w:tcPr>
            <w:tcW w:w="1620" w:type="dxa"/>
            <w:vAlign w:val="bottom"/>
            <w:gridSpan w:val="3"/>
          </w:tcPr>
          <w:p>
            <w:pPr>
              <w:jc w:val="right"/>
              <w:ind w:right="220"/>
              <w:spacing w:after="0"/>
              <w:rPr>
                <w:sz w:val="20"/>
                <w:szCs w:val="20"/>
                <w:color w:val="auto"/>
              </w:rPr>
            </w:pPr>
            <w:r>
              <w:rPr>
                <w:rFonts w:ascii="Arial" w:cs="Arial" w:eastAsia="Arial" w:hAnsi="Arial"/>
                <w:sz w:val="18"/>
                <w:szCs w:val="18"/>
                <w:color w:val="auto"/>
              </w:rPr>
              <w:t>11,528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681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16,698</w:t>
            </w:r>
          </w:p>
        </w:tc>
        <w:tc>
          <w:tcPr>
            <w:tcW w:w="120" w:type="dxa"/>
            <w:vAlign w:val="bottom"/>
          </w:tcPr>
          <w:p>
            <w:pPr>
              <w:spacing w:after="0"/>
              <w:rPr>
                <w:sz w:val="19"/>
                <w:szCs w:val="19"/>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740</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5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14,610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21,585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5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3"/>
          </w:tcPr>
          <w:p>
            <w:pPr>
              <w:jc w:val="right"/>
              <w:ind w:right="1240"/>
              <w:spacing w:after="0"/>
              <w:rPr>
                <w:sz w:val="20"/>
                <w:szCs w:val="20"/>
                <w:color w:val="auto"/>
              </w:rPr>
            </w:pPr>
            <w:r>
              <w:rPr>
                <w:rFonts w:ascii="Arial" w:cs="Arial" w:eastAsia="Arial" w:hAnsi="Arial"/>
                <w:sz w:val="18"/>
                <w:szCs w:val="18"/>
                <w:color w:val="auto"/>
                <w:w w:val="97"/>
              </w:rPr>
              <w:t>F-36</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8" w:right="239" w:bottom="1440" w:gutter="0" w:footer="0" w:header="0"/>
        </w:sectPr>
      </w:pPr>
    </w:p>
    <w:bookmarkStart w:id="158" w:name="page159"/>
    <w:bookmarkEnd w:id="158"/>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1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5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5.2 Financial instruments at fair value through other comprehensive income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Securities at FVOCI</w:t>
      </w:r>
      <w:r>
        <w:rPr>
          <w:rFonts w:ascii="Arial" w:cs="Arial" w:eastAsia="Arial" w:hAnsi="Arial"/>
          <w:sz w:val="18"/>
          <w:szCs w:val="18"/>
          <w:b w:val="1"/>
          <w:bCs w:val="1"/>
          <w:color w:val="auto"/>
        </w:rPr>
        <w:t xml:space="preserve">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realized gains and losses on sale of securities at fair value through other comprehensive income:</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800" w:type="dxa"/>
            <w:vAlign w:val="bottom"/>
          </w:tcPr>
          <w:p>
            <w:pPr>
              <w:spacing w:after="0"/>
              <w:rPr>
                <w:sz w:val="18"/>
                <w:szCs w:val="18"/>
                <w:color w:val="auto"/>
              </w:rPr>
            </w:pPr>
          </w:p>
        </w:tc>
        <w:tc>
          <w:tcPr>
            <w:tcW w:w="14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3"/>
              </w:rPr>
              <w:t>December 31,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3"/>
              </w:rPr>
              <w:t>December 31,</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68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r>
      <w:tr>
        <w:trPr>
          <w:trHeight w:val="210"/>
        </w:trPr>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766</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221</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469</w:t>
            </w:r>
          </w:p>
        </w:tc>
        <w:tc>
          <w:tcPr>
            <w:tcW w:w="100" w:type="dxa"/>
            <w:vAlign w:val="bottom"/>
            <w:shd w:val="clear" w:color="auto" w:fill="CCEEFF"/>
          </w:tcPr>
          <w:p>
            <w:pPr>
              <w:spacing w:after="0"/>
              <w:rPr>
                <w:sz w:val="18"/>
                <w:szCs w:val="18"/>
                <w:color w:val="auto"/>
              </w:rPr>
            </w:pPr>
          </w:p>
        </w:tc>
      </w:tr>
      <w:tr>
        <w:trPr>
          <w:trHeight w:val="230"/>
        </w:trPr>
        <w:tc>
          <w:tcPr>
            <w:tcW w:w="6800" w:type="dxa"/>
            <w:vAlign w:val="bottom"/>
          </w:tcPr>
          <w:p>
            <w:pPr>
              <w:spacing w:after="0"/>
              <w:rPr>
                <w:sz w:val="20"/>
                <w:szCs w:val="20"/>
                <w:color w:val="auto"/>
              </w:rPr>
            </w:pPr>
            <w:r>
              <w:rPr>
                <w:rFonts w:ascii="Arial" w:cs="Arial" w:eastAsia="Arial" w:hAnsi="Arial"/>
                <w:sz w:val="18"/>
                <w:szCs w:val="18"/>
                <w:color w:val="auto"/>
              </w:rPr>
              <w:t>Realized loss on sale of securities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(517)</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(577)</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(106)</w:t>
            </w:r>
          </w:p>
        </w:tc>
      </w:tr>
      <w:tr>
        <w:trPr>
          <w:trHeight w:val="223"/>
        </w:trPr>
        <w:tc>
          <w:tcPr>
            <w:tcW w:w="6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w w:val="99"/>
              </w:rPr>
              <w:t>Net gain (loss) on sale of securities at fair value through other comprehensive income</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(356</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8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Securities at fair value through other comprehensive income classified by issuer’s credit quality indicators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220" w:type="dxa"/>
            <w:vAlign w:val="bottom"/>
            <w:vMerge w:val="restart"/>
          </w:tcPr>
          <w:p>
            <w:pPr>
              <w:jc w:val="center"/>
              <w:ind w:right="30"/>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42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822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220" w:type="dxa"/>
            <w:vAlign w:val="bottom"/>
            <w:shd w:val="clear" w:color="auto" w:fill="CCEEFF"/>
          </w:tcPr>
          <w:p>
            <w:pPr>
              <w:jc w:val="center"/>
              <w:ind w:right="10"/>
              <w:spacing w:after="0"/>
              <w:rPr>
                <w:sz w:val="20"/>
                <w:szCs w:val="20"/>
                <w:color w:val="auto"/>
              </w:rPr>
            </w:pPr>
            <w:r>
              <w:rPr>
                <w:rFonts w:ascii="Arial" w:cs="Arial" w:eastAsia="Arial" w:hAnsi="Arial"/>
                <w:sz w:val="18"/>
                <w:szCs w:val="18"/>
                <w:color w:val="auto"/>
                <w:w w:val="92"/>
              </w:rPr>
              <w:t>1-4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16,733</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30,607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220" w:type="dxa"/>
            <w:vAlign w:val="bottom"/>
          </w:tcPr>
          <w:p>
            <w:pPr>
              <w:jc w:val="center"/>
              <w:ind w:right="10"/>
              <w:spacing w:after="0"/>
              <w:rPr>
                <w:sz w:val="20"/>
                <w:szCs w:val="20"/>
                <w:color w:val="auto"/>
              </w:rPr>
            </w:pPr>
            <w:r>
              <w:rPr>
                <w:rFonts w:ascii="Arial" w:cs="Arial" w:eastAsia="Arial" w:hAnsi="Arial"/>
                <w:sz w:val="18"/>
                <w:szCs w:val="18"/>
                <w:color w:val="auto"/>
                <w:w w:val="92"/>
              </w:rPr>
              <w:t>5-6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22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99"/>
              </w:rPr>
              <w:t>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220" w:type="dxa"/>
            <w:vAlign w:val="bottom"/>
          </w:tcPr>
          <w:p>
            <w:pPr>
              <w:jc w:val="center"/>
              <w:ind w:right="30"/>
              <w:spacing w:after="0"/>
              <w:rPr>
                <w:sz w:val="20"/>
                <w:szCs w:val="20"/>
                <w:color w:val="auto"/>
              </w:rPr>
            </w:pPr>
            <w:r>
              <w:rPr>
                <w:rFonts w:ascii="Arial" w:cs="Arial" w:eastAsia="Arial" w:hAnsi="Arial"/>
                <w:sz w:val="18"/>
                <w:szCs w:val="18"/>
                <w:color w:val="auto"/>
                <w:w w:val="99"/>
              </w:rPr>
              <w:t>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22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99"/>
              </w:rPr>
              <w:t>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220" w:type="dxa"/>
            <w:vAlign w:val="bottom"/>
            <w:tcBorders>
              <w:bottom w:val="single" w:sz="8" w:color="CCEEFF"/>
            </w:tcBorders>
          </w:tcPr>
          <w:p>
            <w:pPr>
              <w:jc w:val="center"/>
              <w:ind w:right="30"/>
              <w:spacing w:after="0"/>
              <w:rPr>
                <w:sz w:val="20"/>
                <w:szCs w:val="20"/>
                <w:color w:val="auto"/>
              </w:rPr>
            </w:pPr>
            <w:r>
              <w:rPr>
                <w:rFonts w:ascii="Arial" w:cs="Arial" w:eastAsia="Arial" w:hAnsi="Arial"/>
                <w:sz w:val="18"/>
                <w:szCs w:val="18"/>
                <w:color w:val="auto"/>
                <w:w w:val="89"/>
              </w:rPr>
              <w:t>10</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220" w:type="dxa"/>
            <w:vAlign w:val="bottom"/>
            <w:tcBorders>
              <w:bottom w:val="single" w:sz="8" w:color="CCEEFF"/>
            </w:tcBorders>
            <w:shd w:val="clear" w:color="auto" w:fill="CCEEFF"/>
          </w:tcPr>
          <w:p>
            <w:pPr>
              <w:jc w:val="center"/>
              <w:ind w:right="30"/>
              <w:spacing w:after="0"/>
              <w:rPr>
                <w:sz w:val="20"/>
                <w:szCs w:val="20"/>
                <w:color w:val="auto"/>
              </w:rPr>
            </w:pPr>
            <w:r>
              <w:rPr>
                <w:rFonts w:ascii="Arial" w:cs="Arial" w:eastAsia="Arial" w:hAnsi="Arial"/>
                <w:sz w:val="18"/>
                <w:szCs w:val="18"/>
                <w:color w:val="auto"/>
                <w:w w:val="94"/>
              </w:rPr>
              <w:t>Total</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16,733</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30,607</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0" w:lineRule="exact"/>
        <w:rPr>
          <w:sz w:val="20"/>
          <w:szCs w:val="20"/>
          <w:color w:val="auto"/>
        </w:rPr>
      </w:pPr>
    </w:p>
    <w:p>
      <w:pPr>
        <w:ind w:left="2980" w:hanging="217"/>
        <w:spacing w:after="0"/>
        <w:tabs>
          <w:tab w:leader="none" w:pos="2980" w:val="left"/>
        </w:tabs>
        <w:numPr>
          <w:ilvl w:val="0"/>
          <w:numId w:val="155"/>
        </w:numPr>
        <w:rPr>
          <w:rFonts w:ascii="Arial" w:cs="Arial" w:eastAsia="Arial" w:hAnsi="Arial"/>
          <w:sz w:val="26"/>
          <w:szCs w:val="26"/>
          <w:color w:val="auto"/>
          <w:vertAlign w:val="superscript"/>
        </w:rPr>
      </w:pPr>
      <w:r>
        <w:rPr>
          <w:rFonts w:ascii="Arial" w:cs="Arial" w:eastAsia="Arial" w:hAnsi="Arial"/>
          <w:sz w:val="16"/>
          <w:szCs w:val="16"/>
          <w:color w:val="auto"/>
        </w:rPr>
        <w:t>Current ratings as of December 31, 2017 and 2016, respectively.</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amortized cost and fair value of securities at fair value through other comprehensive income by contractual maturity are shown in the following tables:</w:t>
      </w:r>
    </w:p>
    <w:p>
      <w:pPr>
        <w:spacing w:after="0" w:line="39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780" w:type="dxa"/>
            <w:vAlign w:val="bottom"/>
          </w:tcPr>
          <w:p>
            <w:pPr>
              <w:spacing w:after="0"/>
              <w:rPr>
                <w:sz w:val="20"/>
                <w:szCs w:val="20"/>
                <w:color w:val="auto"/>
              </w:rPr>
            </w:pPr>
          </w:p>
        </w:tc>
        <w:tc>
          <w:tcPr>
            <w:tcW w:w="1600" w:type="dxa"/>
            <w:vAlign w:val="bottom"/>
          </w:tcPr>
          <w:p>
            <w:pPr>
              <w:spacing w:after="0"/>
              <w:rPr>
                <w:sz w:val="20"/>
                <w:szCs w:val="20"/>
                <w:color w:val="auto"/>
              </w:rPr>
            </w:pPr>
          </w:p>
        </w:tc>
        <w:tc>
          <w:tcPr>
            <w:tcW w:w="2840" w:type="dxa"/>
            <w:vAlign w:val="bottom"/>
            <w:gridSpan w:val="4"/>
          </w:tcPr>
          <w:p>
            <w:pPr>
              <w:jc w:val="right"/>
              <w:ind w:right="800"/>
              <w:spacing w:after="0"/>
              <w:rPr>
                <w:sz w:val="20"/>
                <w:szCs w:val="20"/>
                <w:color w:val="auto"/>
              </w:rPr>
            </w:pPr>
            <w:r>
              <w:rPr>
                <w:rFonts w:ascii="Arial" w:cs="Arial" w:eastAsia="Arial" w:hAnsi="Arial"/>
                <w:sz w:val="18"/>
                <w:szCs w:val="18"/>
                <w:b w:val="1"/>
                <w:bCs w:val="1"/>
                <w:color w:val="auto"/>
              </w:rPr>
              <w:t>December 31, 2017</w:t>
            </w:r>
          </w:p>
        </w:tc>
        <w:tc>
          <w:tcPr>
            <w:tcW w:w="2720" w:type="dxa"/>
            <w:vAlign w:val="bottom"/>
            <w:gridSpan w:val="4"/>
          </w:tcPr>
          <w:p>
            <w:pPr>
              <w:ind w:left="580"/>
              <w:spacing w:after="0"/>
              <w:rPr>
                <w:sz w:val="20"/>
                <w:szCs w:val="20"/>
                <w:color w:val="auto"/>
              </w:rPr>
            </w:pPr>
            <w:r>
              <w:rPr>
                <w:rFonts w:ascii="Arial" w:cs="Arial" w:eastAsia="Arial" w:hAnsi="Arial"/>
                <w:sz w:val="18"/>
                <w:szCs w:val="18"/>
                <w:b w:val="1"/>
                <w:bCs w:val="1"/>
                <w:color w:val="auto"/>
              </w:rPr>
              <w:t>December 31, 2016</w:t>
            </w: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780" w:type="dxa"/>
            <w:vAlign w:val="bottom"/>
          </w:tcPr>
          <w:p>
            <w:pPr>
              <w:spacing w:after="0"/>
              <w:rPr>
                <w:sz w:val="16"/>
                <w:szCs w:val="16"/>
                <w:color w:val="auto"/>
              </w:rPr>
            </w:pPr>
          </w:p>
        </w:tc>
        <w:tc>
          <w:tcPr>
            <w:tcW w:w="1600" w:type="dxa"/>
            <w:vAlign w:val="bottom"/>
          </w:tcPr>
          <w:p>
            <w:pPr>
              <w:spacing w:after="0"/>
              <w:rPr>
                <w:sz w:val="16"/>
                <w:szCs w:val="16"/>
                <w:color w:val="auto"/>
              </w:rPr>
            </w:pPr>
          </w:p>
        </w:tc>
        <w:tc>
          <w:tcPr>
            <w:tcW w:w="1420" w:type="dxa"/>
            <w:vAlign w:val="bottom"/>
            <w:tcBorders>
              <w:top w:val="single" w:sz="8" w:color="auto"/>
            </w:tcBorders>
            <w:gridSpan w:val="2"/>
          </w:tcPr>
          <w:p>
            <w:pPr>
              <w:jc w:val="right"/>
              <w:ind w:right="400"/>
              <w:spacing w:after="0" w:line="191" w:lineRule="exact"/>
              <w:rPr>
                <w:sz w:val="20"/>
                <w:szCs w:val="20"/>
                <w:color w:val="auto"/>
              </w:rPr>
            </w:pPr>
            <w:r>
              <w:rPr>
                <w:rFonts w:ascii="Arial" w:cs="Arial" w:eastAsia="Arial" w:hAnsi="Arial"/>
                <w:sz w:val="18"/>
                <w:szCs w:val="18"/>
                <w:b w:val="1"/>
                <w:bCs w:val="1"/>
                <w:color w:val="auto"/>
              </w:rPr>
              <w:t>Amortized</w:t>
            </w:r>
          </w:p>
        </w:tc>
        <w:tc>
          <w:tcPr>
            <w:tcW w:w="120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780" w:type="dxa"/>
            <w:vAlign w:val="bottom"/>
          </w:tcPr>
          <w:p>
            <w:pPr>
              <w:spacing w:after="0"/>
              <w:rPr>
                <w:sz w:val="20"/>
                <w:szCs w:val="20"/>
                <w:color w:val="auto"/>
              </w:rPr>
            </w:pPr>
          </w:p>
        </w:tc>
        <w:tc>
          <w:tcPr>
            <w:tcW w:w="1600" w:type="dxa"/>
            <w:vAlign w:val="bottom"/>
          </w:tcPr>
          <w:p>
            <w:pPr>
              <w:spacing w:after="0"/>
              <w:rPr>
                <w:sz w:val="20"/>
                <w:szCs w:val="20"/>
                <w:color w:val="auto"/>
              </w:rPr>
            </w:pPr>
          </w:p>
        </w:tc>
        <w:tc>
          <w:tcPr>
            <w:tcW w:w="14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cost</w:t>
            </w:r>
          </w:p>
        </w:tc>
        <w:tc>
          <w:tcPr>
            <w:tcW w:w="14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Fair value</w:t>
            </w:r>
          </w:p>
        </w:tc>
        <w:tc>
          <w:tcPr>
            <w:tcW w:w="1420" w:type="dxa"/>
            <w:vAlign w:val="bottom"/>
            <w:gridSpan w:val="2"/>
          </w:tcPr>
          <w:p>
            <w:pPr>
              <w:ind w:left="20"/>
              <w:spacing w:after="0"/>
              <w:rPr>
                <w:sz w:val="20"/>
                <w:szCs w:val="20"/>
                <w:color w:val="auto"/>
              </w:rPr>
            </w:pPr>
            <w:r>
              <w:rPr>
                <w:rFonts w:ascii="Arial" w:cs="Arial" w:eastAsia="Arial" w:hAnsi="Arial"/>
                <w:sz w:val="18"/>
                <w:szCs w:val="18"/>
                <w:b w:val="1"/>
                <w:bCs w:val="1"/>
                <w:color w:val="auto"/>
              </w:rPr>
              <w:t>Amortized cost</w:t>
            </w:r>
          </w:p>
        </w:tc>
        <w:tc>
          <w:tcPr>
            <w:tcW w:w="13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30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3020" w:type="dxa"/>
            <w:vAlign w:val="bottom"/>
            <w:gridSpan w:val="3"/>
          </w:tcPr>
          <w:p>
            <w:pPr>
              <w:jc w:val="right"/>
              <w:ind w:right="220"/>
              <w:spacing w:after="0"/>
              <w:rPr>
                <w:sz w:val="20"/>
                <w:szCs w:val="20"/>
                <w:color w:val="auto"/>
              </w:rPr>
            </w:pPr>
            <w:r>
              <w:rPr>
                <w:rFonts w:ascii="Arial" w:cs="Arial" w:eastAsia="Arial" w:hAnsi="Arial"/>
                <w:sz w:val="18"/>
                <w:szCs w:val="18"/>
                <w:color w:val="auto"/>
              </w:rPr>
              <w:t>16,962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16,733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17,656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16,994</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30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13,736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13,613</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16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16,962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16,733</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31,392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30,607</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36"/>
        </w:trPr>
        <w:tc>
          <w:tcPr>
            <w:tcW w:w="34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gridSpan w:val="3"/>
          </w:tcPr>
          <w:p>
            <w:pPr>
              <w:jc w:val="right"/>
              <w:ind w:right="1240"/>
              <w:spacing w:after="0"/>
              <w:rPr>
                <w:sz w:val="20"/>
                <w:szCs w:val="20"/>
                <w:color w:val="auto"/>
              </w:rPr>
            </w:pPr>
            <w:r>
              <w:rPr>
                <w:rFonts w:ascii="Arial" w:cs="Arial" w:eastAsia="Arial" w:hAnsi="Arial"/>
                <w:sz w:val="18"/>
                <w:szCs w:val="18"/>
                <w:color w:val="auto"/>
              </w:rPr>
              <w:t>F-37</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0" w:right="239" w:bottom="1440" w:gutter="0" w:footer="0" w:header="0"/>
        </w:sectPr>
      </w:pPr>
    </w:p>
    <w:bookmarkStart w:id="159" w:name="page160"/>
    <w:bookmarkEnd w:id="1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5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5.3 Financial instruments at fair value through other comprehensive income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Securities at FVOCI</w:t>
      </w:r>
      <w:r>
        <w:rPr>
          <w:rFonts w:ascii="Arial" w:cs="Arial" w:eastAsia="Arial" w:hAnsi="Arial"/>
          <w:sz w:val="18"/>
          <w:szCs w:val="18"/>
          <w:b w:val="1"/>
          <w:bCs w:val="1"/>
          <w:color w:val="auto"/>
        </w:rPr>
        <w:t xml:space="preserve"> (continued)</w:t>
      </w:r>
    </w:p>
    <w:p>
      <w:pPr>
        <w:spacing w:after="0" w:line="229" w:lineRule="exact"/>
        <w:rPr>
          <w:sz w:val="20"/>
          <w:szCs w:val="20"/>
          <w:color w:val="auto"/>
        </w:rPr>
      </w:pPr>
    </w:p>
    <w:p>
      <w:pPr>
        <w:ind w:left="340" w:right="520"/>
        <w:spacing w:after="0" w:line="277" w:lineRule="auto"/>
        <w:rPr>
          <w:sz w:val="20"/>
          <w:szCs w:val="20"/>
          <w:color w:val="auto"/>
        </w:rPr>
      </w:pPr>
      <w:r>
        <w:rPr>
          <w:rFonts w:ascii="Arial" w:cs="Arial" w:eastAsia="Arial" w:hAnsi="Arial"/>
          <w:sz w:val="18"/>
          <w:szCs w:val="18"/>
          <w:color w:val="auto"/>
        </w:rPr>
        <w:t>The allowance for expected credit losses relating to securities at fair value through other comprehensive income, which is recorded in equity under accumulated other comprehensive income (loss), is as follow:</w:t>
      </w:r>
    </w:p>
    <w:p>
      <w:pPr>
        <w:spacing w:after="0" w:line="96" w:lineRule="exact"/>
        <w:rPr>
          <w:sz w:val="20"/>
          <w:szCs w:val="20"/>
          <w:color w:val="auto"/>
        </w:rPr>
      </w:pPr>
    </w:p>
    <w:tbl>
      <w:tblPr>
        <w:tblLayout w:type="fixed"/>
        <w:tblInd w:w="0" w:type="dxa"/>
        <w:tblCellMar>
          <w:top w:w="0" w:type="dxa"/>
          <w:left w:w="0" w:type="dxa"/>
          <w:bottom w:w="0" w:type="dxa"/>
          <w:right w:w="0" w:type="dxa"/>
        </w:tblCellMar>
      </w:tblPr>
      <w:tr>
        <w:trPr>
          <w:trHeight w:val="345"/>
        </w:trPr>
        <w:tc>
          <w:tcPr>
            <w:tcW w:w="3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5700" w:type="dxa"/>
            <w:vAlign w:val="bottom"/>
          </w:tcPr>
          <w:p>
            <w:pPr>
              <w:spacing w:after="0"/>
              <w:rPr>
                <w:sz w:val="24"/>
                <w:szCs w:val="24"/>
                <w:color w:val="auto"/>
              </w:rPr>
            </w:pPr>
          </w:p>
        </w:tc>
        <w:tc>
          <w:tcPr>
            <w:tcW w:w="12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2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89"/>
              </w:rPr>
              <w:t xml:space="preserve">Stage 2 </w:t>
            </w:r>
            <w:r>
              <w:rPr>
                <w:rFonts w:ascii="Arial" w:cs="Arial" w:eastAsia="Arial" w:hAnsi="Arial"/>
                <w:sz w:val="30"/>
                <w:szCs w:val="30"/>
                <w:b w:val="1"/>
                <w:bCs w:val="1"/>
                <w:color w:val="auto"/>
                <w:w w:val="89"/>
                <w:vertAlign w:val="superscript"/>
              </w:rPr>
              <w:t>(2)</w:t>
            </w:r>
          </w:p>
        </w:tc>
        <w:tc>
          <w:tcPr>
            <w:tcW w:w="1180" w:type="dxa"/>
            <w:vAlign w:val="bottom"/>
            <w:gridSpan w:val="2"/>
          </w:tcPr>
          <w:p>
            <w:pPr>
              <w:ind w:left="1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0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263</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305</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12-month expected credit losses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Financial assets that have been derecognized during the year</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(12)</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(12)</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Changes due to financial instruments recognized as of December 31, 2016:</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(83)</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Write-offs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198</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222</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57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3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5700" w:type="dxa"/>
            <w:vAlign w:val="bottom"/>
          </w:tcPr>
          <w:p>
            <w:pPr>
              <w:spacing w:after="0"/>
              <w:rPr>
                <w:sz w:val="24"/>
                <w:szCs w:val="24"/>
                <w:color w:val="auto"/>
              </w:rPr>
            </w:pPr>
          </w:p>
        </w:tc>
        <w:tc>
          <w:tcPr>
            <w:tcW w:w="12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2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1"/>
              </w:rPr>
              <w:t xml:space="preserve">Stage 2 </w:t>
            </w:r>
            <w:r>
              <w:rPr>
                <w:rFonts w:ascii="Arial" w:cs="Arial" w:eastAsia="Arial" w:hAnsi="Arial"/>
                <w:sz w:val="30"/>
                <w:szCs w:val="30"/>
                <w:b w:val="1"/>
                <w:bCs w:val="1"/>
                <w:color w:val="auto"/>
                <w:w w:val="91"/>
                <w:vertAlign w:val="superscript"/>
              </w:rPr>
              <w:t>(2)</w:t>
            </w:r>
          </w:p>
        </w:tc>
        <w:tc>
          <w:tcPr>
            <w:tcW w:w="1180" w:type="dxa"/>
            <w:vAlign w:val="bottom"/>
            <w:gridSpan w:val="2"/>
          </w:tcPr>
          <w:p>
            <w:pPr>
              <w:ind w:left="1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0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2015</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234</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6,737</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7,149</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1000" w:type="dxa"/>
            <w:vAlign w:val="bottom"/>
          </w:tcPr>
          <w:p>
            <w:pPr>
              <w:jc w:val="right"/>
              <w:spacing w:after="0"/>
              <w:rPr>
                <w:sz w:val="20"/>
                <w:szCs w:val="20"/>
                <w:color w:val="auto"/>
              </w:rPr>
            </w:pPr>
            <w:r>
              <w:rPr>
                <w:rFonts w:ascii="Arial" w:cs="Arial" w:eastAsia="Arial" w:hAnsi="Arial"/>
                <w:sz w:val="18"/>
                <w:szCs w:val="18"/>
                <w:color w:val="auto"/>
              </w:rPr>
              <w:t>(31)</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456</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425</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12-month expected credit losses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(168)</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Financial assets that have been derecognized during the year</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(174)</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(203)</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(377)</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Changes due to financial instruments recognized as of December 31, 2015:</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(135)</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28</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28</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Write-offs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(6,737)</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(6,737)</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263</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305</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60" w:type="dxa"/>
            <w:vAlign w:val="bottom"/>
            <w:vMerge w:val="restart"/>
          </w:tcPr>
          <w:p>
            <w:pPr>
              <w:ind w:left="320"/>
              <w:spacing w:after="0"/>
              <w:rPr>
                <w:sz w:val="20"/>
                <w:szCs w:val="20"/>
                <w:color w:val="auto"/>
              </w:rPr>
            </w:pPr>
            <w:r>
              <w:rPr>
                <w:rFonts w:ascii="Arial" w:cs="Arial" w:eastAsia="Arial" w:hAnsi="Arial"/>
                <w:sz w:val="15"/>
                <w:szCs w:val="15"/>
                <w:color w:val="auto"/>
              </w:rPr>
              <w:t>(1)</w:t>
            </w:r>
          </w:p>
        </w:tc>
        <w:tc>
          <w:tcPr>
            <w:tcW w:w="5700" w:type="dxa"/>
            <w:vAlign w:val="bottom"/>
            <w:vMerge w:val="restart"/>
          </w:tcPr>
          <w:p>
            <w:pPr>
              <w:ind w:left="80"/>
              <w:spacing w:after="0"/>
              <w:rPr>
                <w:sz w:val="20"/>
                <w:szCs w:val="20"/>
                <w:color w:val="auto"/>
              </w:rPr>
            </w:pPr>
            <w:r>
              <w:rPr>
                <w:rFonts w:ascii="Arial" w:cs="Arial" w:eastAsia="Arial" w:hAnsi="Arial"/>
                <w:sz w:val="18"/>
                <w:szCs w:val="18"/>
                <w:color w:val="auto"/>
              </w:rPr>
              <w:t>12-month expected credit losses.</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8"/>
        </w:trPr>
        <w:tc>
          <w:tcPr>
            <w:tcW w:w="340" w:type="dxa"/>
            <w:vAlign w:val="bottom"/>
          </w:tcPr>
          <w:p>
            <w:pPr>
              <w:spacing w:after="0"/>
              <w:rPr>
                <w:sz w:val="24"/>
                <w:szCs w:val="24"/>
                <w:color w:val="auto"/>
              </w:rPr>
            </w:pPr>
          </w:p>
        </w:tc>
        <w:tc>
          <w:tcPr>
            <w:tcW w:w="560" w:type="dxa"/>
            <w:vAlign w:val="bottom"/>
            <w:vMerge w:val="continue"/>
          </w:tcPr>
          <w:p>
            <w:pPr>
              <w:spacing w:after="0"/>
              <w:rPr>
                <w:sz w:val="24"/>
                <w:szCs w:val="24"/>
                <w:color w:val="auto"/>
              </w:rPr>
            </w:pPr>
          </w:p>
        </w:tc>
        <w:tc>
          <w:tcPr>
            <w:tcW w:w="5700" w:type="dxa"/>
            <w:vAlign w:val="bottom"/>
            <w:vMerge w:val="continue"/>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60" w:type="dxa"/>
            <w:vAlign w:val="bottom"/>
          </w:tcPr>
          <w:p>
            <w:pPr>
              <w:ind w:left="320"/>
              <w:spacing w:after="0"/>
              <w:rPr>
                <w:sz w:val="20"/>
                <w:szCs w:val="20"/>
                <w:color w:val="auto"/>
              </w:rPr>
            </w:pPr>
            <w:r>
              <w:rPr>
                <w:rFonts w:ascii="Arial" w:cs="Arial" w:eastAsia="Arial" w:hAnsi="Arial"/>
                <w:sz w:val="15"/>
                <w:szCs w:val="15"/>
                <w:b w:val="1"/>
                <w:bCs w:val="1"/>
                <w:color w:val="auto"/>
              </w:rPr>
              <w:t>(2)</w:t>
            </w:r>
          </w:p>
        </w:tc>
        <w:tc>
          <w:tcPr>
            <w:tcW w:w="5700" w:type="dxa"/>
            <w:vAlign w:val="bottom"/>
          </w:tcPr>
          <w:p>
            <w:pPr>
              <w:ind w:left="80"/>
              <w:spacing w:after="0"/>
              <w:rPr>
                <w:sz w:val="20"/>
                <w:szCs w:val="20"/>
                <w:color w:val="auto"/>
              </w:rPr>
            </w:pPr>
            <w:r>
              <w:rPr>
                <w:rFonts w:ascii="Arial" w:cs="Arial" w:eastAsia="Arial" w:hAnsi="Arial"/>
                <w:sz w:val="18"/>
                <w:szCs w:val="18"/>
                <w:color w:val="auto"/>
              </w:rPr>
              <w:t>Lifetime expected credit losses.</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560" w:type="dxa"/>
            <w:vAlign w:val="bottom"/>
          </w:tcPr>
          <w:p>
            <w:pPr>
              <w:ind w:left="320"/>
              <w:spacing w:after="0"/>
              <w:rPr>
                <w:sz w:val="20"/>
                <w:szCs w:val="20"/>
                <w:color w:val="auto"/>
              </w:rPr>
            </w:pPr>
            <w:r>
              <w:rPr>
                <w:rFonts w:ascii="Arial" w:cs="Arial" w:eastAsia="Arial" w:hAnsi="Arial"/>
                <w:sz w:val="15"/>
                <w:szCs w:val="15"/>
                <w:color w:val="auto"/>
              </w:rPr>
              <w:t>(3)</w:t>
            </w:r>
          </w:p>
        </w:tc>
        <w:tc>
          <w:tcPr>
            <w:tcW w:w="5700" w:type="dxa"/>
            <w:vAlign w:val="bottom"/>
          </w:tcPr>
          <w:p>
            <w:pPr>
              <w:ind w:left="80"/>
              <w:spacing w:after="0"/>
              <w:rPr>
                <w:sz w:val="20"/>
                <w:szCs w:val="20"/>
                <w:color w:val="auto"/>
              </w:rPr>
            </w:pPr>
            <w:r>
              <w:rPr>
                <w:rFonts w:ascii="Arial" w:cs="Arial" w:eastAsia="Arial" w:hAnsi="Arial"/>
                <w:sz w:val="18"/>
                <w:szCs w:val="18"/>
                <w:color w:val="auto"/>
              </w:rPr>
              <w:t>Credit-impaired financial assets (lifetime expected credit losses).</w:t>
            </w: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9"/>
        </w:trPr>
        <w:tc>
          <w:tcPr>
            <w:tcW w:w="3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5700" w:type="dxa"/>
            <w:vAlign w:val="bottom"/>
            <w:tcBorders>
              <w:bottom w:val="single" w:sz="8" w:color="auto"/>
            </w:tcBorders>
          </w:tcPr>
          <w:p>
            <w:pPr>
              <w:ind w:left="4660"/>
              <w:spacing w:after="0"/>
              <w:rPr>
                <w:sz w:val="20"/>
                <w:szCs w:val="20"/>
                <w:color w:val="auto"/>
              </w:rPr>
            </w:pPr>
            <w:r>
              <w:rPr>
                <w:rFonts w:ascii="Arial" w:cs="Arial" w:eastAsia="Arial" w:hAnsi="Arial"/>
                <w:sz w:val="18"/>
                <w:szCs w:val="18"/>
                <w:color w:val="auto"/>
              </w:rPr>
              <w:t>F-38</w:t>
            </w: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8" w:right="239" w:bottom="1440" w:gutter="0" w:footer="0" w:header="0"/>
        </w:sectPr>
      </w:pPr>
    </w:p>
    <w:bookmarkStart w:id="160" w:name="page161"/>
    <w:bookmarkEnd w:id="1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5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5.3 Investment securities- at amortized cost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amortized cost, related unrealized gross gain (loss) and fair value of these securities by country risk and type of debt are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90"/>
              </w:rPr>
              <w:t>December 31, 2017</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420" w:type="dxa"/>
            <w:vAlign w:val="bottom"/>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93"/>
              </w:rPr>
              <w:t>Amortized</w:t>
            </w:r>
          </w:p>
        </w:tc>
        <w:tc>
          <w:tcPr>
            <w:tcW w:w="28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90"/>
              </w:rPr>
              <w:t>Unrealized</w:t>
            </w: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5380" w:type="dxa"/>
            <w:vAlign w:val="bottom"/>
          </w:tcPr>
          <w:p>
            <w:pPr>
              <w:spacing w:after="0"/>
              <w:rPr>
                <w:sz w:val="15"/>
                <w:szCs w:val="15"/>
                <w:color w:val="auto"/>
              </w:rPr>
            </w:pPr>
          </w:p>
        </w:tc>
        <w:tc>
          <w:tcPr>
            <w:tcW w:w="1420" w:type="dxa"/>
            <w:vAlign w:val="bottom"/>
            <w:gridSpan w:val="2"/>
            <w:vMerge w:val="continue"/>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1"/>
        </w:trPr>
        <w:tc>
          <w:tcPr>
            <w:tcW w:w="5380" w:type="dxa"/>
            <w:vAlign w:val="bottom"/>
          </w:tcPr>
          <w:p>
            <w:pPr>
              <w:spacing w:after="0"/>
              <w:rPr>
                <w:sz w:val="23"/>
                <w:szCs w:val="23"/>
                <w:color w:val="auto"/>
              </w:rPr>
            </w:pPr>
          </w:p>
        </w:tc>
        <w:tc>
          <w:tcPr>
            <w:tcW w:w="1420" w:type="dxa"/>
            <w:vAlign w:val="bottom"/>
            <w:gridSpan w:val="2"/>
          </w:tcPr>
          <w:p>
            <w:pPr>
              <w:jc w:val="center"/>
              <w:ind w:right="220"/>
              <w:spacing w:after="0" w:line="271" w:lineRule="exact"/>
              <w:rPr>
                <w:sz w:val="20"/>
                <w:szCs w:val="20"/>
                <w:color w:val="auto"/>
              </w:rPr>
            </w:pPr>
            <w:r>
              <w:rPr>
                <w:rFonts w:ascii="Arial" w:cs="Arial" w:eastAsia="Arial" w:hAnsi="Arial"/>
                <w:sz w:val="18"/>
                <w:szCs w:val="18"/>
                <w:b w:val="1"/>
                <w:bCs w:val="1"/>
                <w:color w:val="auto"/>
                <w:w w:val="78"/>
              </w:rPr>
              <w:t xml:space="preserve">cost </w:t>
            </w:r>
            <w:r>
              <w:rPr>
                <w:rFonts w:ascii="Arial" w:cs="Arial" w:eastAsia="Arial" w:hAnsi="Arial"/>
                <w:sz w:val="30"/>
                <w:szCs w:val="30"/>
                <w:b w:val="1"/>
                <w:bCs w:val="1"/>
                <w:color w:val="auto"/>
                <w:w w:val="78"/>
                <w:vertAlign w:val="superscript"/>
              </w:rPr>
              <w:t>(1)</w:t>
            </w:r>
          </w:p>
        </w:tc>
        <w:tc>
          <w:tcPr>
            <w:tcW w:w="142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Gross gain</w:t>
            </w:r>
          </w:p>
        </w:tc>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Gross loss</w:t>
            </w:r>
          </w:p>
        </w:tc>
        <w:tc>
          <w:tcPr>
            <w:tcW w:w="13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1,485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1,488</w:t>
            </w: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9,978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9,978</w:t>
            </w:r>
          </w:p>
        </w:tc>
        <w:tc>
          <w:tcPr>
            <w:tcW w:w="0" w:type="dxa"/>
            <w:vAlign w:val="bottom"/>
          </w:tcPr>
          <w:p>
            <w:pPr>
              <w:spacing w:after="0"/>
              <w:rPr>
                <w:sz w:val="1"/>
                <w:szCs w:val="1"/>
                <w:color w:val="auto"/>
              </w:rPr>
            </w:pPr>
          </w:p>
        </w:tc>
      </w:tr>
      <w:tr>
        <w:trPr>
          <w:trHeight w:val="210"/>
        </w:trPr>
        <w:tc>
          <w:tcPr>
            <w:tcW w:w="53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11,463</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11,466</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3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20"/>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29,006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29,057</w:t>
            </w: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20,203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20,036</w:t>
            </w: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8,458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8,447</w:t>
            </w:r>
          </w:p>
        </w:tc>
        <w:tc>
          <w:tcPr>
            <w:tcW w:w="0" w:type="dxa"/>
            <w:vAlign w:val="bottom"/>
          </w:tcPr>
          <w:p>
            <w:pPr>
              <w:spacing w:after="0"/>
              <w:rPr>
                <w:sz w:val="1"/>
                <w:szCs w:val="1"/>
                <w:color w:val="auto"/>
              </w:rPr>
            </w:pPr>
          </w:p>
        </w:tc>
      </w:tr>
      <w:tr>
        <w:trPr>
          <w:trHeight w:val="210"/>
        </w:trPr>
        <w:tc>
          <w:tcPr>
            <w:tcW w:w="53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57,667</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67</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194</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57,540</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38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69,130</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194</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69,006</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538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90"/>
              </w:rPr>
              <w:t>December 31, 2016</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420" w:type="dxa"/>
            <w:vAlign w:val="bottom"/>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93"/>
              </w:rPr>
              <w:t>Amortized</w:t>
            </w:r>
          </w:p>
        </w:tc>
        <w:tc>
          <w:tcPr>
            <w:tcW w:w="28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90"/>
              </w:rPr>
              <w:t>Unrealized</w:t>
            </w: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5380" w:type="dxa"/>
            <w:vAlign w:val="bottom"/>
          </w:tcPr>
          <w:p>
            <w:pPr>
              <w:spacing w:after="0"/>
              <w:rPr>
                <w:sz w:val="15"/>
                <w:szCs w:val="15"/>
                <w:color w:val="auto"/>
              </w:rPr>
            </w:pPr>
          </w:p>
        </w:tc>
        <w:tc>
          <w:tcPr>
            <w:tcW w:w="1420" w:type="dxa"/>
            <w:vAlign w:val="bottom"/>
            <w:gridSpan w:val="2"/>
            <w:vMerge w:val="continue"/>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1"/>
        </w:trPr>
        <w:tc>
          <w:tcPr>
            <w:tcW w:w="5380" w:type="dxa"/>
            <w:vAlign w:val="bottom"/>
          </w:tcPr>
          <w:p>
            <w:pPr>
              <w:spacing w:after="0"/>
              <w:rPr>
                <w:sz w:val="23"/>
                <w:szCs w:val="23"/>
                <w:color w:val="auto"/>
              </w:rPr>
            </w:pPr>
          </w:p>
        </w:tc>
        <w:tc>
          <w:tcPr>
            <w:tcW w:w="1420" w:type="dxa"/>
            <w:vAlign w:val="bottom"/>
            <w:gridSpan w:val="2"/>
          </w:tcPr>
          <w:p>
            <w:pPr>
              <w:jc w:val="center"/>
              <w:ind w:right="220"/>
              <w:spacing w:after="0" w:line="271" w:lineRule="exact"/>
              <w:rPr>
                <w:sz w:val="20"/>
                <w:szCs w:val="20"/>
                <w:color w:val="auto"/>
              </w:rPr>
            </w:pPr>
            <w:r>
              <w:rPr>
                <w:rFonts w:ascii="Arial" w:cs="Arial" w:eastAsia="Arial" w:hAnsi="Arial"/>
                <w:sz w:val="18"/>
                <w:szCs w:val="18"/>
                <w:b w:val="1"/>
                <w:bCs w:val="1"/>
                <w:color w:val="auto"/>
                <w:w w:val="78"/>
              </w:rPr>
              <w:t xml:space="preserve">cost </w:t>
            </w:r>
            <w:r>
              <w:rPr>
                <w:rFonts w:ascii="Arial" w:cs="Arial" w:eastAsia="Arial" w:hAnsi="Arial"/>
                <w:sz w:val="30"/>
                <w:szCs w:val="30"/>
                <w:b w:val="1"/>
                <w:bCs w:val="1"/>
                <w:color w:val="auto"/>
                <w:w w:val="78"/>
                <w:vertAlign w:val="superscript"/>
              </w:rPr>
              <w:t>(2)</w:t>
            </w:r>
          </w:p>
        </w:tc>
        <w:tc>
          <w:tcPr>
            <w:tcW w:w="142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Gross gain</w:t>
            </w:r>
          </w:p>
        </w:tc>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Gross loss</w:t>
            </w:r>
          </w:p>
        </w:tc>
        <w:tc>
          <w:tcPr>
            <w:tcW w:w="13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4,614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4,468</w:t>
            </w: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3,000</w:t>
            </w:r>
          </w:p>
        </w:tc>
        <w:tc>
          <w:tcPr>
            <w:tcW w:w="0" w:type="dxa"/>
            <w:vAlign w:val="bottom"/>
          </w:tcPr>
          <w:p>
            <w:pPr>
              <w:spacing w:after="0"/>
              <w:rPr>
                <w:sz w:val="1"/>
                <w:szCs w:val="1"/>
                <w:color w:val="auto"/>
              </w:rPr>
            </w:pPr>
          </w:p>
        </w:tc>
      </w:tr>
      <w:tr>
        <w:trPr>
          <w:trHeight w:val="210"/>
        </w:trPr>
        <w:tc>
          <w:tcPr>
            <w:tcW w:w="53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7,614</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146</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7,468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3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11,179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194</w:t>
            </w:r>
          </w:p>
        </w:tc>
        <w:tc>
          <w:tcPr>
            <w:tcW w:w="1200" w:type="dxa"/>
            <w:vAlign w:val="bottom"/>
          </w:tcPr>
          <w:p>
            <w:pPr>
              <w:jc w:val="right"/>
              <w:spacing w:after="0"/>
              <w:rPr>
                <w:sz w:val="20"/>
                <w:szCs w:val="20"/>
                <w:color w:val="auto"/>
              </w:rPr>
            </w:pPr>
            <w:r>
              <w:rPr>
                <w:rFonts w:ascii="Arial" w:cs="Arial" w:eastAsia="Arial" w:hAnsi="Arial"/>
                <w:sz w:val="18"/>
                <w:szCs w:val="18"/>
                <w:color w:val="auto"/>
              </w:rPr>
              <w:t>11,022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29,812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29,566</w:t>
            </w: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20,541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1,059</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19,482</w:t>
            </w: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8,670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8,868</w:t>
            </w:r>
          </w:p>
        </w:tc>
        <w:tc>
          <w:tcPr>
            <w:tcW w:w="0" w:type="dxa"/>
            <w:vAlign w:val="bottom"/>
          </w:tcPr>
          <w:p>
            <w:pPr>
              <w:spacing w:after="0"/>
              <w:rPr>
                <w:sz w:val="1"/>
                <w:szCs w:val="1"/>
                <w:color w:val="auto"/>
              </w:rPr>
            </w:pPr>
          </w:p>
        </w:tc>
      </w:tr>
      <w:tr>
        <w:trPr>
          <w:trHeight w:val="210"/>
        </w:trPr>
        <w:tc>
          <w:tcPr>
            <w:tcW w:w="53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70,202</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269</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1,533</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68,938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38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77,816</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269</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1,679</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76,406</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158"/>
        </w:numPr>
        <w:rPr>
          <w:rFonts w:ascii="Arial" w:cs="Arial" w:eastAsia="Arial" w:hAnsi="Arial"/>
          <w:sz w:val="30"/>
          <w:szCs w:val="30"/>
          <w:color w:val="auto"/>
          <w:vertAlign w:val="superscript"/>
        </w:rPr>
      </w:pPr>
      <w:r>
        <w:rPr>
          <w:rFonts w:ascii="Arial" w:cs="Arial" w:eastAsia="Arial" w:hAnsi="Arial"/>
          <w:sz w:val="18"/>
          <w:szCs w:val="18"/>
          <w:color w:val="auto"/>
        </w:rPr>
        <w:t>Amounts do not include allowance for expected credit losses of US196.</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158"/>
        </w:numPr>
        <w:rPr>
          <w:rFonts w:ascii="Arial" w:cs="Arial" w:eastAsia="Arial" w:hAnsi="Arial"/>
          <w:sz w:val="24"/>
          <w:szCs w:val="24"/>
          <w:color w:val="auto"/>
          <w:vertAlign w:val="superscript"/>
        </w:rPr>
      </w:pPr>
      <w:r>
        <w:rPr>
          <w:rFonts w:ascii="Arial" w:cs="Arial" w:eastAsia="Arial" w:hAnsi="Arial"/>
          <w:sz w:val="15"/>
          <w:szCs w:val="15"/>
          <w:color w:val="auto"/>
        </w:rPr>
        <w:t>Amounts do not include allowance for expected credit losses of US$602.</w:t>
      </w:r>
    </w:p>
    <w:p>
      <w:pPr>
        <w:spacing w:after="0" w:line="202"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F-39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689" w:right="379" w:bottom="1440" w:gutter="0" w:footer="0" w:header="0"/>
        </w:sectPr>
      </w:pPr>
    </w:p>
    <w:bookmarkStart w:id="161" w:name="page162"/>
    <w:bookmarkEnd w:id="1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5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5.3 Investment securities - at amortized cost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amortized cost and fair value of securities at amortized cost by contractual maturity are shown in the following tables: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2840" w:type="dxa"/>
            <w:vAlign w:val="bottom"/>
            <w:gridSpan w:val="4"/>
          </w:tcPr>
          <w:p>
            <w:pPr>
              <w:jc w:val="right"/>
              <w:ind w:right="800"/>
              <w:spacing w:after="0"/>
              <w:rPr>
                <w:sz w:val="20"/>
                <w:szCs w:val="20"/>
                <w:color w:val="auto"/>
              </w:rPr>
            </w:pPr>
            <w:r>
              <w:rPr>
                <w:rFonts w:ascii="Arial" w:cs="Arial" w:eastAsia="Arial" w:hAnsi="Arial"/>
                <w:sz w:val="18"/>
                <w:szCs w:val="18"/>
                <w:b w:val="1"/>
                <w:bCs w:val="1"/>
                <w:color w:val="auto"/>
              </w:rPr>
              <w:t>December 31, 2017</w:t>
            </w:r>
          </w:p>
        </w:tc>
        <w:tc>
          <w:tcPr>
            <w:tcW w:w="2720" w:type="dxa"/>
            <w:vAlign w:val="bottom"/>
            <w:gridSpan w:val="5"/>
          </w:tcPr>
          <w:p>
            <w:pPr>
              <w:ind w:left="580"/>
              <w:spacing w:after="0"/>
              <w:rPr>
                <w:sz w:val="20"/>
                <w:szCs w:val="20"/>
                <w:color w:val="auto"/>
              </w:rPr>
            </w:pPr>
            <w:r>
              <w:rPr>
                <w:rFonts w:ascii="Arial" w:cs="Arial" w:eastAsia="Arial" w:hAnsi="Arial"/>
                <w:sz w:val="18"/>
                <w:szCs w:val="18"/>
                <w:b w:val="1"/>
                <w:bCs w:val="1"/>
                <w:color w:val="auto"/>
              </w:rPr>
              <w:t>December 31, 2016</w:t>
            </w:r>
          </w:p>
        </w:tc>
      </w:tr>
      <w:tr>
        <w:trPr>
          <w:trHeight w:val="191"/>
        </w:trPr>
        <w:tc>
          <w:tcPr>
            <w:tcW w:w="5380" w:type="dxa"/>
            <w:vAlign w:val="bottom"/>
          </w:tcPr>
          <w:p>
            <w:pPr>
              <w:spacing w:after="0"/>
              <w:rPr>
                <w:sz w:val="16"/>
                <w:szCs w:val="16"/>
                <w:color w:val="auto"/>
              </w:rPr>
            </w:pPr>
          </w:p>
        </w:tc>
        <w:tc>
          <w:tcPr>
            <w:tcW w:w="1420" w:type="dxa"/>
            <w:vAlign w:val="bottom"/>
            <w:tcBorders>
              <w:top w:val="single" w:sz="8" w:color="auto"/>
            </w:tcBorders>
            <w:gridSpan w:val="2"/>
          </w:tcPr>
          <w:p>
            <w:pPr>
              <w:jc w:val="right"/>
              <w:ind w:right="400"/>
              <w:spacing w:after="0" w:line="191" w:lineRule="exact"/>
              <w:rPr>
                <w:sz w:val="20"/>
                <w:szCs w:val="20"/>
                <w:color w:val="auto"/>
              </w:rPr>
            </w:pPr>
            <w:r>
              <w:rPr>
                <w:rFonts w:ascii="Arial" w:cs="Arial" w:eastAsia="Arial" w:hAnsi="Arial"/>
                <w:sz w:val="18"/>
                <w:szCs w:val="18"/>
                <w:b w:val="1"/>
                <w:bCs w:val="1"/>
                <w:color w:val="auto"/>
              </w:rPr>
              <w:t>Amortized</w:t>
            </w:r>
          </w:p>
        </w:tc>
        <w:tc>
          <w:tcPr>
            <w:tcW w:w="1200" w:type="dxa"/>
            <w:vAlign w:val="bottom"/>
            <w:tcBorders>
              <w:top w:val="single" w:sz="8" w:color="auto"/>
            </w:tcBorders>
          </w:tcPr>
          <w:p>
            <w:pPr>
              <w:jc w:val="right"/>
              <w:ind w:right="350"/>
              <w:spacing w:after="0" w:line="191" w:lineRule="exact"/>
              <w:rPr>
                <w:sz w:val="20"/>
                <w:szCs w:val="20"/>
                <w:color w:val="auto"/>
              </w:rPr>
            </w:pPr>
            <w:r>
              <w:rPr>
                <w:rFonts w:ascii="Arial" w:cs="Arial" w:eastAsia="Arial" w:hAnsi="Arial"/>
                <w:sz w:val="18"/>
                <w:szCs w:val="18"/>
                <w:b w:val="1"/>
                <w:bCs w:val="1"/>
                <w:color w:val="auto"/>
              </w:rPr>
              <w:t>Fair</w:t>
            </w:r>
          </w:p>
        </w:tc>
        <w:tc>
          <w:tcPr>
            <w:tcW w:w="220" w:type="dxa"/>
            <w:vAlign w:val="bottom"/>
          </w:tcPr>
          <w:p>
            <w:pPr>
              <w:spacing w:after="0"/>
              <w:rPr>
                <w:sz w:val="16"/>
                <w:szCs w:val="16"/>
                <w:color w:val="auto"/>
              </w:rPr>
            </w:pPr>
          </w:p>
        </w:tc>
        <w:tc>
          <w:tcPr>
            <w:tcW w:w="142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3"/>
              </w:rPr>
              <w:t>Amortized</w:t>
            </w: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6"/>
              </w:rPr>
              <w:t>Fair</w:t>
            </w:r>
          </w:p>
        </w:tc>
        <w:tc>
          <w:tcPr>
            <w:tcW w:w="100" w:type="dxa"/>
            <w:vAlign w:val="bottom"/>
            <w:gridSpan w:val="2"/>
          </w:tcPr>
          <w:p>
            <w:pPr>
              <w:spacing w:after="0"/>
              <w:rPr>
                <w:sz w:val="16"/>
                <w:szCs w:val="16"/>
                <w:color w:val="auto"/>
              </w:rPr>
            </w:pPr>
          </w:p>
        </w:tc>
      </w:tr>
      <w:tr>
        <w:trPr>
          <w:trHeight w:val="234"/>
        </w:trPr>
        <w:tc>
          <w:tcPr>
            <w:tcW w:w="5380" w:type="dxa"/>
            <w:vAlign w:val="bottom"/>
          </w:tcPr>
          <w:p>
            <w:pPr>
              <w:spacing w:after="0"/>
              <w:rPr>
                <w:sz w:val="20"/>
                <w:szCs w:val="20"/>
                <w:color w:val="auto"/>
              </w:rPr>
            </w:pPr>
          </w:p>
        </w:tc>
        <w:tc>
          <w:tcPr>
            <w:tcW w:w="14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cost</w:t>
            </w:r>
          </w:p>
        </w:tc>
        <w:tc>
          <w:tcPr>
            <w:tcW w:w="142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value</w:t>
            </w: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0"/>
              </w:rPr>
              <w:t>cost</w:t>
            </w: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value</w:t>
            </w:r>
          </w:p>
        </w:tc>
      </w:tr>
      <w:tr>
        <w:trPr>
          <w:trHeight w:val="210"/>
        </w:trPr>
        <w:tc>
          <w:tcPr>
            <w:tcW w:w="538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7,978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7,978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3,988</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4,025</w:t>
            </w:r>
          </w:p>
        </w:tc>
        <w:tc>
          <w:tcPr>
            <w:tcW w:w="8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61,152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61,028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68,537</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67,358</w:t>
            </w:r>
          </w:p>
        </w:tc>
        <w:tc>
          <w:tcPr>
            <w:tcW w:w="8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5,291</w:t>
            </w:r>
          </w:p>
        </w:tc>
        <w:tc>
          <w:tcPr>
            <w:tcW w:w="22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5,023</w:t>
            </w:r>
          </w:p>
        </w:tc>
        <w:tc>
          <w:tcPr>
            <w:tcW w:w="80" w:type="dxa"/>
            <w:vAlign w:val="bottom"/>
            <w:shd w:val="clear" w:color="auto" w:fill="CCEEFF"/>
          </w:tcPr>
          <w:p>
            <w:pPr>
              <w:spacing w:after="0"/>
              <w:rPr>
                <w:sz w:val="19"/>
                <w:szCs w:val="19"/>
                <w:color w:val="auto"/>
              </w:rPr>
            </w:pPr>
          </w:p>
        </w:tc>
      </w:tr>
      <w:tr>
        <w:trPr>
          <w:trHeight w:val="223"/>
        </w:trPr>
        <w:tc>
          <w:tcPr>
            <w:tcW w:w="53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69,130</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69,006</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77,816</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76,406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2017 and 2016, there were no securities at amortized cost, guaranteeing repurchase transactions.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Securities at amortized cost classified by issuer’s credit quality indicators are as follows:</w:t>
      </w:r>
    </w:p>
    <w:p>
      <w:pPr>
        <w:spacing w:after="0" w:line="221" w:lineRule="exact"/>
        <w:rPr>
          <w:sz w:val="20"/>
          <w:szCs w:val="20"/>
          <w:color w:val="auto"/>
        </w:rPr>
      </w:pPr>
    </w:p>
    <w:tbl>
      <w:tblPr>
        <w:tblLayout w:type="fixed"/>
        <w:tblInd w:w="2300" w:type="dxa"/>
        <w:tblCellMar>
          <w:top w:w="0" w:type="dxa"/>
          <w:left w:w="0" w:type="dxa"/>
          <w:bottom w:w="0" w:type="dxa"/>
          <w:right w:w="0" w:type="dxa"/>
        </w:tblCellMar>
      </w:tblPr>
      <w:tr>
        <w:trPr>
          <w:trHeight w:val="216"/>
        </w:trPr>
        <w:tc>
          <w:tcPr>
            <w:tcW w:w="3540" w:type="dxa"/>
            <w:vAlign w:val="bottom"/>
            <w:vMerge w:val="restart"/>
          </w:tcPr>
          <w:p>
            <w:pPr>
              <w:jc w:val="center"/>
              <w:ind w:left="810"/>
              <w:spacing w:after="0"/>
              <w:rPr>
                <w:sz w:val="20"/>
                <w:szCs w:val="20"/>
                <w:color w:val="auto"/>
              </w:rPr>
            </w:pPr>
            <w:r>
              <w:rPr>
                <w:rFonts w:ascii="Arial" w:cs="Arial" w:eastAsia="Arial" w:hAnsi="Arial"/>
                <w:sz w:val="18"/>
                <w:szCs w:val="18"/>
                <w:b w:val="1"/>
                <w:bCs w:val="1"/>
                <w:color w:val="auto"/>
                <w:w w:val="84"/>
              </w:rPr>
              <w:t>Rating</w:t>
            </w:r>
            <w:r>
              <w:rPr>
                <w:rFonts w:ascii="Arial" w:cs="Arial" w:eastAsia="Arial" w:hAnsi="Arial"/>
                <w:sz w:val="30"/>
                <w:szCs w:val="30"/>
                <w:b w:val="1"/>
                <w:bCs w:val="1"/>
                <w:color w:val="auto"/>
                <w:w w:val="84"/>
                <w:vertAlign w:val="superscript"/>
              </w:rPr>
              <w:t>(1)</w:t>
            </w:r>
          </w:p>
        </w:tc>
        <w:tc>
          <w:tcPr>
            <w:tcW w:w="2200" w:type="dxa"/>
            <w:vAlign w:val="bottom"/>
            <w:gridSpan w:val="3"/>
          </w:tcPr>
          <w:p>
            <w:pPr>
              <w:ind w:left="980"/>
              <w:spacing w:after="0"/>
              <w:rPr>
                <w:sz w:val="20"/>
                <w:szCs w:val="20"/>
                <w:color w:val="auto"/>
              </w:rPr>
            </w:pPr>
            <w:r>
              <w:rPr>
                <w:rFonts w:ascii="Arial" w:cs="Arial" w:eastAsia="Arial" w:hAnsi="Arial"/>
                <w:sz w:val="18"/>
                <w:szCs w:val="18"/>
                <w:b w:val="1"/>
                <w:bCs w:val="1"/>
                <w:color w:val="auto"/>
              </w:rPr>
              <w:t>December 31,</w:t>
            </w:r>
          </w:p>
        </w:tc>
        <w:tc>
          <w:tcPr>
            <w:tcW w:w="1100" w:type="dxa"/>
            <w:vAlign w:val="bottom"/>
            <w:gridSpan w:val="2"/>
          </w:tcPr>
          <w:p>
            <w:pPr>
              <w:spacing w:after="0"/>
              <w:rPr>
                <w:sz w:val="20"/>
                <w:szCs w:val="20"/>
                <w:color w:val="auto"/>
              </w:rPr>
            </w:pPr>
            <w:r>
              <w:rPr>
                <w:rFonts w:ascii="Arial" w:cs="Arial" w:eastAsia="Arial" w:hAnsi="Arial"/>
                <w:sz w:val="18"/>
                <w:szCs w:val="18"/>
                <w:b w:val="1"/>
                <w:bCs w:val="1"/>
                <w:color w:val="auto"/>
                <w:w w:val="92"/>
              </w:rPr>
              <w:t>December 31,</w:t>
            </w:r>
          </w:p>
        </w:tc>
        <w:tc>
          <w:tcPr>
            <w:tcW w:w="0" w:type="dxa"/>
            <w:vAlign w:val="bottom"/>
          </w:tcPr>
          <w:p>
            <w:pPr>
              <w:spacing w:after="0"/>
              <w:rPr>
                <w:sz w:val="1"/>
                <w:szCs w:val="1"/>
                <w:color w:val="auto"/>
              </w:rPr>
            </w:pPr>
          </w:p>
        </w:tc>
      </w:tr>
      <w:tr>
        <w:trPr>
          <w:trHeight w:val="234"/>
        </w:trPr>
        <w:tc>
          <w:tcPr>
            <w:tcW w:w="3540" w:type="dxa"/>
            <w:vAlign w:val="bottom"/>
            <w:vMerge w:val="continue"/>
          </w:tcPr>
          <w:p>
            <w:pPr>
              <w:spacing w:after="0"/>
              <w:rPr>
                <w:sz w:val="20"/>
                <w:szCs w:val="20"/>
                <w:color w:val="auto"/>
              </w:rPr>
            </w:pPr>
          </w:p>
        </w:tc>
        <w:tc>
          <w:tcPr>
            <w:tcW w:w="206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2017</w:t>
            </w:r>
          </w:p>
        </w:tc>
        <w:tc>
          <w:tcPr>
            <w:tcW w:w="140" w:type="dxa"/>
            <w:vAlign w:val="bottom"/>
          </w:tcPr>
          <w:p>
            <w:pPr>
              <w:spacing w:after="0"/>
              <w:rPr>
                <w:sz w:val="20"/>
                <w:szCs w:val="20"/>
                <w:color w:val="auto"/>
              </w:rPr>
            </w:pPr>
          </w:p>
        </w:tc>
        <w:tc>
          <w:tcPr>
            <w:tcW w:w="1040" w:type="dxa"/>
            <w:vAlign w:val="bottom"/>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540" w:type="dxa"/>
            <w:vAlign w:val="bottom"/>
            <w:tcBorders>
              <w:top w:val="single" w:sz="8" w:color="CCEEFF"/>
            </w:tcBorders>
            <w:shd w:val="clear" w:color="auto" w:fill="CCEEFF"/>
          </w:tcPr>
          <w:p>
            <w:pPr>
              <w:jc w:val="center"/>
              <w:ind w:left="810"/>
              <w:spacing w:after="0"/>
              <w:rPr>
                <w:sz w:val="20"/>
                <w:szCs w:val="20"/>
                <w:color w:val="auto"/>
              </w:rPr>
            </w:pPr>
            <w:r>
              <w:rPr>
                <w:rFonts w:ascii="Arial" w:cs="Arial" w:eastAsia="Arial" w:hAnsi="Arial"/>
                <w:sz w:val="18"/>
                <w:szCs w:val="18"/>
                <w:color w:val="auto"/>
                <w:w w:val="92"/>
              </w:rPr>
              <w:t>1-4</w:t>
            </w:r>
          </w:p>
        </w:tc>
        <w:tc>
          <w:tcPr>
            <w:tcW w:w="9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57,667</w:t>
            </w:r>
          </w:p>
        </w:tc>
        <w:tc>
          <w:tcPr>
            <w:tcW w:w="1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76,333</w:t>
            </w: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tcPr>
          <w:p>
            <w:pPr>
              <w:jc w:val="center"/>
              <w:ind w:left="810"/>
              <w:spacing w:after="0"/>
              <w:rPr>
                <w:sz w:val="20"/>
                <w:szCs w:val="20"/>
                <w:color w:val="auto"/>
              </w:rPr>
            </w:pPr>
            <w:r>
              <w:rPr>
                <w:rFonts w:ascii="Arial" w:cs="Arial" w:eastAsia="Arial" w:hAnsi="Arial"/>
                <w:sz w:val="18"/>
                <w:szCs w:val="18"/>
                <w:color w:val="auto"/>
                <w:w w:val="92"/>
              </w:rPr>
              <w:t>5-6</w:t>
            </w:r>
          </w:p>
        </w:tc>
        <w:tc>
          <w:tcPr>
            <w:tcW w:w="2200" w:type="dxa"/>
            <w:vAlign w:val="bottom"/>
            <w:gridSpan w:val="3"/>
          </w:tcPr>
          <w:p>
            <w:pPr>
              <w:jc w:val="right"/>
              <w:ind w:right="140"/>
              <w:spacing w:after="0"/>
              <w:rPr>
                <w:sz w:val="20"/>
                <w:szCs w:val="20"/>
                <w:color w:val="auto"/>
              </w:rPr>
            </w:pPr>
            <w:r>
              <w:rPr>
                <w:rFonts w:ascii="Arial" w:cs="Arial" w:eastAsia="Arial" w:hAnsi="Arial"/>
                <w:sz w:val="18"/>
                <w:szCs w:val="18"/>
                <w:color w:val="auto"/>
              </w:rPr>
              <w:t>11,463</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1,483</w:t>
            </w: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jc w:val="center"/>
              <w:ind w:left="810"/>
              <w:spacing w:after="0"/>
              <w:rPr>
                <w:sz w:val="20"/>
                <w:szCs w:val="20"/>
                <w:color w:val="auto"/>
              </w:rPr>
            </w:pPr>
            <w:r>
              <w:rPr>
                <w:rFonts w:ascii="Arial" w:cs="Arial" w:eastAsia="Arial" w:hAnsi="Arial"/>
                <w:sz w:val="18"/>
                <w:szCs w:val="18"/>
                <w:color w:val="auto"/>
                <w:w w:val="79"/>
              </w:rPr>
              <w:t>7</w:t>
            </w:r>
          </w:p>
        </w:tc>
        <w:tc>
          <w:tcPr>
            <w:tcW w:w="22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tcPr>
          <w:p>
            <w:pPr>
              <w:jc w:val="center"/>
              <w:ind w:left="810"/>
              <w:spacing w:after="0"/>
              <w:rPr>
                <w:sz w:val="20"/>
                <w:szCs w:val="20"/>
                <w:color w:val="auto"/>
              </w:rPr>
            </w:pPr>
            <w:r>
              <w:rPr>
                <w:rFonts w:ascii="Arial" w:cs="Arial" w:eastAsia="Arial" w:hAnsi="Arial"/>
                <w:sz w:val="18"/>
                <w:szCs w:val="18"/>
                <w:color w:val="auto"/>
                <w:w w:val="79"/>
              </w:rPr>
              <w:t>8</w:t>
            </w:r>
          </w:p>
        </w:tc>
        <w:tc>
          <w:tcPr>
            <w:tcW w:w="2200" w:type="dxa"/>
            <w:vAlign w:val="bottom"/>
            <w:gridSpan w:val="3"/>
          </w:tcPr>
          <w:p>
            <w:pPr>
              <w:jc w:val="right"/>
              <w:ind w:right="140"/>
              <w:spacing w:after="0"/>
              <w:rPr>
                <w:sz w:val="20"/>
                <w:szCs w:val="20"/>
                <w:color w:val="auto"/>
              </w:rPr>
            </w:pPr>
            <w:r>
              <w:rPr>
                <w:rFonts w:ascii="Arial" w:cs="Arial" w:eastAsia="Arial" w:hAnsi="Arial"/>
                <w:sz w:val="18"/>
                <w:szCs w:val="18"/>
                <w:b w:val="1"/>
                <w:bCs w:val="1"/>
                <w:color w:val="auto"/>
              </w:rPr>
              <w:t>-</w:t>
            </w:r>
          </w:p>
        </w:tc>
        <w:tc>
          <w:tcPr>
            <w:tcW w:w="10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540" w:type="dxa"/>
            <w:vAlign w:val="bottom"/>
            <w:shd w:val="clear" w:color="auto" w:fill="CCEEFF"/>
          </w:tcPr>
          <w:p>
            <w:pPr>
              <w:jc w:val="center"/>
              <w:ind w:left="810"/>
              <w:spacing w:after="0"/>
              <w:rPr>
                <w:sz w:val="20"/>
                <w:szCs w:val="20"/>
                <w:color w:val="auto"/>
              </w:rPr>
            </w:pPr>
            <w:r>
              <w:rPr>
                <w:rFonts w:ascii="Arial" w:cs="Arial" w:eastAsia="Arial" w:hAnsi="Arial"/>
                <w:sz w:val="18"/>
                <w:szCs w:val="18"/>
                <w:color w:val="auto"/>
                <w:w w:val="79"/>
              </w:rPr>
              <w:t>9</w:t>
            </w:r>
          </w:p>
        </w:tc>
        <w:tc>
          <w:tcPr>
            <w:tcW w:w="22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540" w:type="dxa"/>
            <w:vAlign w:val="bottom"/>
          </w:tcPr>
          <w:p>
            <w:pPr>
              <w:jc w:val="center"/>
              <w:ind w:left="790"/>
              <w:spacing w:after="0"/>
              <w:rPr>
                <w:sz w:val="20"/>
                <w:szCs w:val="20"/>
                <w:color w:val="auto"/>
              </w:rPr>
            </w:pPr>
            <w:r>
              <w:rPr>
                <w:rFonts w:ascii="Arial" w:cs="Arial" w:eastAsia="Arial" w:hAnsi="Arial"/>
                <w:sz w:val="18"/>
                <w:szCs w:val="18"/>
                <w:color w:val="auto"/>
                <w:w w:val="89"/>
              </w:rPr>
              <w:t>10</w:t>
            </w:r>
          </w:p>
        </w:tc>
        <w:tc>
          <w:tcPr>
            <w:tcW w:w="2200" w:type="dxa"/>
            <w:vAlign w:val="bottom"/>
            <w:gridSpan w:val="3"/>
          </w:tcPr>
          <w:p>
            <w:pPr>
              <w:jc w:val="right"/>
              <w:ind w:right="140"/>
              <w:spacing w:after="0"/>
              <w:rPr>
                <w:sz w:val="20"/>
                <w:szCs w:val="20"/>
                <w:color w:val="auto"/>
              </w:rPr>
            </w:pPr>
            <w:r>
              <w:rPr>
                <w:rFonts w:ascii="Arial" w:cs="Arial" w:eastAsia="Arial" w:hAnsi="Arial"/>
                <w:sz w:val="18"/>
                <w:szCs w:val="18"/>
                <w:b w:val="1"/>
                <w:bCs w:val="1"/>
                <w:color w:val="auto"/>
              </w:rPr>
              <w:t>-</w:t>
            </w:r>
          </w:p>
        </w:tc>
        <w:tc>
          <w:tcPr>
            <w:tcW w:w="10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540" w:type="dxa"/>
            <w:vAlign w:val="bottom"/>
            <w:tcBorders>
              <w:top w:val="single" w:sz="8" w:color="CCEEFF"/>
              <w:bottom w:val="single" w:sz="8" w:color="CCEEFF"/>
            </w:tcBorders>
            <w:shd w:val="clear" w:color="auto" w:fill="CCEEFF"/>
          </w:tcPr>
          <w:p>
            <w:pPr>
              <w:jc w:val="center"/>
              <w:ind w:left="810"/>
              <w:spacing w:after="0"/>
              <w:rPr>
                <w:sz w:val="20"/>
                <w:szCs w:val="20"/>
                <w:color w:val="auto"/>
              </w:rPr>
            </w:pPr>
            <w:r>
              <w:rPr>
                <w:rFonts w:ascii="Arial" w:cs="Arial" w:eastAsia="Arial" w:hAnsi="Arial"/>
                <w:sz w:val="18"/>
                <w:szCs w:val="18"/>
                <w:color w:val="auto"/>
                <w:w w:val="89"/>
              </w:rPr>
              <w:t>Total</w:t>
            </w:r>
          </w:p>
        </w:tc>
        <w:tc>
          <w:tcPr>
            <w:tcW w:w="9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69,130</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77,816</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54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560" w:right="3720" w:hanging="2959"/>
        <w:spacing w:after="0" w:line="368" w:lineRule="auto"/>
        <w:tabs>
          <w:tab w:leader="none" w:pos="2935" w:val="left"/>
        </w:tabs>
        <w:numPr>
          <w:ilvl w:val="0"/>
          <w:numId w:val="160"/>
        </w:numPr>
        <w:rPr>
          <w:rFonts w:ascii="Arial" w:cs="Arial" w:eastAsia="Arial" w:hAnsi="Arial"/>
          <w:sz w:val="30"/>
          <w:szCs w:val="30"/>
          <w:b w:val="1"/>
          <w:bCs w:val="1"/>
          <w:color w:val="auto"/>
          <w:vertAlign w:val="superscript"/>
        </w:rPr>
      </w:pPr>
      <w:r>
        <w:rPr>
          <w:rFonts w:ascii="Arial" w:cs="Arial" w:eastAsia="Arial" w:hAnsi="Arial"/>
          <w:sz w:val="18"/>
          <w:szCs w:val="18"/>
          <w:color w:val="auto"/>
        </w:rPr>
        <w:t>Current ratings as of December 31, 2017 and 2016, respectively. F-40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-107315</wp:posOffset>
            </wp:positionV>
            <wp:extent cx="7246620" cy="889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688" w:right="379" w:bottom="1440" w:gutter="0" w:footer="0" w:header="0"/>
        </w:sectPr>
      </w:pPr>
    </w:p>
    <w:bookmarkStart w:id="162" w:name="page163"/>
    <w:bookmarkEnd w:id="1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6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5.3 Investment securities- at amortized cost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allowance for expected credit losses relating to securities at amortized cost is as follow:</w:t>
      </w:r>
    </w:p>
    <w:p>
      <w:pPr>
        <w:spacing w:after="0" w:line="151" w:lineRule="exact"/>
        <w:rPr>
          <w:sz w:val="20"/>
          <w:szCs w:val="20"/>
          <w:color w:val="auto"/>
        </w:rPr>
      </w:pPr>
    </w:p>
    <w:tbl>
      <w:tblPr>
        <w:tblLayout w:type="fixed"/>
        <w:tblInd w:w="0" w:type="dxa"/>
        <w:tblCellMar>
          <w:top w:w="0" w:type="dxa"/>
          <w:left w:w="0" w:type="dxa"/>
          <w:bottom w:w="0" w:type="dxa"/>
          <w:right w:w="0" w:type="dxa"/>
        </w:tblCellMar>
      </w:tblPr>
      <w:tr>
        <w:trPr>
          <w:trHeight w:val="345"/>
        </w:trPr>
        <w:tc>
          <w:tcPr>
            <w:tcW w:w="3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5700" w:type="dxa"/>
            <w:vAlign w:val="bottom"/>
          </w:tcPr>
          <w:p>
            <w:pPr>
              <w:spacing w:after="0"/>
              <w:rPr>
                <w:sz w:val="24"/>
                <w:szCs w:val="24"/>
                <w:color w:val="auto"/>
              </w:rPr>
            </w:pPr>
          </w:p>
        </w:tc>
        <w:tc>
          <w:tcPr>
            <w:tcW w:w="12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2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1"/>
              </w:rPr>
              <w:t xml:space="preserve">Stage 2 </w:t>
            </w:r>
            <w:r>
              <w:rPr>
                <w:rFonts w:ascii="Arial" w:cs="Arial" w:eastAsia="Arial" w:hAnsi="Arial"/>
                <w:sz w:val="30"/>
                <w:szCs w:val="30"/>
                <w:b w:val="1"/>
                <w:bCs w:val="1"/>
                <w:color w:val="auto"/>
                <w:w w:val="91"/>
                <w:vertAlign w:val="superscript"/>
              </w:rPr>
              <w:t>(2)</w:t>
            </w:r>
          </w:p>
        </w:tc>
        <w:tc>
          <w:tcPr>
            <w:tcW w:w="1180" w:type="dxa"/>
            <w:vAlign w:val="bottom"/>
            <w:gridSpan w:val="2"/>
          </w:tcPr>
          <w:p>
            <w:pPr>
              <w:ind w:left="1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0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503</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12-month expected credit losses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Financial assets that have been derecognized during the year</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(18)</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(422)</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(440)</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Changes due to financial instruments recognized as of December 31, 2016:</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(451)</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(485)</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79</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79</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57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3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5700" w:type="dxa"/>
            <w:vAlign w:val="bottom"/>
          </w:tcPr>
          <w:p>
            <w:pPr>
              <w:spacing w:after="0"/>
              <w:rPr>
                <w:sz w:val="24"/>
                <w:szCs w:val="24"/>
                <w:color w:val="auto"/>
              </w:rPr>
            </w:pPr>
          </w:p>
        </w:tc>
        <w:tc>
          <w:tcPr>
            <w:tcW w:w="12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2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1"/>
              </w:rPr>
              <w:t xml:space="preserve">Stage 2 </w:t>
            </w:r>
            <w:r>
              <w:rPr>
                <w:rFonts w:ascii="Arial" w:cs="Arial" w:eastAsia="Arial" w:hAnsi="Arial"/>
                <w:sz w:val="30"/>
                <w:szCs w:val="30"/>
                <w:b w:val="1"/>
                <w:bCs w:val="1"/>
                <w:color w:val="auto"/>
                <w:w w:val="91"/>
                <w:vertAlign w:val="superscript"/>
              </w:rPr>
              <w:t>(2)</w:t>
            </w:r>
          </w:p>
        </w:tc>
        <w:tc>
          <w:tcPr>
            <w:tcW w:w="1180" w:type="dxa"/>
            <w:vAlign w:val="bottom"/>
            <w:gridSpan w:val="2"/>
          </w:tcPr>
          <w:p>
            <w:pPr>
              <w:ind w:left="1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0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2015</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348</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526</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1000" w:type="dxa"/>
            <w:vAlign w:val="bottom"/>
          </w:tcPr>
          <w:p>
            <w:pPr>
              <w:jc w:val="right"/>
              <w:spacing w:after="0"/>
              <w:rPr>
                <w:sz w:val="20"/>
                <w:szCs w:val="20"/>
                <w:color w:val="auto"/>
              </w:rPr>
            </w:pPr>
            <w:r>
              <w:rPr>
                <w:rFonts w:ascii="Arial" w:cs="Arial" w:eastAsia="Arial" w:hAnsi="Arial"/>
                <w:sz w:val="18"/>
                <w:szCs w:val="18"/>
                <w:color w:val="auto"/>
              </w:rPr>
              <w:t>(43)</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444</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401</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12-month expected credit losses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(91)</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Financial assets that have been derecognized during the year</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(317)</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(28)</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(345)</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Changes due to financial instruments recognized as of December 31, 2015:</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(365)</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325</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116</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116</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60" w:type="dxa"/>
            <w:vAlign w:val="bottom"/>
            <w:vMerge w:val="restart"/>
          </w:tcPr>
          <w:p>
            <w:pPr>
              <w:ind w:left="320"/>
              <w:spacing w:after="0"/>
              <w:rPr>
                <w:sz w:val="20"/>
                <w:szCs w:val="20"/>
                <w:color w:val="auto"/>
              </w:rPr>
            </w:pPr>
            <w:r>
              <w:rPr>
                <w:rFonts w:ascii="Arial" w:cs="Arial" w:eastAsia="Arial" w:hAnsi="Arial"/>
                <w:sz w:val="15"/>
                <w:szCs w:val="15"/>
                <w:color w:val="auto"/>
              </w:rPr>
              <w:t>(1)</w:t>
            </w:r>
          </w:p>
        </w:tc>
        <w:tc>
          <w:tcPr>
            <w:tcW w:w="5700" w:type="dxa"/>
            <w:vAlign w:val="bottom"/>
            <w:vMerge w:val="restart"/>
          </w:tcPr>
          <w:p>
            <w:pPr>
              <w:ind w:left="80"/>
              <w:spacing w:after="0"/>
              <w:rPr>
                <w:sz w:val="20"/>
                <w:szCs w:val="20"/>
                <w:color w:val="auto"/>
              </w:rPr>
            </w:pPr>
            <w:r>
              <w:rPr>
                <w:rFonts w:ascii="Arial" w:cs="Arial" w:eastAsia="Arial" w:hAnsi="Arial"/>
                <w:sz w:val="18"/>
                <w:szCs w:val="18"/>
                <w:color w:val="auto"/>
              </w:rPr>
              <w:t>12-month expected credit losses.</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8"/>
        </w:trPr>
        <w:tc>
          <w:tcPr>
            <w:tcW w:w="340" w:type="dxa"/>
            <w:vAlign w:val="bottom"/>
          </w:tcPr>
          <w:p>
            <w:pPr>
              <w:spacing w:after="0"/>
              <w:rPr>
                <w:sz w:val="24"/>
                <w:szCs w:val="24"/>
                <w:color w:val="auto"/>
              </w:rPr>
            </w:pPr>
          </w:p>
        </w:tc>
        <w:tc>
          <w:tcPr>
            <w:tcW w:w="560" w:type="dxa"/>
            <w:vAlign w:val="bottom"/>
            <w:vMerge w:val="continue"/>
          </w:tcPr>
          <w:p>
            <w:pPr>
              <w:spacing w:after="0"/>
              <w:rPr>
                <w:sz w:val="24"/>
                <w:szCs w:val="24"/>
                <w:color w:val="auto"/>
              </w:rPr>
            </w:pPr>
          </w:p>
        </w:tc>
        <w:tc>
          <w:tcPr>
            <w:tcW w:w="5700" w:type="dxa"/>
            <w:vAlign w:val="bottom"/>
            <w:vMerge w:val="continue"/>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60" w:type="dxa"/>
            <w:vAlign w:val="bottom"/>
          </w:tcPr>
          <w:p>
            <w:pPr>
              <w:ind w:left="320"/>
              <w:spacing w:after="0"/>
              <w:rPr>
                <w:sz w:val="20"/>
                <w:szCs w:val="20"/>
                <w:color w:val="auto"/>
              </w:rPr>
            </w:pPr>
            <w:r>
              <w:rPr>
                <w:rFonts w:ascii="Arial" w:cs="Arial" w:eastAsia="Arial" w:hAnsi="Arial"/>
                <w:sz w:val="15"/>
                <w:szCs w:val="15"/>
                <w:b w:val="1"/>
                <w:bCs w:val="1"/>
                <w:color w:val="auto"/>
              </w:rPr>
              <w:t>(2)</w:t>
            </w:r>
          </w:p>
        </w:tc>
        <w:tc>
          <w:tcPr>
            <w:tcW w:w="5700" w:type="dxa"/>
            <w:vAlign w:val="bottom"/>
          </w:tcPr>
          <w:p>
            <w:pPr>
              <w:ind w:left="80"/>
              <w:spacing w:after="0"/>
              <w:rPr>
                <w:sz w:val="20"/>
                <w:szCs w:val="20"/>
                <w:color w:val="auto"/>
              </w:rPr>
            </w:pPr>
            <w:r>
              <w:rPr>
                <w:rFonts w:ascii="Arial" w:cs="Arial" w:eastAsia="Arial" w:hAnsi="Arial"/>
                <w:sz w:val="18"/>
                <w:szCs w:val="18"/>
                <w:color w:val="auto"/>
              </w:rPr>
              <w:t>Lifetime expected credit losses.</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560" w:type="dxa"/>
            <w:vAlign w:val="bottom"/>
          </w:tcPr>
          <w:p>
            <w:pPr>
              <w:ind w:left="320"/>
              <w:spacing w:after="0"/>
              <w:rPr>
                <w:sz w:val="20"/>
                <w:szCs w:val="20"/>
                <w:color w:val="auto"/>
              </w:rPr>
            </w:pPr>
            <w:r>
              <w:rPr>
                <w:rFonts w:ascii="Arial" w:cs="Arial" w:eastAsia="Arial" w:hAnsi="Arial"/>
                <w:sz w:val="15"/>
                <w:szCs w:val="15"/>
                <w:color w:val="auto"/>
              </w:rPr>
              <w:t>(3)</w:t>
            </w:r>
          </w:p>
        </w:tc>
        <w:tc>
          <w:tcPr>
            <w:tcW w:w="5700" w:type="dxa"/>
            <w:vAlign w:val="bottom"/>
          </w:tcPr>
          <w:p>
            <w:pPr>
              <w:ind w:left="80"/>
              <w:spacing w:after="0"/>
              <w:rPr>
                <w:sz w:val="20"/>
                <w:szCs w:val="20"/>
                <w:color w:val="auto"/>
              </w:rPr>
            </w:pPr>
            <w:r>
              <w:rPr>
                <w:rFonts w:ascii="Arial" w:cs="Arial" w:eastAsia="Arial" w:hAnsi="Arial"/>
                <w:sz w:val="18"/>
                <w:szCs w:val="18"/>
                <w:color w:val="auto"/>
              </w:rPr>
              <w:t>Credit-impaired financial assets (lifetime expected credit losses).</w:t>
            </w: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9"/>
        </w:trPr>
        <w:tc>
          <w:tcPr>
            <w:tcW w:w="3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5700" w:type="dxa"/>
            <w:vAlign w:val="bottom"/>
            <w:tcBorders>
              <w:bottom w:val="single" w:sz="8" w:color="auto"/>
            </w:tcBorders>
          </w:tcPr>
          <w:p>
            <w:pPr>
              <w:ind w:left="4660"/>
              <w:spacing w:after="0"/>
              <w:rPr>
                <w:sz w:val="20"/>
                <w:szCs w:val="20"/>
                <w:color w:val="auto"/>
              </w:rPr>
            </w:pPr>
            <w:r>
              <w:rPr>
                <w:rFonts w:ascii="Arial" w:cs="Arial" w:eastAsia="Arial" w:hAnsi="Arial"/>
                <w:sz w:val="18"/>
                <w:szCs w:val="18"/>
                <w:color w:val="auto"/>
              </w:rPr>
              <w:t>F-41</w:t>
            </w: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9" w:right="239" w:bottom="1440" w:gutter="0" w:footer="0" w:header="0"/>
        </w:sectPr>
      </w:pPr>
    </w:p>
    <w:bookmarkStart w:id="163" w:name="page164"/>
    <w:bookmarkEnd w:id="1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6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5.4 Recognition and derecognition of financial assets</w:t>
      </w:r>
    </w:p>
    <w:p>
      <w:pPr>
        <w:spacing w:after="0" w:line="229"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During the years ended December 31, 2017, 2016 and 2015, the Bank sold loans at amortized cost in the secondary market. These sales were made on the basis of compliance with the Bank's strategy to optimize the loan portfolio.</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amounts and gains arising from the derecognition of these financial instruments are presented in the following table. These gains are presented within the line “gain on sale of loans at amortized cost” in the consolidated statement of profit or loss.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120" w:type="dxa"/>
            <w:vAlign w:val="bottom"/>
          </w:tcPr>
          <w:p>
            <w:pPr>
              <w:spacing w:after="0"/>
              <w:rPr>
                <w:sz w:val="18"/>
                <w:szCs w:val="18"/>
                <w:color w:val="auto"/>
              </w:rPr>
            </w:pPr>
          </w:p>
        </w:tc>
        <w:tc>
          <w:tcPr>
            <w:tcW w:w="15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Assignments and</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8120" w:type="dxa"/>
            <w:vAlign w:val="bottom"/>
          </w:tcPr>
          <w:p>
            <w:pPr>
              <w:spacing w:after="0"/>
              <w:rPr>
                <w:sz w:val="20"/>
                <w:szCs w:val="20"/>
                <w:color w:val="auto"/>
              </w:rPr>
            </w:pPr>
          </w:p>
        </w:tc>
        <w:tc>
          <w:tcPr>
            <w:tcW w:w="15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participations</w:t>
            </w:r>
          </w:p>
        </w:tc>
        <w:tc>
          <w:tcPr>
            <w:tcW w:w="1300" w:type="dxa"/>
            <w:vAlign w:val="bottom"/>
            <w:gridSpan w:val="2"/>
          </w:tcPr>
          <w:p>
            <w:pPr>
              <w:ind w:left="380"/>
              <w:spacing w:after="0"/>
              <w:rPr>
                <w:sz w:val="20"/>
                <w:szCs w:val="20"/>
                <w:color w:val="auto"/>
              </w:rPr>
            </w:pPr>
            <w:r>
              <w:rPr>
                <w:rFonts w:ascii="Arial" w:cs="Arial" w:eastAsia="Arial" w:hAnsi="Arial"/>
                <w:sz w:val="18"/>
                <w:szCs w:val="18"/>
                <w:b w:val="1"/>
                <w:bCs w:val="1"/>
                <w:color w:val="auto"/>
              </w:rPr>
              <w:t>Gains</w:t>
            </w:r>
          </w:p>
        </w:tc>
      </w:tr>
      <w:tr>
        <w:trPr>
          <w:trHeight w:val="210"/>
        </w:trPr>
        <w:tc>
          <w:tcPr>
            <w:tcW w:w="8120" w:type="dxa"/>
            <w:vAlign w:val="bottom"/>
          </w:tcPr>
          <w:p>
            <w:pPr>
              <w:spacing w:after="0"/>
              <w:rPr>
                <w:sz w:val="18"/>
                <w:szCs w:val="18"/>
                <w:color w:val="auto"/>
              </w:rPr>
            </w:pPr>
          </w:p>
        </w:tc>
        <w:tc>
          <w:tcPr>
            <w:tcW w:w="13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For the year ended December 31, 2017</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77,400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181</w:t>
            </w: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For the year ended December 31, 2016</w:t>
            </w:r>
          </w:p>
        </w:tc>
        <w:tc>
          <w:tcPr>
            <w:tcW w:w="1300" w:type="dxa"/>
            <w:vAlign w:val="bottom"/>
          </w:tcPr>
          <w:p>
            <w:pPr>
              <w:jc w:val="right"/>
              <w:spacing w:after="0"/>
              <w:rPr>
                <w:sz w:val="20"/>
                <w:szCs w:val="20"/>
                <w:color w:val="auto"/>
              </w:rPr>
            </w:pPr>
            <w:r>
              <w:rPr>
                <w:rFonts w:ascii="Arial" w:cs="Arial" w:eastAsia="Arial" w:hAnsi="Arial"/>
                <w:sz w:val="18"/>
                <w:szCs w:val="18"/>
                <w:color w:val="auto"/>
              </w:rPr>
              <w:t>157,242</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730</w:t>
            </w: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For the year ended December 31, 2015</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92,438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422</w:t>
            </w:r>
          </w:p>
        </w:tc>
      </w:tr>
    </w:tbl>
    <w:p>
      <w:pPr>
        <w:spacing w:after="0" w:line="202" w:lineRule="exact"/>
        <w:rPr>
          <w:sz w:val="20"/>
          <w:szCs w:val="20"/>
          <w:color w:val="auto"/>
        </w:rPr>
      </w:pPr>
    </w:p>
    <w:p>
      <w:pPr>
        <w:ind w:left="340" w:right="80"/>
        <w:spacing w:after="0" w:line="277" w:lineRule="auto"/>
        <w:rPr>
          <w:sz w:val="20"/>
          <w:szCs w:val="20"/>
          <w:color w:val="auto"/>
        </w:rPr>
      </w:pPr>
      <w:r>
        <w:rPr>
          <w:rFonts w:ascii="Arial" w:cs="Arial" w:eastAsia="Arial" w:hAnsi="Arial"/>
          <w:sz w:val="18"/>
          <w:szCs w:val="18"/>
          <w:color w:val="auto"/>
        </w:rPr>
        <w:t>During the years ended December 31, 2016 and 2015 the Bank entered into a master participation agreement with the International Finance Corp. to sale participation in credit facilities which resulted in revenues of $76 and $425, respectively.</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5.5 Loans – at amortized cost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 forth details of the Bank’s gross loan portfolio:</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5100" w:type="dxa"/>
            <w:vAlign w:val="bottom"/>
          </w:tcPr>
          <w:p>
            <w:pPr>
              <w:spacing w:after="0"/>
              <w:rPr>
                <w:sz w:val="18"/>
                <w:szCs w:val="18"/>
                <w:color w:val="auto"/>
              </w:rPr>
            </w:pPr>
          </w:p>
        </w:tc>
        <w:tc>
          <w:tcPr>
            <w:tcW w:w="312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00" w:type="dxa"/>
            <w:vAlign w:val="bottom"/>
          </w:tcPr>
          <w:p>
            <w:pPr>
              <w:spacing w:after="0"/>
              <w:rPr>
                <w:sz w:val="20"/>
                <w:szCs w:val="20"/>
                <w:color w:val="auto"/>
              </w:rPr>
            </w:pPr>
          </w:p>
        </w:tc>
        <w:tc>
          <w:tcPr>
            <w:tcW w:w="4320" w:type="dxa"/>
            <w:vAlign w:val="bottom"/>
            <w:gridSpan w:val="2"/>
          </w:tcPr>
          <w:p>
            <w:pPr>
              <w:jc w:val="center"/>
              <w:ind w:left="3030"/>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3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Private</w:t>
            </w:r>
          </w:p>
        </w:tc>
        <w:tc>
          <w:tcPr>
            <w:tcW w:w="4320" w:type="dxa"/>
            <w:vAlign w:val="bottom"/>
            <w:gridSpan w:val="2"/>
          </w:tcPr>
          <w:p>
            <w:pPr>
              <w:jc w:val="right"/>
              <w:spacing w:after="0"/>
              <w:rPr>
                <w:sz w:val="20"/>
                <w:szCs w:val="20"/>
                <w:color w:val="auto"/>
              </w:rPr>
            </w:pPr>
            <w:r>
              <w:rPr>
                <w:rFonts w:ascii="Arial" w:cs="Arial" w:eastAsia="Arial" w:hAnsi="Arial"/>
                <w:sz w:val="18"/>
                <w:szCs w:val="18"/>
                <w:color w:val="auto"/>
              </w:rPr>
              <w:t>1,882,846</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2,655,910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4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723,267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786,900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3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4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2,083,795</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1,738,999</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State-owned</w:t>
            </w:r>
          </w:p>
        </w:tc>
        <w:tc>
          <w:tcPr>
            <w:tcW w:w="4320" w:type="dxa"/>
            <w:vAlign w:val="bottom"/>
            <w:gridSpan w:val="2"/>
          </w:tcPr>
          <w:p>
            <w:pPr>
              <w:jc w:val="right"/>
              <w:spacing w:after="0"/>
              <w:rPr>
                <w:sz w:val="20"/>
                <w:szCs w:val="20"/>
                <w:color w:val="auto"/>
              </w:rPr>
            </w:pPr>
            <w:r>
              <w:rPr>
                <w:rFonts w:ascii="Arial" w:cs="Arial" w:eastAsia="Arial" w:hAnsi="Arial"/>
                <w:sz w:val="18"/>
                <w:szCs w:val="18"/>
                <w:color w:val="auto"/>
              </w:rPr>
              <w:t>573,649</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544,877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31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Private</w:t>
            </w:r>
          </w:p>
        </w:tc>
        <w:tc>
          <w:tcPr>
            <w:tcW w:w="4320" w:type="dxa"/>
            <w:vAlign w:val="bottom"/>
            <w:gridSpan w:val="2"/>
          </w:tcPr>
          <w:p>
            <w:pPr>
              <w:jc w:val="right"/>
              <w:spacing w:after="0"/>
              <w:rPr>
                <w:sz w:val="20"/>
                <w:szCs w:val="20"/>
                <w:color w:val="auto"/>
              </w:rPr>
            </w:pPr>
            <w:r>
              <w:rPr>
                <w:rFonts w:ascii="Arial" w:cs="Arial" w:eastAsia="Arial" w:hAnsi="Arial"/>
                <w:sz w:val="18"/>
                <w:szCs w:val="18"/>
                <w:color w:val="auto"/>
              </w:rPr>
              <w:t>242,101</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294,045</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3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00" w:type="dxa"/>
            <w:vAlign w:val="bottom"/>
            <w:vMerge w:val="restart"/>
          </w:tcPr>
          <w:p>
            <w:pPr>
              <w:spacing w:after="0"/>
              <w:rPr>
                <w:sz w:val="20"/>
                <w:szCs w:val="20"/>
                <w:color w:val="auto"/>
              </w:rPr>
            </w:pPr>
            <w:r>
              <w:rPr>
                <w:rFonts w:ascii="Arial" w:cs="Arial" w:eastAsia="Arial" w:hAnsi="Arial"/>
                <w:sz w:val="18"/>
                <w:szCs w:val="18"/>
                <w:color w:val="auto"/>
                <w:w w:val="94"/>
              </w:rPr>
              <w:t>The composition of the gross loan portfolio by industry is as follows:</w:t>
            </w:r>
          </w:p>
        </w:tc>
        <w:tc>
          <w:tcPr>
            <w:tcW w:w="3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5100" w:type="dxa"/>
            <w:vAlign w:val="bottom"/>
            <w:vMerge w:val="continue"/>
          </w:tcPr>
          <w:p>
            <w:pPr>
              <w:spacing w:after="0"/>
              <w:rPr>
                <w:sz w:val="24"/>
                <w:szCs w:val="24"/>
                <w:color w:val="auto"/>
              </w:rPr>
            </w:pPr>
          </w:p>
        </w:tc>
        <w:tc>
          <w:tcPr>
            <w:tcW w:w="31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510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00" w:type="dxa"/>
            <w:vAlign w:val="bottom"/>
          </w:tcPr>
          <w:p>
            <w:pPr>
              <w:spacing w:after="0"/>
              <w:rPr>
                <w:sz w:val="20"/>
                <w:szCs w:val="20"/>
                <w:color w:val="auto"/>
              </w:rPr>
            </w:pPr>
          </w:p>
        </w:tc>
        <w:tc>
          <w:tcPr>
            <w:tcW w:w="4320" w:type="dxa"/>
            <w:vAlign w:val="bottom"/>
            <w:gridSpan w:val="2"/>
          </w:tcPr>
          <w:p>
            <w:pPr>
              <w:jc w:val="center"/>
              <w:ind w:left="3030"/>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Banking and financial institutions</w:t>
            </w:r>
          </w:p>
        </w:tc>
        <w:tc>
          <w:tcPr>
            <w:tcW w:w="3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2,657,444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2,283,876</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Industrial</w:t>
            </w:r>
          </w:p>
        </w:tc>
        <w:tc>
          <w:tcPr>
            <w:tcW w:w="4320" w:type="dxa"/>
            <w:vAlign w:val="bottom"/>
            <w:gridSpan w:val="2"/>
          </w:tcPr>
          <w:p>
            <w:pPr>
              <w:jc w:val="right"/>
              <w:spacing w:after="0"/>
              <w:rPr>
                <w:sz w:val="20"/>
                <w:szCs w:val="20"/>
                <w:color w:val="auto"/>
              </w:rPr>
            </w:pPr>
            <w:r>
              <w:rPr>
                <w:rFonts w:ascii="Arial" w:cs="Arial" w:eastAsia="Arial" w:hAnsi="Arial"/>
                <w:sz w:val="18"/>
                <w:szCs w:val="18"/>
                <w:color w:val="auto"/>
              </w:rPr>
              <w:t>772,238</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1,242,441</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4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735,413</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788,186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Agricultural</w:t>
            </w:r>
          </w:p>
        </w:tc>
        <w:tc>
          <w:tcPr>
            <w:tcW w:w="4320" w:type="dxa"/>
            <w:vAlign w:val="bottom"/>
            <w:gridSpan w:val="2"/>
          </w:tcPr>
          <w:p>
            <w:pPr>
              <w:jc w:val="right"/>
              <w:spacing w:after="0"/>
              <w:rPr>
                <w:sz w:val="20"/>
                <w:szCs w:val="20"/>
                <w:color w:val="auto"/>
              </w:rPr>
            </w:pPr>
            <w:r>
              <w:rPr>
                <w:rFonts w:ascii="Arial" w:cs="Arial" w:eastAsia="Arial" w:hAnsi="Arial"/>
                <w:sz w:val="18"/>
                <w:szCs w:val="18"/>
                <w:color w:val="auto"/>
              </w:rPr>
              <w:t>501,241</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1,007,139</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4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430,717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419,440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Mining</w:t>
            </w:r>
          </w:p>
        </w:tc>
        <w:tc>
          <w:tcPr>
            <w:tcW w:w="4320" w:type="dxa"/>
            <w:vAlign w:val="bottom"/>
            <w:gridSpan w:val="2"/>
          </w:tcPr>
          <w:p>
            <w:pPr>
              <w:jc w:val="right"/>
              <w:spacing w:after="0"/>
              <w:rPr>
                <w:sz w:val="20"/>
                <w:szCs w:val="20"/>
                <w:color w:val="auto"/>
              </w:rPr>
            </w:pPr>
            <w:r>
              <w:rPr>
                <w:rFonts w:ascii="Arial" w:cs="Arial" w:eastAsia="Arial" w:hAnsi="Arial"/>
                <w:sz w:val="18"/>
                <w:szCs w:val="18"/>
                <w:color w:val="auto"/>
              </w:rPr>
              <w:t>231,687</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54,000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4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176,918</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225,649</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Total</w:t>
            </w:r>
          </w:p>
        </w:tc>
        <w:tc>
          <w:tcPr>
            <w:tcW w:w="31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5,505,658</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00" w:type="dxa"/>
            <w:vAlign w:val="bottom"/>
          </w:tcPr>
          <w:p>
            <w:pPr>
              <w:spacing w:after="0" w:line="20" w:lineRule="exact"/>
              <w:rPr>
                <w:sz w:val="1"/>
                <w:szCs w:val="1"/>
                <w:color w:val="auto"/>
              </w:rPr>
            </w:pPr>
          </w:p>
        </w:tc>
        <w:tc>
          <w:tcPr>
            <w:tcW w:w="3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5100" w:type="dxa"/>
            <w:vAlign w:val="bottom"/>
            <w:tcBorders>
              <w:bottom w:val="single" w:sz="8" w:color="auto"/>
            </w:tcBorders>
          </w:tcPr>
          <w:p>
            <w:pPr>
              <w:spacing w:after="0"/>
              <w:rPr>
                <w:sz w:val="24"/>
                <w:szCs w:val="24"/>
                <w:color w:val="auto"/>
              </w:rPr>
            </w:pPr>
          </w:p>
        </w:tc>
        <w:tc>
          <w:tcPr>
            <w:tcW w:w="4540" w:type="dxa"/>
            <w:vAlign w:val="bottom"/>
            <w:tcBorders>
              <w:bottom w:val="single" w:sz="8" w:color="auto"/>
            </w:tcBorders>
            <w:gridSpan w:val="3"/>
          </w:tcPr>
          <w:p>
            <w:pPr>
              <w:ind w:left="120"/>
              <w:spacing w:after="0"/>
              <w:rPr>
                <w:sz w:val="20"/>
                <w:szCs w:val="20"/>
                <w:color w:val="auto"/>
              </w:rPr>
            </w:pPr>
            <w:r>
              <w:rPr>
                <w:rFonts w:ascii="Arial" w:cs="Arial" w:eastAsia="Arial" w:hAnsi="Arial"/>
                <w:sz w:val="18"/>
                <w:szCs w:val="18"/>
                <w:color w:val="auto"/>
              </w:rPr>
              <w:t>F-42</w:t>
            </w: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9" w:right="239" w:bottom="1440" w:gutter="0" w:footer="0" w:header="0"/>
        </w:sectPr>
      </w:pPr>
    </w:p>
    <w:bookmarkStart w:id="164" w:name="page165"/>
    <w:bookmarkEnd w:id="1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6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5.5 Loans – at amortized cost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Loans are reported at their amortized cost considering the principal outstanding amounts net of unearned interest, deferred fees and allowance for expected credit losses.</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amortization of net unearned interest and deferred fees are recognized as an adjustment to the related loan yield using the effective interest rate method.</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unearned discount interest and deferred commission amounted to $4,985 and $7,249 at December 31, 2017 and 2016, respectively.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Loans classified by borrower’s credit quality indicators are as follows:</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24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840" w:type="dxa"/>
            <w:vAlign w:val="bottom"/>
            <w:tcBorders>
              <w:top w:val="single" w:sz="8" w:color="auto"/>
            </w:tcBorders>
            <w:gridSpan w:val="4"/>
          </w:tcPr>
          <w:p>
            <w:pPr>
              <w:jc w:val="right"/>
              <w:ind w:right="680"/>
              <w:spacing w:after="0" w:line="191" w:lineRule="exact"/>
              <w:rPr>
                <w:sz w:val="20"/>
                <w:szCs w:val="20"/>
                <w:color w:val="auto"/>
              </w:rPr>
            </w:pPr>
            <w:r>
              <w:rPr>
                <w:rFonts w:ascii="Arial" w:cs="Arial" w:eastAsia="Arial" w:hAnsi="Arial"/>
                <w:sz w:val="18"/>
                <w:szCs w:val="18"/>
                <w:b w:val="1"/>
                <w:bCs w:val="1"/>
                <w:color w:val="auto"/>
              </w:rPr>
              <w:t>Banking and financial</w:t>
            </w:r>
          </w:p>
        </w:tc>
        <w:tc>
          <w:tcPr>
            <w:tcW w:w="142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5"/>
              </w:rPr>
              <w:t>Middle-market</w:t>
            </w:r>
          </w:p>
        </w:tc>
        <w:tc>
          <w:tcPr>
            <w:tcW w:w="12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540" w:type="dxa"/>
            <w:vAlign w:val="bottom"/>
            <w:gridSpan w:val="2"/>
            <w:vMerge w:val="restart"/>
          </w:tcPr>
          <w:p>
            <w:pPr>
              <w:ind w:left="86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620" w:type="dxa"/>
            <w:vAlign w:val="bottom"/>
            <w:tcBorders>
              <w:bottom w:val="single" w:sz="8" w:color="auto"/>
            </w:tcBorders>
            <w:gridSpan w:val="3"/>
          </w:tcPr>
          <w:p>
            <w:pPr>
              <w:jc w:val="right"/>
              <w:ind w:right="710"/>
              <w:spacing w:after="0"/>
              <w:rPr>
                <w:sz w:val="20"/>
                <w:szCs w:val="20"/>
                <w:color w:val="auto"/>
              </w:rPr>
            </w:pPr>
            <w:r>
              <w:rPr>
                <w:rFonts w:ascii="Arial" w:cs="Arial" w:eastAsia="Arial" w:hAnsi="Arial"/>
                <w:sz w:val="18"/>
                <w:szCs w:val="18"/>
                <w:b w:val="1"/>
                <w:bCs w:val="1"/>
                <w:color w:val="auto"/>
              </w:rPr>
              <w:t>Corporations</w:t>
            </w:r>
          </w:p>
        </w:tc>
        <w:tc>
          <w:tcPr>
            <w:tcW w:w="220" w:type="dxa"/>
            <w:vAlign w:val="bottom"/>
          </w:tcPr>
          <w:p>
            <w:pPr>
              <w:spacing w:after="0"/>
              <w:rPr>
                <w:sz w:val="20"/>
                <w:szCs w:val="20"/>
                <w:color w:val="auto"/>
              </w:rPr>
            </w:pPr>
          </w:p>
        </w:tc>
        <w:tc>
          <w:tcPr>
            <w:tcW w:w="2620" w:type="dxa"/>
            <w:vAlign w:val="bottom"/>
            <w:tcBorders>
              <w:bottom w:val="single" w:sz="8" w:color="auto"/>
            </w:tcBorders>
            <w:gridSpan w:val="3"/>
          </w:tcPr>
          <w:p>
            <w:pPr>
              <w:jc w:val="right"/>
              <w:ind w:right="790"/>
              <w:spacing w:after="0"/>
              <w:rPr>
                <w:sz w:val="20"/>
                <w:szCs w:val="20"/>
                <w:color w:val="auto"/>
              </w:rPr>
            </w:pPr>
            <w:r>
              <w:rPr>
                <w:rFonts w:ascii="Arial" w:cs="Arial" w:eastAsia="Arial" w:hAnsi="Arial"/>
                <w:sz w:val="18"/>
                <w:szCs w:val="18"/>
                <w:b w:val="1"/>
                <w:bCs w:val="1"/>
                <w:color w:val="auto"/>
              </w:rPr>
              <w:t>institutions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companies</w:t>
            </w: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2540" w:type="dxa"/>
            <w:vAlign w:val="bottom"/>
            <w:gridSpan w:val="2"/>
            <w:vMerge w:val="continue"/>
          </w:tcPr>
          <w:p>
            <w:pPr>
              <w:spacing w:after="0"/>
              <w:rPr>
                <w:sz w:val="20"/>
                <w:szCs w:val="20"/>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Private</w:t>
            </w:r>
          </w:p>
        </w:tc>
        <w:tc>
          <w:tcPr>
            <w:tcW w:w="14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State-owned</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Private</w:t>
            </w:r>
          </w:p>
        </w:tc>
        <w:tc>
          <w:tcPr>
            <w:tcW w:w="14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State-owned</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Private</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4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1,336,032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563,877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1,729,592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361,236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147,212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4,137,949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0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523,055</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159,390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354,203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212,413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59,889</w:t>
            </w:r>
          </w:p>
        </w:tc>
        <w:tc>
          <w:tcPr>
            <w:tcW w:w="1200" w:type="dxa"/>
            <w:vAlign w:val="bottom"/>
          </w:tcPr>
          <w:p>
            <w:pPr>
              <w:jc w:val="right"/>
              <w:spacing w:after="0"/>
              <w:rPr>
                <w:sz w:val="20"/>
                <w:szCs w:val="20"/>
                <w:color w:val="auto"/>
              </w:rPr>
            </w:pPr>
            <w:r>
              <w:rPr>
                <w:rFonts w:ascii="Arial" w:cs="Arial" w:eastAsia="Arial" w:hAnsi="Arial"/>
                <w:sz w:val="18"/>
                <w:szCs w:val="18"/>
                <w:color w:val="auto"/>
              </w:rPr>
              <w:t>1,308.950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4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0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14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23,759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23,759</w:t>
            </w:r>
          </w:p>
        </w:tc>
        <w:tc>
          <w:tcPr>
            <w:tcW w:w="0" w:type="dxa"/>
            <w:vAlign w:val="bottom"/>
          </w:tcPr>
          <w:p>
            <w:pPr>
              <w:spacing w:after="0"/>
              <w:rPr>
                <w:sz w:val="1"/>
                <w:szCs w:val="1"/>
                <w:color w:val="auto"/>
              </w:rPr>
            </w:pPr>
          </w:p>
        </w:tc>
      </w:tr>
      <w:tr>
        <w:trPr>
          <w:trHeight w:val="216"/>
        </w:trPr>
        <w:tc>
          <w:tcPr>
            <w:tcW w:w="2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14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40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4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35,000</w:t>
            </w:r>
          </w:p>
        </w:tc>
        <w:tc>
          <w:tcPr>
            <w:tcW w:w="0" w:type="dxa"/>
            <w:vAlign w:val="bottom"/>
          </w:tcPr>
          <w:p>
            <w:pPr>
              <w:spacing w:after="0"/>
              <w:rPr>
                <w:sz w:val="1"/>
                <w:szCs w:val="1"/>
                <w:color w:val="auto"/>
              </w:rPr>
            </w:pPr>
          </w:p>
        </w:tc>
      </w:tr>
      <w:tr>
        <w:trPr>
          <w:trHeight w:val="223"/>
        </w:trPr>
        <w:tc>
          <w:tcPr>
            <w:tcW w:w="25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1,882,846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723,267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2,083,795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573,649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242,101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4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December 31, 2016</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24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840" w:type="dxa"/>
            <w:vAlign w:val="bottom"/>
            <w:tcBorders>
              <w:top w:val="single" w:sz="8" w:color="auto"/>
            </w:tcBorders>
            <w:gridSpan w:val="4"/>
          </w:tcPr>
          <w:p>
            <w:pPr>
              <w:jc w:val="right"/>
              <w:ind w:right="680"/>
              <w:spacing w:after="0" w:line="191" w:lineRule="exact"/>
              <w:rPr>
                <w:sz w:val="20"/>
                <w:szCs w:val="20"/>
                <w:color w:val="auto"/>
              </w:rPr>
            </w:pPr>
            <w:r>
              <w:rPr>
                <w:rFonts w:ascii="Arial" w:cs="Arial" w:eastAsia="Arial" w:hAnsi="Arial"/>
                <w:sz w:val="18"/>
                <w:szCs w:val="18"/>
                <w:b w:val="1"/>
                <w:bCs w:val="1"/>
                <w:color w:val="auto"/>
              </w:rPr>
              <w:t>Banking and financial</w:t>
            </w:r>
          </w:p>
        </w:tc>
        <w:tc>
          <w:tcPr>
            <w:tcW w:w="142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5"/>
              </w:rPr>
              <w:t>Middle-market</w:t>
            </w:r>
          </w:p>
        </w:tc>
        <w:tc>
          <w:tcPr>
            <w:tcW w:w="12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540" w:type="dxa"/>
            <w:vAlign w:val="bottom"/>
            <w:gridSpan w:val="2"/>
            <w:vMerge w:val="restart"/>
          </w:tcPr>
          <w:p>
            <w:pPr>
              <w:ind w:left="86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620" w:type="dxa"/>
            <w:vAlign w:val="bottom"/>
            <w:tcBorders>
              <w:bottom w:val="single" w:sz="8" w:color="auto"/>
            </w:tcBorders>
            <w:gridSpan w:val="3"/>
          </w:tcPr>
          <w:p>
            <w:pPr>
              <w:jc w:val="right"/>
              <w:ind w:right="710"/>
              <w:spacing w:after="0"/>
              <w:rPr>
                <w:sz w:val="20"/>
                <w:szCs w:val="20"/>
                <w:color w:val="auto"/>
              </w:rPr>
            </w:pPr>
            <w:r>
              <w:rPr>
                <w:rFonts w:ascii="Arial" w:cs="Arial" w:eastAsia="Arial" w:hAnsi="Arial"/>
                <w:sz w:val="18"/>
                <w:szCs w:val="18"/>
                <w:b w:val="1"/>
                <w:bCs w:val="1"/>
                <w:color w:val="auto"/>
              </w:rPr>
              <w:t>Corporations</w:t>
            </w:r>
          </w:p>
        </w:tc>
        <w:tc>
          <w:tcPr>
            <w:tcW w:w="220" w:type="dxa"/>
            <w:vAlign w:val="bottom"/>
          </w:tcPr>
          <w:p>
            <w:pPr>
              <w:spacing w:after="0"/>
              <w:rPr>
                <w:sz w:val="20"/>
                <w:szCs w:val="20"/>
                <w:color w:val="auto"/>
              </w:rPr>
            </w:pPr>
          </w:p>
        </w:tc>
        <w:tc>
          <w:tcPr>
            <w:tcW w:w="2620" w:type="dxa"/>
            <w:vAlign w:val="bottom"/>
            <w:tcBorders>
              <w:bottom w:val="single" w:sz="8" w:color="auto"/>
            </w:tcBorders>
            <w:gridSpan w:val="3"/>
          </w:tcPr>
          <w:p>
            <w:pPr>
              <w:jc w:val="right"/>
              <w:ind w:right="790"/>
              <w:spacing w:after="0"/>
              <w:rPr>
                <w:sz w:val="20"/>
                <w:szCs w:val="20"/>
                <w:color w:val="auto"/>
              </w:rPr>
            </w:pPr>
            <w:r>
              <w:rPr>
                <w:rFonts w:ascii="Arial" w:cs="Arial" w:eastAsia="Arial" w:hAnsi="Arial"/>
                <w:sz w:val="18"/>
                <w:szCs w:val="18"/>
                <w:b w:val="1"/>
                <w:bCs w:val="1"/>
                <w:color w:val="auto"/>
              </w:rPr>
              <w:t>institutions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companies</w:t>
            </w: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2540" w:type="dxa"/>
            <w:vAlign w:val="bottom"/>
            <w:gridSpan w:val="2"/>
            <w:vMerge w:val="continue"/>
          </w:tcPr>
          <w:p>
            <w:pPr>
              <w:spacing w:after="0"/>
              <w:rPr>
                <w:sz w:val="20"/>
                <w:szCs w:val="20"/>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Private</w:t>
            </w:r>
          </w:p>
        </w:tc>
        <w:tc>
          <w:tcPr>
            <w:tcW w:w="14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State-owned</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Private</w:t>
            </w:r>
          </w:p>
        </w:tc>
        <w:tc>
          <w:tcPr>
            <w:tcW w:w="14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State-owned</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Private</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4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1,714,936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646,797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1,457,984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259,981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174,107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4,253,805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0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863,937</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140,103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281,015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284,896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84,938</w:t>
            </w:r>
          </w:p>
        </w:tc>
        <w:tc>
          <w:tcPr>
            <w:tcW w:w="1200" w:type="dxa"/>
            <w:vAlign w:val="bottom"/>
          </w:tcPr>
          <w:p>
            <w:pPr>
              <w:jc w:val="right"/>
              <w:spacing w:after="0"/>
              <w:rPr>
                <w:sz w:val="20"/>
                <w:szCs w:val="20"/>
                <w:color w:val="auto"/>
              </w:rPr>
            </w:pPr>
            <w:r>
              <w:rPr>
                <w:rFonts w:ascii="Arial" w:cs="Arial" w:eastAsia="Arial" w:hAnsi="Arial"/>
                <w:sz w:val="18"/>
                <w:szCs w:val="18"/>
                <w:color w:val="auto"/>
              </w:rPr>
              <w:t>1,654,889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4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58,673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58,673</w:t>
            </w:r>
          </w:p>
        </w:tc>
        <w:tc>
          <w:tcPr>
            <w:tcW w:w="0" w:type="dxa"/>
            <w:vAlign w:val="bottom"/>
          </w:tcPr>
          <w:p>
            <w:pPr>
              <w:spacing w:after="0"/>
              <w:rPr>
                <w:sz w:val="1"/>
                <w:szCs w:val="1"/>
                <w:color w:val="auto"/>
              </w:rPr>
            </w:pPr>
          </w:p>
        </w:tc>
      </w:tr>
      <w:tr>
        <w:trPr>
          <w:trHeight w:val="216"/>
        </w:trPr>
        <w:tc>
          <w:tcPr>
            <w:tcW w:w="240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1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4,000</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4,000</w:t>
            </w:r>
          </w:p>
        </w:tc>
        <w:tc>
          <w:tcPr>
            <w:tcW w:w="0" w:type="dxa"/>
            <w:vAlign w:val="bottom"/>
          </w:tcPr>
          <w:p>
            <w:pPr>
              <w:spacing w:after="0"/>
              <w:rPr>
                <w:sz w:val="1"/>
                <w:szCs w:val="1"/>
                <w:color w:val="auto"/>
              </w:rPr>
            </w:pPr>
          </w:p>
        </w:tc>
      </w:tr>
      <w:tr>
        <w:trPr>
          <w:trHeight w:val="216"/>
        </w:trPr>
        <w:tc>
          <w:tcPr>
            <w:tcW w:w="2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14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35,000</w:t>
            </w:r>
          </w:p>
        </w:tc>
        <w:tc>
          <w:tcPr>
            <w:tcW w:w="0" w:type="dxa"/>
            <w:vAlign w:val="bottom"/>
          </w:tcPr>
          <w:p>
            <w:pPr>
              <w:spacing w:after="0"/>
              <w:rPr>
                <w:sz w:val="1"/>
                <w:szCs w:val="1"/>
                <w:color w:val="auto"/>
              </w:rPr>
            </w:pPr>
          </w:p>
        </w:tc>
      </w:tr>
      <w:tr>
        <w:trPr>
          <w:trHeight w:val="230"/>
        </w:trPr>
        <w:tc>
          <w:tcPr>
            <w:tcW w:w="240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4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14,364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14,364</w:t>
            </w:r>
          </w:p>
        </w:tc>
        <w:tc>
          <w:tcPr>
            <w:tcW w:w="0" w:type="dxa"/>
            <w:vAlign w:val="bottom"/>
          </w:tcPr>
          <w:p>
            <w:pPr>
              <w:spacing w:after="0"/>
              <w:rPr>
                <w:sz w:val="1"/>
                <w:szCs w:val="1"/>
                <w:color w:val="auto"/>
              </w:rPr>
            </w:pPr>
          </w:p>
        </w:tc>
      </w:tr>
      <w:tr>
        <w:trPr>
          <w:trHeight w:val="223"/>
        </w:trPr>
        <w:tc>
          <w:tcPr>
            <w:tcW w:w="25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2,655,910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786,900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1,738,999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544,877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294,045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4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660" w:hanging="328"/>
        <w:spacing w:after="0"/>
        <w:tabs>
          <w:tab w:leader="none" w:pos="660" w:val="left"/>
        </w:tabs>
        <w:numPr>
          <w:ilvl w:val="0"/>
          <w:numId w:val="164"/>
        </w:numPr>
        <w:rPr>
          <w:rFonts w:ascii="Arial" w:cs="Arial" w:eastAsia="Arial" w:hAnsi="Arial"/>
          <w:sz w:val="30"/>
          <w:szCs w:val="30"/>
          <w:color w:val="auto"/>
          <w:vertAlign w:val="superscript"/>
        </w:rPr>
      </w:pPr>
      <w:r>
        <w:rPr>
          <w:rFonts w:ascii="Arial" w:cs="Arial" w:eastAsia="Arial" w:hAnsi="Arial"/>
          <w:sz w:val="18"/>
          <w:szCs w:val="18"/>
          <w:color w:val="auto"/>
        </w:rPr>
        <w:t>Current ratings as of December 31, 2017 and 2016, respectively.</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65" w:name="page166"/>
    <w:bookmarkEnd w:id="1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6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5.5 Loans – at amortized cost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provides a breakdown of gross loans by country risk: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600" w:type="dxa"/>
            <w:vAlign w:val="bottom"/>
          </w:tcPr>
          <w:p>
            <w:pPr>
              <w:spacing w:after="0"/>
              <w:rPr>
                <w:sz w:val="18"/>
                <w:szCs w:val="18"/>
                <w:color w:val="auto"/>
              </w:rPr>
            </w:pPr>
          </w:p>
        </w:tc>
        <w:tc>
          <w:tcPr>
            <w:tcW w:w="4620" w:type="dxa"/>
            <w:vAlign w:val="bottom"/>
          </w:tcPr>
          <w:p>
            <w:pPr>
              <w:spacing w:after="0"/>
              <w:rPr>
                <w:sz w:val="18"/>
                <w:szCs w:val="18"/>
                <w:color w:val="auto"/>
              </w:rPr>
            </w:pPr>
          </w:p>
        </w:tc>
        <w:tc>
          <w:tcPr>
            <w:tcW w:w="142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600" w:type="dxa"/>
            <w:vAlign w:val="bottom"/>
          </w:tcPr>
          <w:p>
            <w:pPr>
              <w:spacing w:after="0"/>
              <w:rPr>
                <w:sz w:val="20"/>
                <w:szCs w:val="20"/>
                <w:color w:val="auto"/>
              </w:rPr>
            </w:pPr>
          </w:p>
        </w:tc>
        <w:tc>
          <w:tcPr>
            <w:tcW w:w="582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2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46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5820" w:type="dxa"/>
            <w:vAlign w:val="bottom"/>
            <w:gridSpan w:val="2"/>
          </w:tcPr>
          <w:p>
            <w:pPr>
              <w:jc w:val="right"/>
              <w:spacing w:after="0"/>
              <w:rPr>
                <w:sz w:val="20"/>
                <w:szCs w:val="20"/>
                <w:color w:val="auto"/>
              </w:rPr>
            </w:pPr>
            <w:r>
              <w:rPr>
                <w:rFonts w:ascii="Arial" w:cs="Arial" w:eastAsia="Arial" w:hAnsi="Arial"/>
                <w:sz w:val="18"/>
                <w:szCs w:val="18"/>
                <w:color w:val="auto"/>
              </w:rPr>
              <w:t>294,613</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325,321</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Belgium</w:t>
            </w:r>
          </w:p>
        </w:tc>
        <w:tc>
          <w:tcPr>
            <w:tcW w:w="5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11,368</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4,180</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Bolivia</w:t>
            </w:r>
          </w:p>
        </w:tc>
        <w:tc>
          <w:tcPr>
            <w:tcW w:w="6040" w:type="dxa"/>
            <w:vAlign w:val="bottom"/>
            <w:gridSpan w:val="3"/>
          </w:tcPr>
          <w:p>
            <w:pPr>
              <w:jc w:val="right"/>
              <w:ind w:right="220"/>
              <w:spacing w:after="0"/>
              <w:rPr>
                <w:sz w:val="20"/>
                <w:szCs w:val="20"/>
                <w:color w:val="auto"/>
              </w:rPr>
            </w:pPr>
            <w:r>
              <w:rPr>
                <w:rFonts w:ascii="Arial" w:cs="Arial" w:eastAsia="Arial" w:hAnsi="Arial"/>
                <w:sz w:val="18"/>
                <w:szCs w:val="18"/>
                <w:color w:val="auto"/>
              </w:rPr>
              <w:t>15,000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18,318</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5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1,019,466</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1,163,825</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Chile</w:t>
            </w:r>
          </w:p>
        </w:tc>
        <w:tc>
          <w:tcPr>
            <w:tcW w:w="5820" w:type="dxa"/>
            <w:vAlign w:val="bottom"/>
            <w:gridSpan w:val="2"/>
          </w:tcPr>
          <w:p>
            <w:pPr>
              <w:jc w:val="right"/>
              <w:spacing w:after="0"/>
              <w:rPr>
                <w:sz w:val="20"/>
                <w:szCs w:val="20"/>
                <w:color w:val="auto"/>
              </w:rPr>
            </w:pPr>
            <w:r>
              <w:rPr>
                <w:rFonts w:ascii="Arial" w:cs="Arial" w:eastAsia="Arial" w:hAnsi="Arial"/>
                <w:sz w:val="18"/>
                <w:szCs w:val="18"/>
                <w:color w:val="auto"/>
              </w:rPr>
              <w:t>170,827</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69,372</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5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829,136</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653,012</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5820" w:type="dxa"/>
            <w:vAlign w:val="bottom"/>
            <w:gridSpan w:val="2"/>
          </w:tcPr>
          <w:p>
            <w:pPr>
              <w:jc w:val="right"/>
              <w:spacing w:after="0"/>
              <w:rPr>
                <w:sz w:val="20"/>
                <w:szCs w:val="20"/>
                <w:color w:val="auto"/>
              </w:rPr>
            </w:pPr>
            <w:r>
              <w:rPr>
                <w:rFonts w:ascii="Arial" w:cs="Arial" w:eastAsia="Arial" w:hAnsi="Arial"/>
                <w:sz w:val="18"/>
                <w:szCs w:val="18"/>
                <w:color w:val="auto"/>
              </w:rPr>
              <w:t>356,459</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400,371</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5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249,926</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243,696</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Ecuador</w:t>
            </w:r>
          </w:p>
        </w:tc>
        <w:tc>
          <w:tcPr>
            <w:tcW w:w="6040" w:type="dxa"/>
            <w:vAlign w:val="bottom"/>
            <w:gridSpan w:val="3"/>
          </w:tcPr>
          <w:p>
            <w:pPr>
              <w:jc w:val="right"/>
              <w:ind w:right="220"/>
              <w:spacing w:after="0"/>
              <w:rPr>
                <w:sz w:val="20"/>
                <w:szCs w:val="20"/>
                <w:color w:val="auto"/>
              </w:rPr>
            </w:pPr>
            <w:r>
              <w:rPr>
                <w:rFonts w:ascii="Arial" w:cs="Arial" w:eastAsia="Arial" w:hAnsi="Arial"/>
                <w:sz w:val="18"/>
                <w:szCs w:val="18"/>
                <w:color w:val="auto"/>
              </w:rPr>
              <w:t>94,315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129,269</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5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55,110</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104,723</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Germany</w:t>
            </w:r>
          </w:p>
        </w:tc>
        <w:tc>
          <w:tcPr>
            <w:tcW w:w="6040" w:type="dxa"/>
            <w:vAlign w:val="bottom"/>
            <w:gridSpan w:val="3"/>
          </w:tcPr>
          <w:p>
            <w:pPr>
              <w:jc w:val="right"/>
              <w:ind w:right="220"/>
              <w:spacing w:after="0"/>
              <w:rPr>
                <w:sz w:val="20"/>
                <w:szCs w:val="20"/>
                <w:color w:val="auto"/>
              </w:rPr>
            </w:pPr>
            <w:r>
              <w:rPr>
                <w:rFonts w:ascii="Arial" w:cs="Arial" w:eastAsia="Arial" w:hAnsi="Arial"/>
                <w:sz w:val="18"/>
                <w:szCs w:val="18"/>
                <w:color w:val="auto"/>
              </w:rPr>
              <w:t>37,500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50,000</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5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309,024</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315,911</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Honduras</w:t>
            </w:r>
          </w:p>
        </w:tc>
        <w:tc>
          <w:tcPr>
            <w:tcW w:w="6040" w:type="dxa"/>
            <w:vAlign w:val="bottom"/>
            <w:gridSpan w:val="3"/>
          </w:tcPr>
          <w:p>
            <w:pPr>
              <w:jc w:val="right"/>
              <w:ind w:right="220"/>
              <w:spacing w:after="0"/>
              <w:rPr>
                <w:sz w:val="20"/>
                <w:szCs w:val="20"/>
                <w:color w:val="auto"/>
              </w:rPr>
            </w:pPr>
            <w:r>
              <w:rPr>
                <w:rFonts w:ascii="Arial" w:cs="Arial" w:eastAsia="Arial" w:hAnsi="Arial"/>
                <w:sz w:val="18"/>
                <w:szCs w:val="18"/>
                <w:color w:val="auto"/>
              </w:rPr>
              <w:t>74,476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72,319</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60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24,435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7,399</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Luxembourg</w:t>
            </w:r>
          </w:p>
        </w:tc>
        <w:tc>
          <w:tcPr>
            <w:tcW w:w="6040" w:type="dxa"/>
            <w:vAlign w:val="bottom"/>
            <w:gridSpan w:val="3"/>
          </w:tcPr>
          <w:p>
            <w:pPr>
              <w:jc w:val="right"/>
              <w:ind w:right="220"/>
              <w:spacing w:after="0"/>
              <w:rPr>
                <w:sz w:val="20"/>
                <w:szCs w:val="20"/>
                <w:color w:val="auto"/>
              </w:rPr>
            </w:pPr>
            <w:r>
              <w:rPr>
                <w:rFonts w:ascii="Arial" w:cs="Arial" w:eastAsia="Arial" w:hAnsi="Arial"/>
                <w:sz w:val="18"/>
                <w:szCs w:val="18"/>
                <w:color w:val="auto"/>
              </w:rPr>
              <w:t>19,924</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14,722</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5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850,463</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927,041</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Nicaragua</w:t>
            </w:r>
          </w:p>
        </w:tc>
        <w:tc>
          <w:tcPr>
            <w:tcW w:w="6040" w:type="dxa"/>
            <w:vAlign w:val="bottom"/>
            <w:gridSpan w:val="3"/>
          </w:tcPr>
          <w:p>
            <w:pPr>
              <w:jc w:val="right"/>
              <w:ind w:right="220"/>
              <w:spacing w:after="0"/>
              <w:rPr>
                <w:sz w:val="20"/>
                <w:szCs w:val="20"/>
                <w:color w:val="auto"/>
              </w:rPr>
            </w:pPr>
            <w:r>
              <w:rPr>
                <w:rFonts w:ascii="Arial" w:cs="Arial" w:eastAsia="Arial" w:hAnsi="Arial"/>
                <w:sz w:val="18"/>
                <w:szCs w:val="18"/>
                <w:color w:val="auto"/>
              </w:rPr>
              <w:t>29,804</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36,949</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5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500,134</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498,651</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Paraguay</w:t>
            </w:r>
          </w:p>
        </w:tc>
        <w:tc>
          <w:tcPr>
            <w:tcW w:w="6040" w:type="dxa"/>
            <w:vAlign w:val="bottom"/>
            <w:gridSpan w:val="3"/>
          </w:tcPr>
          <w:p>
            <w:pPr>
              <w:jc w:val="right"/>
              <w:ind w:right="220"/>
              <w:spacing w:after="0"/>
              <w:rPr>
                <w:sz w:val="20"/>
                <w:szCs w:val="20"/>
                <w:color w:val="auto"/>
              </w:rPr>
            </w:pPr>
            <w:r>
              <w:rPr>
                <w:rFonts w:ascii="Arial" w:cs="Arial" w:eastAsia="Arial" w:hAnsi="Arial"/>
                <w:sz w:val="18"/>
                <w:szCs w:val="18"/>
                <w:color w:val="auto"/>
              </w:rPr>
              <w:t>59,536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108,068</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60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211,846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467,408</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Singapore</w:t>
            </w:r>
          </w:p>
        </w:tc>
        <w:tc>
          <w:tcPr>
            <w:tcW w:w="6040" w:type="dxa"/>
            <w:vAlign w:val="bottom"/>
            <w:gridSpan w:val="3"/>
          </w:tcPr>
          <w:p>
            <w:pPr>
              <w:jc w:val="right"/>
              <w:ind w:right="220"/>
              <w:spacing w:after="0"/>
              <w:rPr>
                <w:sz w:val="20"/>
                <w:szCs w:val="20"/>
                <w:color w:val="auto"/>
              </w:rPr>
            </w:pPr>
            <w:r>
              <w:rPr>
                <w:rFonts w:ascii="Arial" w:cs="Arial" w:eastAsia="Arial" w:hAnsi="Arial"/>
                <w:sz w:val="18"/>
                <w:szCs w:val="18"/>
                <w:color w:val="auto"/>
              </w:rPr>
              <w:t>54,500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70,204</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5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3,687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46,000</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5820" w:type="dxa"/>
            <w:vAlign w:val="bottom"/>
            <w:gridSpan w:val="2"/>
          </w:tcPr>
          <w:p>
            <w:pPr>
              <w:jc w:val="right"/>
              <w:spacing w:after="0"/>
              <w:rPr>
                <w:sz w:val="20"/>
                <w:szCs w:val="20"/>
                <w:color w:val="auto"/>
              </w:rPr>
            </w:pPr>
            <w:r>
              <w:rPr>
                <w:rFonts w:ascii="Arial" w:cs="Arial" w:eastAsia="Arial" w:hAnsi="Arial"/>
                <w:sz w:val="18"/>
                <w:szCs w:val="18"/>
                <w:color w:val="auto"/>
              </w:rPr>
              <w:t>175,000</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184,389</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States of America</w:t>
            </w:r>
          </w:p>
        </w:tc>
        <w:tc>
          <w:tcPr>
            <w:tcW w:w="60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44,109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73,083</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Uruguay</w:t>
            </w:r>
          </w:p>
        </w:tc>
        <w:tc>
          <w:tcPr>
            <w:tcW w:w="6040" w:type="dxa"/>
            <w:vAlign w:val="bottom"/>
            <w:gridSpan w:val="3"/>
          </w:tcPr>
          <w:p>
            <w:pPr>
              <w:jc w:val="right"/>
              <w:ind w:right="220"/>
              <w:spacing w:after="0"/>
              <w:rPr>
                <w:sz w:val="20"/>
                <w:szCs w:val="20"/>
                <w:color w:val="auto"/>
              </w:rPr>
            </w:pPr>
            <w:r>
              <w:rPr>
                <w:rFonts w:ascii="Arial" w:cs="Arial" w:eastAsia="Arial" w:hAnsi="Arial"/>
                <w:sz w:val="18"/>
                <w:szCs w:val="18"/>
                <w:color w:val="auto"/>
              </w:rPr>
              <w:t>15,000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36,500</w:t>
            </w: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600" w:type="dxa"/>
            <w:vAlign w:val="bottom"/>
            <w:tcBorders>
              <w:top w:val="single" w:sz="8" w:color="CCEEFF"/>
            </w:tcBorders>
            <w:shd w:val="clear" w:color="auto" w:fill="CCEEFF"/>
          </w:tcPr>
          <w:p>
            <w:pPr>
              <w:spacing w:after="0"/>
              <w:rPr>
                <w:sz w:val="18"/>
                <w:szCs w:val="18"/>
                <w:color w:val="auto"/>
              </w:rPr>
            </w:pPr>
          </w:p>
        </w:tc>
        <w:tc>
          <w:tcPr>
            <w:tcW w:w="46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600" w:type="dxa"/>
            <w:vAlign w:val="bottom"/>
          </w:tcPr>
          <w:p>
            <w:pPr>
              <w:spacing w:after="0"/>
              <w:rPr>
                <w:sz w:val="20"/>
                <w:szCs w:val="20"/>
                <w:color w:val="auto"/>
              </w:rPr>
            </w:pPr>
            <w:r>
              <w:rPr>
                <w:rFonts w:ascii="Arial" w:cs="Arial" w:eastAsia="Arial" w:hAnsi="Arial"/>
                <w:sz w:val="18"/>
                <w:szCs w:val="18"/>
                <w:color w:val="auto"/>
              </w:rPr>
              <w:t>Total</w:t>
            </w:r>
          </w:p>
        </w:tc>
        <w:tc>
          <w:tcPr>
            <w:tcW w:w="46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5,505,658</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433"/>
        </w:trPr>
        <w:tc>
          <w:tcPr>
            <w:tcW w:w="340" w:type="dxa"/>
            <w:vAlign w:val="bottom"/>
            <w:tcBorders>
              <w:bottom w:val="single" w:sz="8" w:color="auto"/>
            </w:tcBorders>
          </w:tcPr>
          <w:p>
            <w:pPr>
              <w:spacing w:after="0"/>
              <w:rPr>
                <w:sz w:val="24"/>
                <w:szCs w:val="24"/>
                <w:color w:val="auto"/>
              </w:rPr>
            </w:pPr>
          </w:p>
        </w:tc>
        <w:tc>
          <w:tcPr>
            <w:tcW w:w="3600" w:type="dxa"/>
            <w:vAlign w:val="bottom"/>
            <w:tcBorders>
              <w:bottom w:val="single" w:sz="8" w:color="auto"/>
            </w:tcBorders>
          </w:tcPr>
          <w:p>
            <w:pPr>
              <w:spacing w:after="0"/>
              <w:rPr>
                <w:sz w:val="24"/>
                <w:szCs w:val="24"/>
                <w:color w:val="auto"/>
              </w:rPr>
            </w:pPr>
          </w:p>
        </w:tc>
        <w:tc>
          <w:tcPr>
            <w:tcW w:w="6040" w:type="dxa"/>
            <w:vAlign w:val="bottom"/>
            <w:tcBorders>
              <w:bottom w:val="single" w:sz="8" w:color="auto"/>
            </w:tcBorders>
            <w:gridSpan w:val="3"/>
          </w:tcPr>
          <w:p>
            <w:pPr>
              <w:ind w:left="1620"/>
              <w:spacing w:after="0"/>
              <w:rPr>
                <w:sz w:val="20"/>
                <w:szCs w:val="20"/>
                <w:color w:val="auto"/>
              </w:rPr>
            </w:pPr>
            <w:r>
              <w:rPr>
                <w:rFonts w:ascii="Arial" w:cs="Arial" w:eastAsia="Arial" w:hAnsi="Arial"/>
                <w:sz w:val="18"/>
                <w:szCs w:val="18"/>
                <w:color w:val="auto"/>
              </w:rPr>
              <w:t>F-44</w:t>
            </w: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9" w:right="239" w:bottom="1440" w:gutter="0" w:footer="0" w:header="0"/>
        </w:sectPr>
      </w:pPr>
    </w:p>
    <w:bookmarkStart w:id="166" w:name="page167"/>
    <w:bookmarkEnd w:id="1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tbl>
      <w:tblPr>
        <w:tblLayout w:type="fixed"/>
        <w:tblInd w:w="220" w:type="dxa"/>
        <w:tblCellMar>
          <w:top w:w="0" w:type="dxa"/>
          <w:left w:w="0" w:type="dxa"/>
          <w:bottom w:w="0" w:type="dxa"/>
          <w:right w:w="0" w:type="dxa"/>
        </w:tblCellMar>
      </w:tblPr>
      <w:tr>
        <w:trPr>
          <w:trHeight w:val="234"/>
        </w:trPr>
        <w:tc>
          <w:tcPr>
            <w:tcW w:w="8340" w:type="dxa"/>
            <w:vAlign w:val="bottom"/>
            <w:gridSpan w:val="2"/>
          </w:tcPr>
          <w:p>
            <w:pPr>
              <w:spacing w:after="0"/>
              <w:rPr>
                <w:sz w:val="20"/>
                <w:szCs w:val="20"/>
                <w:color w:val="auto"/>
              </w:rPr>
            </w:pPr>
            <w:r>
              <w:rPr>
                <w:rFonts w:ascii="Arial" w:cs="Arial" w:eastAsia="Arial" w:hAnsi="Arial"/>
                <w:sz w:val="18"/>
                <w:szCs w:val="18"/>
                <w:b w:val="1"/>
                <w:bCs w:val="1"/>
                <w:color w:val="auto"/>
              </w:rPr>
              <w:t>5.  Financial instruments (continued)</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120" w:type="dxa"/>
            <w:vAlign w:val="bottom"/>
          </w:tcPr>
          <w:p>
            <w:pPr>
              <w:spacing w:after="0"/>
              <w:rPr>
                <w:sz w:val="24"/>
                <w:szCs w:val="24"/>
                <w:color w:val="auto"/>
              </w:rPr>
            </w:pPr>
          </w:p>
        </w:tc>
        <w:tc>
          <w:tcPr>
            <w:tcW w:w="8220" w:type="dxa"/>
            <w:vAlign w:val="bottom"/>
          </w:tcPr>
          <w:p>
            <w:pPr>
              <w:spacing w:after="0"/>
              <w:rPr>
                <w:sz w:val="20"/>
                <w:szCs w:val="20"/>
                <w:color w:val="auto"/>
              </w:rPr>
            </w:pPr>
            <w:r>
              <w:rPr>
                <w:rFonts w:ascii="Arial" w:cs="Arial" w:eastAsia="Arial" w:hAnsi="Arial"/>
                <w:sz w:val="18"/>
                <w:szCs w:val="18"/>
                <w:b w:val="1"/>
                <w:bCs w:val="1"/>
                <w:color w:val="auto"/>
              </w:rPr>
              <w:t>5.5 Loans – at amortized cost (continued)</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2"/>
        </w:trPr>
        <w:tc>
          <w:tcPr>
            <w:tcW w:w="120" w:type="dxa"/>
            <w:vAlign w:val="bottom"/>
          </w:tcPr>
          <w:p>
            <w:pPr>
              <w:spacing w:after="0"/>
              <w:rPr>
                <w:sz w:val="24"/>
                <w:szCs w:val="24"/>
                <w:color w:val="auto"/>
              </w:rPr>
            </w:pPr>
          </w:p>
        </w:tc>
        <w:tc>
          <w:tcPr>
            <w:tcW w:w="8220" w:type="dxa"/>
            <w:vAlign w:val="bottom"/>
          </w:tcPr>
          <w:p>
            <w:pPr>
              <w:spacing w:after="0"/>
              <w:rPr>
                <w:sz w:val="20"/>
                <w:szCs w:val="20"/>
                <w:color w:val="auto"/>
              </w:rPr>
            </w:pPr>
            <w:r>
              <w:rPr>
                <w:rFonts w:ascii="Arial" w:cs="Arial" w:eastAsia="Arial" w:hAnsi="Arial"/>
                <w:sz w:val="18"/>
                <w:szCs w:val="18"/>
                <w:color w:val="auto"/>
              </w:rPr>
              <w:t>The remaining loan maturities are summarized as follows:</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14"/>
        </w:trPr>
        <w:tc>
          <w:tcPr>
            <w:tcW w:w="120" w:type="dxa"/>
            <w:vAlign w:val="bottom"/>
          </w:tcPr>
          <w:p>
            <w:pPr>
              <w:spacing w:after="0"/>
              <w:rPr>
                <w:sz w:val="24"/>
                <w:szCs w:val="24"/>
                <w:color w:val="auto"/>
              </w:rPr>
            </w:pPr>
          </w:p>
        </w:tc>
        <w:tc>
          <w:tcPr>
            <w:tcW w:w="8220" w:type="dxa"/>
            <w:vAlign w:val="bottom"/>
          </w:tcPr>
          <w:p>
            <w:pPr>
              <w:spacing w:after="0"/>
              <w:rPr>
                <w:sz w:val="24"/>
                <w:szCs w:val="24"/>
                <w:color w:val="auto"/>
              </w:rPr>
            </w:pPr>
          </w:p>
        </w:tc>
        <w:tc>
          <w:tcPr>
            <w:tcW w:w="142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20" w:type="dxa"/>
            <w:vAlign w:val="bottom"/>
          </w:tcPr>
          <w:p>
            <w:pPr>
              <w:spacing w:after="0"/>
              <w:rPr>
                <w:sz w:val="20"/>
                <w:szCs w:val="20"/>
                <w:color w:val="auto"/>
              </w:rPr>
            </w:pPr>
          </w:p>
        </w:tc>
        <w:tc>
          <w:tcPr>
            <w:tcW w:w="8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r>
      <w:tr>
        <w:trPr>
          <w:trHeight w:val="210"/>
        </w:trPr>
        <w:tc>
          <w:tcPr>
            <w:tcW w:w="120" w:type="dxa"/>
            <w:vAlign w:val="bottom"/>
          </w:tcPr>
          <w:p>
            <w:pPr>
              <w:spacing w:after="0"/>
              <w:rPr>
                <w:sz w:val="18"/>
                <w:szCs w:val="18"/>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120" w:type="dxa"/>
            <w:vAlign w:val="bottom"/>
          </w:tcPr>
          <w:p>
            <w:pPr>
              <w:spacing w:after="0"/>
              <w:rPr>
                <w:sz w:val="18"/>
                <w:szCs w:val="18"/>
                <w:color w:val="auto"/>
              </w:rPr>
            </w:pPr>
          </w:p>
        </w:tc>
        <w:tc>
          <w:tcPr>
            <w:tcW w:w="8220" w:type="dxa"/>
            <w:vAlign w:val="bottom"/>
          </w:tcPr>
          <w:p>
            <w:pPr>
              <w:ind w:left="160"/>
              <w:spacing w:after="0"/>
              <w:rPr>
                <w:sz w:val="20"/>
                <w:szCs w:val="20"/>
                <w:color w:val="auto"/>
              </w:rPr>
            </w:pPr>
            <w:r>
              <w:rPr>
                <w:rFonts w:ascii="Arial" w:cs="Arial" w:eastAsia="Arial" w:hAnsi="Arial"/>
                <w:sz w:val="18"/>
                <w:szCs w:val="18"/>
                <w:color w:val="auto"/>
              </w:rPr>
              <w:t>Up to 1 month</w:t>
            </w:r>
          </w:p>
        </w:tc>
        <w:tc>
          <w:tcPr>
            <w:tcW w:w="1200" w:type="dxa"/>
            <w:vAlign w:val="bottom"/>
          </w:tcPr>
          <w:p>
            <w:pPr>
              <w:jc w:val="right"/>
              <w:spacing w:after="0"/>
              <w:rPr>
                <w:sz w:val="20"/>
                <w:szCs w:val="20"/>
                <w:color w:val="auto"/>
              </w:rPr>
            </w:pPr>
            <w:r>
              <w:rPr>
                <w:rFonts w:ascii="Arial" w:cs="Arial" w:eastAsia="Arial" w:hAnsi="Arial"/>
                <w:sz w:val="18"/>
                <w:szCs w:val="18"/>
                <w:color w:val="auto"/>
              </w:rPr>
              <w:t>846,993</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896,310</w:t>
            </w:r>
          </w:p>
        </w:tc>
      </w:tr>
      <w:tr>
        <w:trPr>
          <w:trHeight w:val="216"/>
        </w:trPr>
        <w:tc>
          <w:tcPr>
            <w:tcW w:w="120" w:type="dxa"/>
            <w:vAlign w:val="bottom"/>
          </w:tcPr>
          <w:p>
            <w:pPr>
              <w:spacing w:after="0"/>
              <w:rPr>
                <w:sz w:val="18"/>
                <w:szCs w:val="18"/>
                <w:color w:val="auto"/>
              </w:rPr>
            </w:pPr>
          </w:p>
        </w:tc>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1 month to 3 months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1,079,793</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1,300,675</w:t>
            </w:r>
          </w:p>
        </w:tc>
        <w:tc>
          <w:tcPr>
            <w:tcW w:w="100" w:type="dxa"/>
            <w:vAlign w:val="bottom"/>
            <w:shd w:val="clear" w:color="auto" w:fill="CCEEFF"/>
          </w:tcPr>
          <w:p>
            <w:pPr>
              <w:spacing w:after="0"/>
              <w:rPr>
                <w:sz w:val="18"/>
                <w:szCs w:val="18"/>
                <w:color w:val="auto"/>
              </w:rPr>
            </w:pPr>
          </w:p>
        </w:tc>
      </w:tr>
      <w:tr>
        <w:trPr>
          <w:trHeight w:val="216"/>
        </w:trPr>
        <w:tc>
          <w:tcPr>
            <w:tcW w:w="120" w:type="dxa"/>
            <w:vAlign w:val="bottom"/>
          </w:tcPr>
          <w:p>
            <w:pPr>
              <w:spacing w:after="0"/>
              <w:rPr>
                <w:sz w:val="18"/>
                <w:szCs w:val="18"/>
                <w:color w:val="auto"/>
              </w:rPr>
            </w:pPr>
          </w:p>
        </w:tc>
        <w:tc>
          <w:tcPr>
            <w:tcW w:w="8220" w:type="dxa"/>
            <w:vAlign w:val="bottom"/>
          </w:tcPr>
          <w:p>
            <w:pPr>
              <w:ind w:left="160"/>
              <w:spacing w:after="0"/>
              <w:rPr>
                <w:sz w:val="20"/>
                <w:szCs w:val="20"/>
                <w:color w:val="auto"/>
              </w:rPr>
            </w:pPr>
            <w:r>
              <w:rPr>
                <w:rFonts w:ascii="Arial" w:cs="Arial" w:eastAsia="Arial" w:hAnsi="Arial"/>
                <w:sz w:val="18"/>
                <w:szCs w:val="18"/>
                <w:color w:val="auto"/>
              </w:rPr>
              <w:t>From 3 months to 6 months</w:t>
            </w:r>
          </w:p>
        </w:tc>
        <w:tc>
          <w:tcPr>
            <w:tcW w:w="1200" w:type="dxa"/>
            <w:vAlign w:val="bottom"/>
          </w:tcPr>
          <w:p>
            <w:pPr>
              <w:jc w:val="right"/>
              <w:spacing w:after="0"/>
              <w:rPr>
                <w:sz w:val="20"/>
                <w:szCs w:val="20"/>
                <w:color w:val="auto"/>
              </w:rPr>
            </w:pPr>
            <w:r>
              <w:rPr>
                <w:rFonts w:ascii="Arial" w:cs="Arial" w:eastAsia="Arial" w:hAnsi="Arial"/>
                <w:sz w:val="18"/>
                <w:szCs w:val="18"/>
                <w:color w:val="auto"/>
              </w:rPr>
              <w:t>1,175,801</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1,267,194</w:t>
            </w:r>
          </w:p>
        </w:tc>
        <w:tc>
          <w:tcPr>
            <w:tcW w:w="100" w:type="dxa"/>
            <w:vAlign w:val="bottom"/>
          </w:tcPr>
          <w:p>
            <w:pPr>
              <w:spacing w:after="0"/>
              <w:rPr>
                <w:sz w:val="18"/>
                <w:szCs w:val="18"/>
                <w:color w:val="auto"/>
              </w:rPr>
            </w:pPr>
          </w:p>
        </w:tc>
      </w:tr>
      <w:tr>
        <w:trPr>
          <w:trHeight w:val="216"/>
        </w:trPr>
        <w:tc>
          <w:tcPr>
            <w:tcW w:w="120" w:type="dxa"/>
            <w:vAlign w:val="bottom"/>
          </w:tcPr>
          <w:p>
            <w:pPr>
              <w:spacing w:after="0"/>
              <w:rPr>
                <w:sz w:val="18"/>
                <w:szCs w:val="18"/>
                <w:color w:val="auto"/>
              </w:rPr>
            </w:pPr>
          </w:p>
        </w:tc>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6 months to 1 year</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922,711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551,794</w:t>
            </w:r>
          </w:p>
        </w:tc>
      </w:tr>
      <w:tr>
        <w:trPr>
          <w:trHeight w:val="216"/>
        </w:trPr>
        <w:tc>
          <w:tcPr>
            <w:tcW w:w="120" w:type="dxa"/>
            <w:vAlign w:val="bottom"/>
          </w:tcPr>
          <w:p>
            <w:pPr>
              <w:spacing w:after="0"/>
              <w:rPr>
                <w:sz w:val="18"/>
                <w:szCs w:val="18"/>
                <w:color w:val="auto"/>
              </w:rPr>
            </w:pPr>
          </w:p>
        </w:tc>
        <w:tc>
          <w:tcPr>
            <w:tcW w:w="8220" w:type="dxa"/>
            <w:vAlign w:val="bottom"/>
          </w:tcPr>
          <w:p>
            <w:pPr>
              <w:ind w:left="160"/>
              <w:spacing w:after="0"/>
              <w:rPr>
                <w:sz w:val="20"/>
                <w:szCs w:val="20"/>
                <w:color w:val="auto"/>
              </w:rPr>
            </w:pPr>
            <w:r>
              <w:rPr>
                <w:rFonts w:ascii="Arial" w:cs="Arial" w:eastAsia="Arial" w:hAnsi="Arial"/>
                <w:sz w:val="18"/>
                <w:szCs w:val="18"/>
                <w:color w:val="auto"/>
              </w:rPr>
              <w:t>From 1 year to 2 years</w:t>
            </w:r>
          </w:p>
        </w:tc>
        <w:tc>
          <w:tcPr>
            <w:tcW w:w="1200" w:type="dxa"/>
            <w:vAlign w:val="bottom"/>
          </w:tcPr>
          <w:p>
            <w:pPr>
              <w:jc w:val="right"/>
              <w:spacing w:after="0"/>
              <w:rPr>
                <w:sz w:val="20"/>
                <w:szCs w:val="20"/>
                <w:color w:val="auto"/>
              </w:rPr>
            </w:pPr>
            <w:r>
              <w:rPr>
                <w:rFonts w:ascii="Arial" w:cs="Arial" w:eastAsia="Arial" w:hAnsi="Arial"/>
                <w:sz w:val="18"/>
                <w:szCs w:val="18"/>
                <w:color w:val="auto"/>
              </w:rPr>
              <w:t>392,456</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631,629</w:t>
            </w:r>
          </w:p>
        </w:tc>
      </w:tr>
      <w:tr>
        <w:trPr>
          <w:trHeight w:val="216"/>
        </w:trPr>
        <w:tc>
          <w:tcPr>
            <w:tcW w:w="120" w:type="dxa"/>
            <w:vAlign w:val="bottom"/>
          </w:tcPr>
          <w:p>
            <w:pPr>
              <w:spacing w:after="0"/>
              <w:rPr>
                <w:sz w:val="18"/>
                <w:szCs w:val="18"/>
                <w:color w:val="auto"/>
              </w:rPr>
            </w:pPr>
          </w:p>
        </w:tc>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2 years to 5 years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989,222</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1,211,847</w:t>
            </w:r>
          </w:p>
        </w:tc>
      </w:tr>
      <w:tr>
        <w:trPr>
          <w:trHeight w:val="230"/>
        </w:trPr>
        <w:tc>
          <w:tcPr>
            <w:tcW w:w="120" w:type="dxa"/>
            <w:vAlign w:val="bottom"/>
          </w:tcPr>
          <w:p>
            <w:pPr>
              <w:spacing w:after="0"/>
              <w:rPr>
                <w:sz w:val="19"/>
                <w:szCs w:val="19"/>
                <w:color w:val="auto"/>
              </w:rPr>
            </w:pPr>
          </w:p>
        </w:tc>
        <w:tc>
          <w:tcPr>
            <w:tcW w:w="8220" w:type="dxa"/>
            <w:vAlign w:val="bottom"/>
          </w:tcPr>
          <w:p>
            <w:pPr>
              <w:ind w:left="160"/>
              <w:spacing w:after="0"/>
              <w:rPr>
                <w:sz w:val="20"/>
                <w:szCs w:val="20"/>
                <w:color w:val="auto"/>
              </w:rPr>
            </w:pPr>
            <w:r>
              <w:rPr>
                <w:rFonts w:ascii="Arial" w:cs="Arial" w:eastAsia="Arial" w:hAnsi="Arial"/>
                <w:sz w:val="18"/>
                <w:szCs w:val="18"/>
                <w:color w:val="auto"/>
              </w:rPr>
              <w:t>More than 5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39,923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95,918</w:t>
            </w:r>
          </w:p>
        </w:tc>
      </w:tr>
      <w:tr>
        <w:trPr>
          <w:trHeight w:val="210"/>
        </w:trPr>
        <w:tc>
          <w:tcPr>
            <w:tcW w:w="120" w:type="dxa"/>
            <w:vAlign w:val="bottom"/>
          </w:tcPr>
          <w:p>
            <w:pPr>
              <w:spacing w:after="0"/>
              <w:rPr>
                <w:sz w:val="18"/>
                <w:szCs w:val="18"/>
                <w:color w:val="auto"/>
              </w:rPr>
            </w:pPr>
          </w:p>
        </w:tc>
        <w:tc>
          <w:tcPr>
            <w:tcW w:w="8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5,446,899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5,955,367</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120" w:type="dxa"/>
            <w:vAlign w:val="bottom"/>
          </w:tcPr>
          <w:p>
            <w:pPr>
              <w:spacing w:after="0"/>
              <w:rPr>
                <w:sz w:val="18"/>
                <w:szCs w:val="18"/>
                <w:color w:val="auto"/>
              </w:rPr>
            </w:pPr>
          </w:p>
        </w:tc>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120" w:type="dxa"/>
            <w:vAlign w:val="bottom"/>
          </w:tcPr>
          <w:p>
            <w:pPr>
              <w:spacing w:after="0"/>
              <w:rPr>
                <w:sz w:val="19"/>
                <w:szCs w:val="19"/>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Impaired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58,759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65,364</w:t>
            </w:r>
          </w:p>
        </w:tc>
      </w:tr>
      <w:tr>
        <w:trPr>
          <w:trHeight w:val="210"/>
        </w:trPr>
        <w:tc>
          <w:tcPr>
            <w:tcW w:w="120" w:type="dxa"/>
            <w:vAlign w:val="bottom"/>
          </w:tcPr>
          <w:p>
            <w:pPr>
              <w:spacing w:after="0"/>
              <w:rPr>
                <w:sz w:val="18"/>
                <w:szCs w:val="18"/>
                <w:color w:val="auto"/>
              </w:rPr>
            </w:pPr>
          </w:p>
        </w:tc>
        <w:tc>
          <w:tcPr>
            <w:tcW w:w="8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43"/>
        </w:trPr>
        <w:tc>
          <w:tcPr>
            <w:tcW w:w="120" w:type="dxa"/>
            <w:vAlign w:val="bottom"/>
          </w:tcPr>
          <w:p>
            <w:pPr>
              <w:spacing w:after="0"/>
              <w:rPr>
                <w:sz w:val="21"/>
                <w:szCs w:val="21"/>
                <w:color w:val="auto"/>
              </w:rPr>
            </w:pPr>
          </w:p>
        </w:tc>
        <w:tc>
          <w:tcPr>
            <w:tcW w:w="82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220" w:type="dxa"/>
            <w:vAlign w:val="bottom"/>
            <w:tcBorders>
              <w:bottom w:val="single" w:sz="8" w:color="CCEEFF"/>
            </w:tcBorders>
            <w:shd w:val="clear" w:color="auto" w:fill="CCEEFF"/>
          </w:tcPr>
          <w:p>
            <w:pPr>
              <w:spacing w:after="0"/>
              <w:rPr>
                <w:sz w:val="21"/>
                <w:szCs w:val="21"/>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bottom w:val="single" w:sz="8" w:color="CCEEFF"/>
            </w:tcBorders>
            <w:shd w:val="clear" w:color="auto" w:fill="CCEEFF"/>
          </w:tcPr>
          <w:p>
            <w:pPr>
              <w:spacing w:after="0"/>
              <w:rPr>
                <w:sz w:val="21"/>
                <w:szCs w:val="21"/>
                <w:color w:val="auto"/>
              </w:rPr>
            </w:pPr>
          </w:p>
        </w:tc>
      </w:tr>
      <w:tr>
        <w:trPr>
          <w:trHeight w:val="20"/>
        </w:trPr>
        <w:tc>
          <w:tcPr>
            <w:tcW w:w="120" w:type="dxa"/>
            <w:vAlign w:val="bottom"/>
          </w:tcPr>
          <w:p>
            <w:pPr>
              <w:spacing w:after="0" w:line="20" w:lineRule="exact"/>
              <w:rPr>
                <w:sz w:val="1"/>
                <w:szCs w:val="1"/>
                <w:color w:val="auto"/>
              </w:rPr>
            </w:pPr>
          </w:p>
        </w:tc>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2017 and 2016, the range of interest rates on loans fluctuates from 1.35% and 11.52% (2016: 1.21% y 12.69%).</w:t>
      </w:r>
    </w:p>
    <w:p>
      <w:pPr>
        <w:spacing w:after="0" w:line="225"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220" w:type="dxa"/>
            <w:vAlign w:val="bottom"/>
          </w:tcPr>
          <w:p>
            <w:pPr>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8220" w:type="dxa"/>
            <w:vAlign w:val="bottom"/>
          </w:tcPr>
          <w:p>
            <w:pPr>
              <w:spacing w:after="0"/>
              <w:rPr>
                <w:sz w:val="24"/>
                <w:szCs w:val="24"/>
                <w:color w:val="auto"/>
              </w:rPr>
            </w:pPr>
          </w:p>
        </w:tc>
        <w:tc>
          <w:tcPr>
            <w:tcW w:w="142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r>
      <w:tr>
        <w:trPr>
          <w:trHeight w:val="210"/>
        </w:trPr>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Fixed interest rates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2,378,509</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2,709,555</w:t>
            </w:r>
          </w:p>
        </w:tc>
        <w:tc>
          <w:tcPr>
            <w:tcW w:w="100" w:type="dxa"/>
            <w:vAlign w:val="bottom"/>
            <w:shd w:val="clear" w:color="auto" w:fill="CCEEFF"/>
          </w:tcPr>
          <w:p>
            <w:pPr>
              <w:spacing w:after="0"/>
              <w:rPr>
                <w:sz w:val="18"/>
                <w:szCs w:val="18"/>
                <w:color w:val="auto"/>
              </w:rPr>
            </w:pPr>
          </w:p>
        </w:tc>
      </w:tr>
      <w:tr>
        <w:trPr>
          <w:trHeight w:val="230"/>
        </w:trPr>
        <w:tc>
          <w:tcPr>
            <w:tcW w:w="8220" w:type="dxa"/>
            <w:vAlign w:val="bottom"/>
          </w:tcPr>
          <w:p>
            <w:pPr>
              <w:ind w:left="160"/>
              <w:spacing w:after="0"/>
              <w:rPr>
                <w:sz w:val="20"/>
                <w:szCs w:val="20"/>
                <w:color w:val="auto"/>
              </w:rPr>
            </w:pPr>
            <w:r>
              <w:rPr>
                <w:rFonts w:ascii="Arial" w:cs="Arial" w:eastAsia="Arial" w:hAnsi="Arial"/>
                <w:sz w:val="18"/>
                <w:szCs w:val="18"/>
                <w:color w:val="auto"/>
              </w:rPr>
              <w:t>Floating interest rates</w:t>
            </w:r>
          </w:p>
        </w:tc>
        <w:tc>
          <w:tcPr>
            <w:tcW w:w="1200" w:type="dxa"/>
            <w:vAlign w:val="bottom"/>
          </w:tcPr>
          <w:p>
            <w:pPr>
              <w:jc w:val="right"/>
              <w:spacing w:after="0"/>
              <w:rPr>
                <w:sz w:val="20"/>
                <w:szCs w:val="20"/>
                <w:color w:val="auto"/>
              </w:rPr>
            </w:pPr>
            <w:r>
              <w:rPr>
                <w:rFonts w:ascii="Arial" w:cs="Arial" w:eastAsia="Arial" w:hAnsi="Arial"/>
                <w:sz w:val="18"/>
                <w:szCs w:val="18"/>
                <w:color w:val="auto"/>
              </w:rPr>
              <w:t>3,127,149</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3,311,176</w:t>
            </w:r>
          </w:p>
        </w:tc>
      </w:tr>
      <w:tr>
        <w:trPr>
          <w:trHeight w:val="223"/>
        </w:trPr>
        <w:tc>
          <w:tcPr>
            <w:tcW w:w="8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As of December 31, 2017 and 2016, 85% and 93%, of the loan portfolio at fixed interest rates has remaining maturities of less than 180 days.</w:t>
      </w:r>
    </w:p>
    <w:p>
      <w:pPr>
        <w:spacing w:after="0" w:line="23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An analysis of credit-impaired balances is detailed as follows:</w:t>
      </w:r>
    </w:p>
    <w:p>
      <w:pPr>
        <w:sectPr>
          <w:pgSz w:w="11900" w:h="16838" w:orient="portrait"/>
          <w:cols w:equalWidth="0" w:num="1">
            <w:col w:w="11280"/>
          </w:cols>
          <w:pgMar w:left="240" w:top="688" w:right="3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340"/>
        <w:spacing w:after="0"/>
        <w:rPr>
          <w:sz w:val="20"/>
          <w:szCs w:val="20"/>
          <w:color w:val="auto"/>
        </w:rPr>
      </w:pPr>
      <w:r>
        <w:rPr>
          <w:rFonts w:ascii="Arial" w:cs="Arial" w:eastAsia="Arial" w:hAnsi="Arial"/>
          <w:sz w:val="16"/>
          <w:szCs w:val="16"/>
          <w:color w:val="auto"/>
        </w:rPr>
        <w:t>With an allowance recorded:</w:t>
      </w:r>
    </w:p>
    <w:p>
      <w:pPr>
        <w:spacing w:after="0" w:line="46" w:lineRule="exact"/>
        <w:rPr>
          <w:sz w:val="20"/>
          <w:szCs w:val="20"/>
          <w:color w:val="auto"/>
        </w:rPr>
      </w:pPr>
    </w:p>
    <w:p>
      <w:pPr>
        <w:ind w:left="500"/>
        <w:spacing w:after="0"/>
        <w:rPr>
          <w:sz w:val="20"/>
          <w:szCs w:val="20"/>
          <w:color w:val="auto"/>
        </w:rPr>
      </w:pPr>
      <w:r>
        <w:rPr>
          <w:rFonts w:ascii="Arial" w:cs="Arial" w:eastAsia="Arial" w:hAnsi="Arial"/>
          <w:sz w:val="18"/>
          <w:szCs w:val="18"/>
          <w:color w:val="auto"/>
        </w:rPr>
        <w:t>Private corporations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Middle-market companies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22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8"/>
                <w:szCs w:val="18"/>
                <w:b w:val="1"/>
                <w:bCs w:val="1"/>
                <w:color w:val="auto"/>
                <w:w w:val="90"/>
              </w:rPr>
              <w:t>December 31, 2017</w:t>
            </w:r>
          </w:p>
        </w:tc>
        <w:tc>
          <w:tcPr>
            <w:tcW w:w="12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5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2017</w:t>
            </w:r>
          </w:p>
        </w:tc>
        <w:tc>
          <w:tcPr>
            <w:tcW w:w="1080" w:type="dxa"/>
            <w:vAlign w:val="bottom"/>
            <w:tcBorders>
              <w:bottom w:val="single" w:sz="8" w:color="auto"/>
            </w:tcBorders>
          </w:tcPr>
          <w:p>
            <w:pPr>
              <w:spacing w:after="0"/>
              <w:rPr>
                <w:sz w:val="20"/>
                <w:szCs w:val="20"/>
                <w:color w:val="auto"/>
              </w:rPr>
            </w:pPr>
          </w:p>
        </w:tc>
      </w:tr>
      <w:tr>
        <w:trPr>
          <w:trHeight w:val="191"/>
        </w:trPr>
        <w:tc>
          <w:tcPr>
            <w:tcW w:w="12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gridSpan w:val="3"/>
          </w:tcPr>
          <w:p>
            <w:pPr>
              <w:jc w:val="center"/>
              <w:ind w:right="340"/>
              <w:spacing w:after="0" w:line="191" w:lineRule="exact"/>
              <w:rPr>
                <w:sz w:val="20"/>
                <w:szCs w:val="20"/>
                <w:color w:val="auto"/>
              </w:rPr>
            </w:pPr>
            <w:r>
              <w:rPr>
                <w:rFonts w:ascii="Arial" w:cs="Arial" w:eastAsia="Arial" w:hAnsi="Arial"/>
                <w:sz w:val="18"/>
                <w:szCs w:val="18"/>
                <w:b w:val="1"/>
                <w:bCs w:val="1"/>
                <w:color w:val="auto"/>
                <w:w w:val="90"/>
              </w:rPr>
              <w:t>Average</w:t>
            </w:r>
          </w:p>
        </w:tc>
        <w:tc>
          <w:tcPr>
            <w:tcW w:w="1080" w:type="dxa"/>
            <w:vAlign w:val="bottom"/>
          </w:tcPr>
          <w:p>
            <w:pPr>
              <w:spacing w:after="0"/>
              <w:rPr>
                <w:sz w:val="16"/>
                <w:szCs w:val="16"/>
                <w:color w:val="auto"/>
              </w:rPr>
            </w:pPr>
          </w:p>
        </w:tc>
      </w:tr>
      <w:tr>
        <w:trPr>
          <w:trHeight w:val="216"/>
        </w:trPr>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Past due</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Related</w:t>
            </w:r>
          </w:p>
        </w:tc>
        <w:tc>
          <w:tcPr>
            <w:tcW w:w="154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93"/>
              </w:rPr>
              <w:t>principal</w:t>
            </w:r>
          </w:p>
        </w:tc>
        <w:tc>
          <w:tcPr>
            <w:tcW w:w="1080" w:type="dxa"/>
            <w:vAlign w:val="bottom"/>
          </w:tcPr>
          <w:p>
            <w:pPr>
              <w:jc w:val="center"/>
              <w:ind w:right="30"/>
              <w:spacing w:after="0"/>
              <w:rPr>
                <w:sz w:val="20"/>
                <w:szCs w:val="20"/>
                <w:color w:val="auto"/>
              </w:rPr>
            </w:pPr>
            <w:r>
              <w:rPr>
                <w:rFonts w:ascii="Arial" w:cs="Arial" w:eastAsia="Arial" w:hAnsi="Arial"/>
                <w:sz w:val="18"/>
                <w:szCs w:val="18"/>
                <w:b w:val="1"/>
                <w:bCs w:val="1"/>
                <w:color w:val="auto"/>
                <w:w w:val="86"/>
              </w:rPr>
              <w:t>Balance</w:t>
            </w:r>
          </w:p>
        </w:tc>
      </w:tr>
      <w:tr>
        <w:trPr>
          <w:trHeight w:val="216"/>
        </w:trPr>
        <w:tc>
          <w:tcPr>
            <w:tcW w:w="124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Recorded</w:t>
            </w:r>
          </w:p>
        </w:tc>
        <w:tc>
          <w:tcPr>
            <w:tcW w:w="20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principal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54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86"/>
              </w:rPr>
              <w:t>loan</w:t>
            </w:r>
          </w:p>
        </w:tc>
        <w:tc>
          <w:tcPr>
            <w:tcW w:w="1080" w:type="dxa"/>
            <w:vAlign w:val="bottom"/>
          </w:tcPr>
          <w:p>
            <w:pPr>
              <w:jc w:val="center"/>
              <w:ind w:right="50"/>
              <w:spacing w:after="0"/>
              <w:rPr>
                <w:sz w:val="20"/>
                <w:szCs w:val="20"/>
                <w:color w:val="auto"/>
              </w:rPr>
            </w:pPr>
            <w:r>
              <w:rPr>
                <w:rFonts w:ascii="Arial" w:cs="Arial" w:eastAsia="Arial" w:hAnsi="Arial"/>
                <w:sz w:val="18"/>
                <w:szCs w:val="18"/>
                <w:b w:val="1"/>
                <w:bCs w:val="1"/>
                <w:color w:val="auto"/>
                <w:w w:val="89"/>
              </w:rPr>
              <w:t>interest</w:t>
            </w:r>
          </w:p>
        </w:tc>
      </w:tr>
      <w:tr>
        <w:trPr>
          <w:trHeight w:val="234"/>
        </w:trPr>
        <w:tc>
          <w:tcPr>
            <w:tcW w:w="122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investment</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Stage 3</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jc w:val="center"/>
              <w:ind w:right="50"/>
              <w:spacing w:after="0"/>
              <w:rPr>
                <w:sz w:val="20"/>
                <w:szCs w:val="20"/>
                <w:color w:val="auto"/>
              </w:rPr>
            </w:pPr>
            <w:r>
              <w:rPr>
                <w:rFonts w:ascii="Arial" w:cs="Arial" w:eastAsia="Arial" w:hAnsi="Arial"/>
                <w:sz w:val="18"/>
                <w:szCs w:val="18"/>
                <w:b w:val="1"/>
                <w:bCs w:val="1"/>
                <w:color w:val="auto"/>
                <w:w w:val="86"/>
              </w:rPr>
              <w:t>recognized</w:t>
            </w:r>
          </w:p>
        </w:tc>
      </w:tr>
      <w:tr>
        <w:trPr>
          <w:trHeight w:val="425"/>
        </w:trPr>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23,759</w:t>
            </w:r>
          </w:p>
        </w:tc>
        <w:tc>
          <w:tcPr>
            <w:tcW w:w="16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7,468</w:t>
            </w:r>
          </w:p>
        </w:tc>
        <w:tc>
          <w:tcPr>
            <w:tcW w:w="1200" w:type="dxa"/>
            <w:vAlign w:val="bottom"/>
          </w:tcPr>
          <w:p>
            <w:pPr>
              <w:jc w:val="right"/>
              <w:spacing w:after="0"/>
              <w:rPr>
                <w:sz w:val="20"/>
                <w:szCs w:val="20"/>
                <w:color w:val="auto"/>
              </w:rPr>
            </w:pPr>
            <w:r>
              <w:rPr>
                <w:rFonts w:ascii="Arial" w:cs="Arial" w:eastAsia="Arial" w:hAnsi="Arial"/>
                <w:sz w:val="18"/>
                <w:szCs w:val="18"/>
                <w:color w:val="auto"/>
              </w:rPr>
              <w:t>5,988</w:t>
            </w: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229</w:t>
            </w:r>
          </w:p>
        </w:tc>
      </w:tr>
      <w:tr>
        <w:trPr>
          <w:trHeight w:val="230"/>
        </w:trPr>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35,000</w:t>
            </w:r>
          </w:p>
        </w:tc>
        <w:tc>
          <w:tcPr>
            <w:tcW w:w="162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20,527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20" w:type="dxa"/>
            <w:vAlign w:val="bottom"/>
          </w:tcPr>
          <w:p>
            <w:pPr>
              <w:spacing w:after="0"/>
              <w:rPr>
                <w:sz w:val="20"/>
                <w:szCs w:val="20"/>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3,028</w:t>
            </w:r>
          </w:p>
        </w:tc>
      </w:tr>
      <w:tr>
        <w:trPr>
          <w:trHeight w:val="223"/>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58,759</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27,995</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40,988</w:t>
            </w:r>
          </w:p>
        </w:tc>
        <w:tc>
          <w:tcPr>
            <w:tcW w:w="220" w:type="dxa"/>
            <w:vAlign w:val="bottom"/>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3,257</w:t>
            </w: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r>
      <w:tr>
        <w:trPr>
          <w:trHeight w:val="413"/>
        </w:trPr>
        <w:tc>
          <w:tcPr>
            <w:tcW w:w="1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20" w:type="dxa"/>
            <w:vAlign w:val="bottom"/>
            <w:gridSpan w:val="3"/>
          </w:tcPr>
          <w:p>
            <w:pPr>
              <w:jc w:val="right"/>
              <w:ind w:right="1240"/>
              <w:spacing w:after="0"/>
              <w:rPr>
                <w:sz w:val="20"/>
                <w:szCs w:val="20"/>
                <w:color w:val="auto"/>
              </w:rPr>
            </w:pPr>
            <w:r>
              <w:rPr>
                <w:rFonts w:ascii="Arial" w:cs="Arial" w:eastAsia="Arial" w:hAnsi="Arial"/>
                <w:sz w:val="18"/>
                <w:szCs w:val="18"/>
                <w:color w:val="auto"/>
                <w:w w:val="97"/>
              </w:rPr>
              <w:t>F-45</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8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-2506345</wp:posOffset>
            </wp:positionH>
            <wp:positionV relativeFrom="paragraph">
              <wp:posOffset>-882650</wp:posOffset>
            </wp:positionV>
            <wp:extent cx="6955155" cy="14605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-599440</wp:posOffset>
            </wp:positionV>
            <wp:extent cx="6955155" cy="14605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4">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-2712085</wp:posOffset>
            </wp:positionH>
            <wp:positionV relativeFrom="paragraph">
              <wp:posOffset>8890</wp:posOffset>
            </wp:positionV>
            <wp:extent cx="7246620" cy="889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2">
            <w:col w:w="3560" w:space="720"/>
            <w:col w:w="7000"/>
          </w:cols>
          <w:pgMar w:left="240" w:top="688" w:right="379" w:bottom="1440" w:gutter="0" w:footer="0" w:header="0"/>
          <w:type w:val="continuous"/>
        </w:sectPr>
      </w:pPr>
    </w:p>
    <w:bookmarkStart w:id="167" w:name="page168"/>
    <w:bookmarkEnd w:id="1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p>
      <w:pPr>
        <w:spacing w:after="0" w:line="200" w:lineRule="exact"/>
        <w:rPr>
          <w:sz w:val="20"/>
          <w:szCs w:val="20"/>
          <w:color w:val="auto"/>
        </w:rPr>
      </w:pPr>
    </w:p>
    <w:p>
      <w:pPr>
        <w:spacing w:after="0" w:line="273" w:lineRule="exact"/>
        <w:rPr>
          <w:sz w:val="20"/>
          <w:szCs w:val="20"/>
          <w:color w:val="auto"/>
        </w:rPr>
      </w:pPr>
    </w:p>
    <w:p>
      <w:pPr>
        <w:ind w:left="540" w:hanging="316"/>
        <w:spacing w:after="0"/>
        <w:tabs>
          <w:tab w:leader="none" w:pos="540" w:val="left"/>
        </w:tabs>
        <w:numPr>
          <w:ilvl w:val="0"/>
          <w:numId w:val="16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6"/>
          <w:szCs w:val="16"/>
          <w:b w:val="1"/>
          <w:bCs w:val="1"/>
          <w:color w:val="auto"/>
        </w:rPr>
        <w:t>5.5 Loans – at amortized cost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With an allowance recorded:</w:t>
      </w:r>
    </w:p>
    <w:p>
      <w:pPr>
        <w:spacing w:after="0" w:line="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Private corporations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Middle-market companies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22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8"/>
                <w:szCs w:val="18"/>
                <w:b w:val="1"/>
                <w:bCs w:val="1"/>
                <w:color w:val="auto"/>
                <w:w w:val="90"/>
              </w:rPr>
              <w:t>December 31, 2016</w:t>
            </w:r>
          </w:p>
        </w:tc>
        <w:tc>
          <w:tcPr>
            <w:tcW w:w="12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5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2016</w:t>
            </w:r>
          </w:p>
        </w:tc>
        <w:tc>
          <w:tcPr>
            <w:tcW w:w="1080" w:type="dxa"/>
            <w:vAlign w:val="bottom"/>
            <w:tcBorders>
              <w:bottom w:val="single" w:sz="8" w:color="auto"/>
            </w:tcBorders>
          </w:tcPr>
          <w:p>
            <w:pPr>
              <w:spacing w:after="0"/>
              <w:rPr>
                <w:sz w:val="20"/>
                <w:szCs w:val="20"/>
                <w:color w:val="auto"/>
              </w:rPr>
            </w:pPr>
          </w:p>
        </w:tc>
      </w:tr>
      <w:tr>
        <w:trPr>
          <w:trHeight w:val="191"/>
        </w:trPr>
        <w:tc>
          <w:tcPr>
            <w:tcW w:w="12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gridSpan w:val="3"/>
          </w:tcPr>
          <w:p>
            <w:pPr>
              <w:jc w:val="center"/>
              <w:ind w:right="340"/>
              <w:spacing w:after="0" w:line="191" w:lineRule="exact"/>
              <w:rPr>
                <w:sz w:val="20"/>
                <w:szCs w:val="20"/>
                <w:color w:val="auto"/>
              </w:rPr>
            </w:pPr>
            <w:r>
              <w:rPr>
                <w:rFonts w:ascii="Arial" w:cs="Arial" w:eastAsia="Arial" w:hAnsi="Arial"/>
                <w:sz w:val="18"/>
                <w:szCs w:val="18"/>
                <w:b w:val="1"/>
                <w:bCs w:val="1"/>
                <w:color w:val="auto"/>
                <w:w w:val="90"/>
              </w:rPr>
              <w:t>Average</w:t>
            </w:r>
          </w:p>
        </w:tc>
        <w:tc>
          <w:tcPr>
            <w:tcW w:w="1080" w:type="dxa"/>
            <w:vAlign w:val="bottom"/>
          </w:tcPr>
          <w:p>
            <w:pPr>
              <w:spacing w:after="0"/>
              <w:rPr>
                <w:sz w:val="16"/>
                <w:szCs w:val="16"/>
                <w:color w:val="auto"/>
              </w:rPr>
            </w:pPr>
          </w:p>
        </w:tc>
      </w:tr>
      <w:tr>
        <w:trPr>
          <w:trHeight w:val="216"/>
        </w:trPr>
        <w:tc>
          <w:tcPr>
            <w:tcW w:w="1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Past due</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Related</w:t>
            </w:r>
          </w:p>
        </w:tc>
        <w:tc>
          <w:tcPr>
            <w:tcW w:w="154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93"/>
              </w:rPr>
              <w:t>principal</w:t>
            </w:r>
          </w:p>
        </w:tc>
        <w:tc>
          <w:tcPr>
            <w:tcW w:w="1080" w:type="dxa"/>
            <w:vAlign w:val="bottom"/>
          </w:tcPr>
          <w:p>
            <w:pPr>
              <w:jc w:val="center"/>
              <w:ind w:right="30"/>
              <w:spacing w:after="0"/>
              <w:rPr>
                <w:sz w:val="20"/>
                <w:szCs w:val="20"/>
                <w:color w:val="auto"/>
              </w:rPr>
            </w:pPr>
            <w:r>
              <w:rPr>
                <w:rFonts w:ascii="Arial" w:cs="Arial" w:eastAsia="Arial" w:hAnsi="Arial"/>
                <w:sz w:val="18"/>
                <w:szCs w:val="18"/>
                <w:b w:val="1"/>
                <w:bCs w:val="1"/>
                <w:color w:val="auto"/>
                <w:w w:val="86"/>
              </w:rPr>
              <w:t>Balance</w:t>
            </w:r>
          </w:p>
        </w:tc>
      </w:tr>
      <w:tr>
        <w:trPr>
          <w:trHeight w:val="216"/>
        </w:trPr>
        <w:tc>
          <w:tcPr>
            <w:tcW w:w="12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Recorded</w:t>
            </w:r>
          </w:p>
        </w:tc>
        <w:tc>
          <w:tcPr>
            <w:tcW w:w="18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principal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54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86"/>
              </w:rPr>
              <w:t>loan</w:t>
            </w:r>
          </w:p>
        </w:tc>
        <w:tc>
          <w:tcPr>
            <w:tcW w:w="1080" w:type="dxa"/>
            <w:vAlign w:val="bottom"/>
          </w:tcPr>
          <w:p>
            <w:pPr>
              <w:jc w:val="center"/>
              <w:ind w:right="50"/>
              <w:spacing w:after="0"/>
              <w:rPr>
                <w:sz w:val="20"/>
                <w:szCs w:val="20"/>
                <w:color w:val="auto"/>
              </w:rPr>
            </w:pPr>
            <w:r>
              <w:rPr>
                <w:rFonts w:ascii="Arial" w:cs="Arial" w:eastAsia="Arial" w:hAnsi="Arial"/>
                <w:sz w:val="18"/>
                <w:szCs w:val="18"/>
                <w:b w:val="1"/>
                <w:bCs w:val="1"/>
                <w:color w:val="auto"/>
                <w:w w:val="89"/>
              </w:rPr>
              <w:t>interest</w:t>
            </w:r>
          </w:p>
        </w:tc>
      </w:tr>
      <w:tr>
        <w:trPr>
          <w:trHeight w:val="234"/>
        </w:trPr>
        <w:tc>
          <w:tcPr>
            <w:tcW w:w="122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investment</w:t>
            </w: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Stage 3</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jc w:val="center"/>
              <w:ind w:right="50"/>
              <w:spacing w:after="0"/>
              <w:rPr>
                <w:sz w:val="20"/>
                <w:szCs w:val="20"/>
                <w:color w:val="auto"/>
              </w:rPr>
            </w:pPr>
            <w:r>
              <w:rPr>
                <w:rFonts w:ascii="Arial" w:cs="Arial" w:eastAsia="Arial" w:hAnsi="Arial"/>
                <w:sz w:val="18"/>
                <w:szCs w:val="18"/>
                <w:b w:val="1"/>
                <w:bCs w:val="1"/>
                <w:color w:val="auto"/>
                <w:w w:val="86"/>
              </w:rPr>
              <w:t>recognized</w:t>
            </w:r>
          </w:p>
        </w:tc>
      </w:tr>
      <w:tr>
        <w:trPr>
          <w:trHeight w:val="425"/>
        </w:trPr>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30,364</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18,364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23,174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12,500</w:t>
            </w:r>
          </w:p>
        </w:tc>
        <w:tc>
          <w:tcPr>
            <w:tcW w:w="120" w:type="dxa"/>
            <w:vAlign w:val="bottom"/>
          </w:tcPr>
          <w:p>
            <w:pPr>
              <w:spacing w:after="0"/>
              <w:rPr>
                <w:sz w:val="24"/>
                <w:szCs w:val="24"/>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408</w:t>
            </w:r>
          </w:p>
        </w:tc>
      </w:tr>
      <w:tr>
        <w:trPr>
          <w:trHeight w:val="230"/>
        </w:trPr>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35,000</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12,179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17,705</w:t>
            </w:r>
          </w:p>
        </w:tc>
        <w:tc>
          <w:tcPr>
            <w:tcW w:w="120" w:type="dxa"/>
            <w:vAlign w:val="bottom"/>
          </w:tcPr>
          <w:p>
            <w:pPr>
              <w:spacing w:after="0"/>
              <w:rPr>
                <w:sz w:val="20"/>
                <w:szCs w:val="20"/>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1,679</w:t>
            </w:r>
          </w:p>
        </w:tc>
      </w:tr>
      <w:tr>
        <w:trPr>
          <w:trHeight w:val="223"/>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65,364</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53,364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35,353</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30,205</w:t>
            </w:r>
          </w:p>
        </w:tc>
        <w:tc>
          <w:tcPr>
            <w:tcW w:w="220" w:type="dxa"/>
            <w:vAlign w:val="bottom"/>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2,087</w:t>
            </w: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-2506345</wp:posOffset>
            </wp:positionH>
            <wp:positionV relativeFrom="paragraph">
              <wp:posOffset>-608330</wp:posOffset>
            </wp:positionV>
            <wp:extent cx="6955155" cy="14605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7">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-325120</wp:posOffset>
            </wp:positionV>
            <wp:extent cx="6955155" cy="14605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8">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560" w:space="720"/>
            <w:col w:w="7140"/>
          </w:cols>
          <w:pgMar w:left="240" w:top="689" w:right="239" w:bottom="1440" w:gutter="0" w:footer="0" w:header="0"/>
          <w:type w:val="continuous"/>
        </w:sectPr>
      </w:pPr>
    </w:p>
    <w:p>
      <w:pPr>
        <w:spacing w:after="0" w:line="2" w:lineRule="exact"/>
        <w:rPr>
          <w:sz w:val="20"/>
          <w:szCs w:val="20"/>
          <w:color w:val="auto"/>
        </w:rPr>
      </w:pPr>
    </w:p>
    <w:p>
      <w:pPr>
        <w:ind w:left="340" w:right="80"/>
        <w:spacing w:after="0" w:line="277" w:lineRule="auto"/>
        <w:rPr>
          <w:sz w:val="20"/>
          <w:szCs w:val="20"/>
          <w:color w:val="auto"/>
        </w:rPr>
      </w:pPr>
      <w:r>
        <w:rPr>
          <w:rFonts w:ascii="Arial" w:cs="Arial" w:eastAsia="Arial" w:hAnsi="Arial"/>
          <w:sz w:val="18"/>
          <w:szCs w:val="18"/>
          <w:color w:val="auto"/>
        </w:rPr>
        <w:t>The following is a summary of information of interest amounts recognized on an effective interest basis on net carrying amount for those financial assets in Stage 3:</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80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68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revenue calculated on the net carrying amount (net of credit allowance)</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1,170</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1,808</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8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an aging analysis of the loan portfolio:</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232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3"/>
              </w:rPr>
              <w:t>Greater</w:t>
            </w:r>
          </w:p>
        </w:tc>
        <w:tc>
          <w:tcPr>
            <w:tcW w:w="108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2"/>
              </w:rPr>
              <w:t>Total</w:t>
            </w:r>
          </w:p>
        </w:tc>
        <w:tc>
          <w:tcPr>
            <w:tcW w:w="8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080" w:type="dxa"/>
            <w:vAlign w:val="bottom"/>
            <w:gridSpan w:val="2"/>
          </w:tcPr>
          <w:p>
            <w:pPr>
              <w:ind w:left="2500"/>
              <w:spacing w:after="0"/>
              <w:rPr>
                <w:sz w:val="20"/>
                <w:szCs w:val="20"/>
                <w:color w:val="auto"/>
              </w:rPr>
            </w:pPr>
            <w:r>
              <w:rPr>
                <w:rFonts w:ascii="Arial" w:cs="Arial" w:eastAsia="Arial" w:hAnsi="Arial"/>
                <w:sz w:val="18"/>
                <w:szCs w:val="18"/>
                <w:b w:val="1"/>
                <w:bCs w:val="1"/>
                <w:color w:val="auto"/>
                <w:w w:val="99"/>
              </w:rPr>
              <w:t>91-120</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jc w:val="right"/>
              <w:ind w:right="50"/>
              <w:spacing w:after="0"/>
              <w:rPr>
                <w:sz w:val="20"/>
                <w:szCs w:val="20"/>
                <w:color w:val="auto"/>
              </w:rPr>
            </w:pPr>
            <w:r>
              <w:rPr>
                <w:rFonts w:ascii="Arial" w:cs="Arial" w:eastAsia="Arial" w:hAnsi="Arial"/>
                <w:sz w:val="18"/>
                <w:szCs w:val="18"/>
                <w:b w:val="1"/>
                <w:bCs w:val="1"/>
                <w:color w:val="auto"/>
              </w:rPr>
              <w:t>121-150</w:t>
            </w:r>
          </w:p>
        </w:tc>
        <w:tc>
          <w:tcPr>
            <w:tcW w:w="240" w:type="dxa"/>
            <w:vAlign w:val="bottom"/>
          </w:tcPr>
          <w:p>
            <w:pPr>
              <w:spacing w:after="0"/>
              <w:rPr>
                <w:sz w:val="18"/>
                <w:szCs w:val="18"/>
                <w:color w:val="auto"/>
              </w:rPr>
            </w:pPr>
          </w:p>
        </w:tc>
        <w:tc>
          <w:tcPr>
            <w:tcW w:w="860" w:type="dxa"/>
            <w:vAlign w:val="bottom"/>
          </w:tcPr>
          <w:p>
            <w:pPr>
              <w:jc w:val="right"/>
              <w:ind w:right="50"/>
              <w:spacing w:after="0"/>
              <w:rPr>
                <w:sz w:val="20"/>
                <w:szCs w:val="20"/>
                <w:color w:val="auto"/>
              </w:rPr>
            </w:pPr>
            <w:r>
              <w:rPr>
                <w:rFonts w:ascii="Arial" w:cs="Arial" w:eastAsia="Arial" w:hAnsi="Arial"/>
                <w:sz w:val="18"/>
                <w:szCs w:val="18"/>
                <w:b w:val="1"/>
                <w:bCs w:val="1"/>
                <w:color w:val="auto"/>
              </w:rPr>
              <w:t>151-180</w:t>
            </w:r>
          </w:p>
        </w:tc>
        <w:tc>
          <w:tcPr>
            <w:tcW w:w="220" w:type="dxa"/>
            <w:vAlign w:val="bottom"/>
          </w:tcPr>
          <w:p>
            <w:pPr>
              <w:spacing w:after="0"/>
              <w:rPr>
                <w:sz w:val="18"/>
                <w:szCs w:val="18"/>
                <w:color w:val="auto"/>
              </w:rPr>
            </w:pP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than 180</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Past</w:t>
            </w: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760" w:type="dxa"/>
            <w:vAlign w:val="bottom"/>
          </w:tcPr>
          <w:p>
            <w:pPr>
              <w:ind w:left="280"/>
              <w:spacing w:after="0"/>
              <w:rPr>
                <w:sz w:val="20"/>
                <w:szCs w:val="20"/>
                <w:color w:val="auto"/>
              </w:rPr>
            </w:pPr>
            <w:r>
              <w:rPr>
                <w:rFonts w:ascii="Arial" w:cs="Arial" w:eastAsia="Arial" w:hAnsi="Arial"/>
                <w:sz w:val="18"/>
                <w:szCs w:val="18"/>
                <w:b w:val="1"/>
                <w:bCs w:val="1"/>
                <w:color w:val="auto"/>
              </w:rPr>
              <w:t>days</w:t>
            </w:r>
          </w:p>
        </w:tc>
        <w:tc>
          <w:tcPr>
            <w:tcW w:w="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40" w:type="dxa"/>
            <w:vAlign w:val="bottom"/>
            <w:gridSpan w:val="2"/>
          </w:tcPr>
          <w:p>
            <w:pPr>
              <w:ind w:left="300"/>
              <w:spacing w:after="0"/>
              <w:rPr>
                <w:sz w:val="20"/>
                <w:szCs w:val="20"/>
                <w:color w:val="auto"/>
              </w:rPr>
            </w:pPr>
            <w:r>
              <w:rPr>
                <w:rFonts w:ascii="Arial" w:cs="Arial" w:eastAsia="Arial" w:hAnsi="Arial"/>
                <w:sz w:val="18"/>
                <w:szCs w:val="18"/>
                <w:b w:val="1"/>
                <w:bCs w:val="1"/>
                <w:color w:val="auto"/>
              </w:rPr>
              <w:t>days</w:t>
            </w:r>
          </w:p>
        </w:tc>
        <w:tc>
          <w:tcPr>
            <w:tcW w:w="1080" w:type="dxa"/>
            <w:vAlign w:val="bottom"/>
            <w:gridSpan w:val="2"/>
          </w:tcPr>
          <w:p>
            <w:pPr>
              <w:ind w:left="280"/>
              <w:spacing w:after="0"/>
              <w:rPr>
                <w:sz w:val="20"/>
                <w:szCs w:val="20"/>
                <w:color w:val="auto"/>
              </w:rPr>
            </w:pPr>
            <w:r>
              <w:rPr>
                <w:rFonts w:ascii="Arial" w:cs="Arial" w:eastAsia="Arial" w:hAnsi="Arial"/>
                <w:sz w:val="18"/>
                <w:szCs w:val="18"/>
                <w:b w:val="1"/>
                <w:bCs w:val="1"/>
                <w:color w:val="auto"/>
              </w:rPr>
              <w:t>days</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days</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due</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88"/>
              </w:rPr>
              <w:t>Delinquent</w:t>
            </w:r>
          </w:p>
        </w:tc>
        <w:tc>
          <w:tcPr>
            <w:tcW w:w="1080" w:type="dxa"/>
            <w:vAlign w:val="bottom"/>
            <w:gridSpan w:val="2"/>
          </w:tcPr>
          <w:p>
            <w:pPr>
              <w:ind w:left="120"/>
              <w:spacing w:after="0"/>
              <w:rPr>
                <w:sz w:val="20"/>
                <w:szCs w:val="20"/>
                <w:color w:val="auto"/>
              </w:rPr>
            </w:pPr>
            <w:r>
              <w:rPr>
                <w:rFonts w:ascii="Arial" w:cs="Arial" w:eastAsia="Arial" w:hAnsi="Arial"/>
                <w:sz w:val="18"/>
                <w:szCs w:val="18"/>
                <w:b w:val="1"/>
                <w:bCs w:val="1"/>
                <w:color w:val="auto"/>
              </w:rPr>
              <w:t>Current</w:t>
            </w:r>
          </w:p>
        </w:tc>
        <w:tc>
          <w:tcPr>
            <w:tcW w:w="96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2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7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2,606,113</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2,606,113</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3080" w:type="dxa"/>
            <w:vAlign w:val="bottom"/>
            <w:gridSpan w:val="2"/>
          </w:tcPr>
          <w:p>
            <w:pPr>
              <w:spacing w:after="0" w:line="201" w:lineRule="exact"/>
              <w:rPr>
                <w:sz w:val="20"/>
                <w:szCs w:val="20"/>
                <w:color w:val="auto"/>
              </w:rPr>
            </w:pPr>
            <w:r>
              <w:rPr>
                <w:rFonts w:ascii="Arial" w:cs="Arial" w:eastAsia="Arial" w:hAnsi="Arial"/>
                <w:sz w:val="18"/>
                <w:szCs w:val="18"/>
                <w:color w:val="auto"/>
              </w:rPr>
              <w:t>Banking and financial</w:t>
            </w: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3080" w:type="dxa"/>
            <w:vAlign w:val="bottom"/>
            <w:gridSpan w:val="2"/>
          </w:tcPr>
          <w:p>
            <w:pPr>
              <w:spacing w:after="0"/>
              <w:rPr>
                <w:sz w:val="20"/>
                <w:szCs w:val="20"/>
                <w:color w:val="auto"/>
              </w:rPr>
            </w:pPr>
            <w:r>
              <w:rPr>
                <w:rFonts w:ascii="Arial" w:cs="Arial" w:eastAsia="Arial" w:hAnsi="Arial"/>
                <w:sz w:val="18"/>
                <w:szCs w:val="18"/>
                <w:color w:val="auto"/>
              </w:rPr>
              <w:t>institutions</w:t>
            </w:r>
          </w:p>
        </w:tc>
        <w:tc>
          <w:tcPr>
            <w:tcW w:w="12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0"/>
                <w:szCs w:val="20"/>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0"/>
                <w:szCs w:val="20"/>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2,657,444</w:t>
            </w:r>
          </w:p>
        </w:tc>
        <w:tc>
          <w:tcPr>
            <w:tcW w:w="22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2,657,444</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230"/>
        </w:trPr>
        <w:tc>
          <w:tcPr>
            <w:tcW w:w="340" w:type="dxa"/>
            <w:vAlign w:val="bottom"/>
          </w:tcPr>
          <w:p>
            <w:pPr>
              <w:spacing w:after="0"/>
              <w:rPr>
                <w:sz w:val="19"/>
                <w:szCs w:val="19"/>
                <w:color w:val="auto"/>
              </w:rPr>
            </w:pPr>
          </w:p>
        </w:tc>
        <w:tc>
          <w:tcPr>
            <w:tcW w:w="30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207,101</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242,101</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320" w:type="dxa"/>
            <w:vAlign w:val="bottom"/>
          </w:tcPr>
          <w:p>
            <w:pPr>
              <w:spacing w:after="0"/>
              <w:rPr>
                <w:sz w:val="20"/>
                <w:szCs w:val="20"/>
                <w:color w:val="auto"/>
              </w:rPr>
            </w:pPr>
            <w:r>
              <w:rPr>
                <w:rFonts w:ascii="Arial" w:cs="Arial" w:eastAsia="Arial" w:hAnsi="Arial"/>
                <w:sz w:val="18"/>
                <w:szCs w:val="18"/>
                <w:color w:val="auto"/>
              </w:rPr>
              <w:t>Total</w:t>
            </w:r>
          </w:p>
        </w:tc>
        <w:tc>
          <w:tcPr>
            <w:tcW w:w="76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5,470,658</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160" w:type="dxa"/>
            <w:vAlign w:val="bottom"/>
            <w:tcBorders>
              <w:bottom w:val="single" w:sz="8" w:color="auto"/>
            </w:tcBorders>
            <w:gridSpan w:val="4"/>
          </w:tcPr>
          <w:p>
            <w:pPr>
              <w:ind w:left="160"/>
              <w:spacing w:after="0"/>
              <w:rPr>
                <w:sz w:val="20"/>
                <w:szCs w:val="20"/>
                <w:color w:val="auto"/>
              </w:rPr>
            </w:pPr>
            <w:r>
              <w:rPr>
                <w:rFonts w:ascii="Arial" w:cs="Arial" w:eastAsia="Arial" w:hAnsi="Arial"/>
                <w:sz w:val="18"/>
                <w:szCs w:val="18"/>
                <w:b w:val="1"/>
                <w:bCs w:val="1"/>
                <w:color w:val="auto"/>
              </w:rPr>
              <w:t>December 31, 2016</w:t>
            </w: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23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3"/>
              </w:rPr>
              <w:t>Greater</w:t>
            </w:r>
          </w:p>
        </w:tc>
        <w:tc>
          <w:tcPr>
            <w:tcW w:w="10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2"/>
              </w:rPr>
              <w:t>Total</w:t>
            </w: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080" w:type="dxa"/>
            <w:vAlign w:val="bottom"/>
            <w:gridSpan w:val="2"/>
          </w:tcPr>
          <w:p>
            <w:pPr>
              <w:ind w:left="2500"/>
              <w:spacing w:after="0"/>
              <w:rPr>
                <w:sz w:val="20"/>
                <w:szCs w:val="20"/>
                <w:color w:val="auto"/>
              </w:rPr>
            </w:pPr>
            <w:r>
              <w:rPr>
                <w:rFonts w:ascii="Arial" w:cs="Arial" w:eastAsia="Arial" w:hAnsi="Arial"/>
                <w:sz w:val="18"/>
                <w:szCs w:val="18"/>
                <w:b w:val="1"/>
                <w:bCs w:val="1"/>
                <w:color w:val="auto"/>
                <w:w w:val="99"/>
              </w:rPr>
              <w:t>91-120</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jc w:val="right"/>
              <w:ind w:right="50"/>
              <w:spacing w:after="0"/>
              <w:rPr>
                <w:sz w:val="20"/>
                <w:szCs w:val="20"/>
                <w:color w:val="auto"/>
              </w:rPr>
            </w:pPr>
            <w:r>
              <w:rPr>
                <w:rFonts w:ascii="Arial" w:cs="Arial" w:eastAsia="Arial" w:hAnsi="Arial"/>
                <w:sz w:val="18"/>
                <w:szCs w:val="18"/>
                <w:b w:val="1"/>
                <w:bCs w:val="1"/>
                <w:color w:val="auto"/>
              </w:rPr>
              <w:t>121-150</w:t>
            </w:r>
          </w:p>
        </w:tc>
        <w:tc>
          <w:tcPr>
            <w:tcW w:w="240" w:type="dxa"/>
            <w:vAlign w:val="bottom"/>
          </w:tcPr>
          <w:p>
            <w:pPr>
              <w:spacing w:after="0"/>
              <w:rPr>
                <w:sz w:val="18"/>
                <w:szCs w:val="18"/>
                <w:color w:val="auto"/>
              </w:rPr>
            </w:pPr>
          </w:p>
        </w:tc>
        <w:tc>
          <w:tcPr>
            <w:tcW w:w="860" w:type="dxa"/>
            <w:vAlign w:val="bottom"/>
          </w:tcPr>
          <w:p>
            <w:pPr>
              <w:jc w:val="right"/>
              <w:ind w:right="50"/>
              <w:spacing w:after="0"/>
              <w:rPr>
                <w:sz w:val="20"/>
                <w:szCs w:val="20"/>
                <w:color w:val="auto"/>
              </w:rPr>
            </w:pPr>
            <w:r>
              <w:rPr>
                <w:rFonts w:ascii="Arial" w:cs="Arial" w:eastAsia="Arial" w:hAnsi="Arial"/>
                <w:sz w:val="18"/>
                <w:szCs w:val="18"/>
                <w:b w:val="1"/>
                <w:bCs w:val="1"/>
                <w:color w:val="auto"/>
              </w:rPr>
              <w:t>151-180</w:t>
            </w:r>
          </w:p>
        </w:tc>
        <w:tc>
          <w:tcPr>
            <w:tcW w:w="220" w:type="dxa"/>
            <w:vAlign w:val="bottom"/>
          </w:tcPr>
          <w:p>
            <w:pPr>
              <w:spacing w:after="0"/>
              <w:rPr>
                <w:sz w:val="18"/>
                <w:szCs w:val="18"/>
                <w:color w:val="auto"/>
              </w:rPr>
            </w:pP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than 180</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Past</w:t>
            </w: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760" w:type="dxa"/>
            <w:vAlign w:val="bottom"/>
          </w:tcPr>
          <w:p>
            <w:pPr>
              <w:ind w:left="260"/>
              <w:spacing w:after="0"/>
              <w:rPr>
                <w:sz w:val="20"/>
                <w:szCs w:val="20"/>
                <w:color w:val="auto"/>
              </w:rPr>
            </w:pPr>
            <w:r>
              <w:rPr>
                <w:rFonts w:ascii="Arial" w:cs="Arial" w:eastAsia="Arial" w:hAnsi="Arial"/>
                <w:sz w:val="18"/>
                <w:szCs w:val="18"/>
                <w:b w:val="1"/>
                <w:bCs w:val="1"/>
                <w:color w:val="auto"/>
              </w:rPr>
              <w:t>days</w:t>
            </w:r>
          </w:p>
        </w:tc>
        <w:tc>
          <w:tcPr>
            <w:tcW w:w="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40" w:type="dxa"/>
            <w:vAlign w:val="bottom"/>
            <w:gridSpan w:val="2"/>
          </w:tcPr>
          <w:p>
            <w:pPr>
              <w:ind w:left="280"/>
              <w:spacing w:after="0"/>
              <w:rPr>
                <w:sz w:val="20"/>
                <w:szCs w:val="20"/>
                <w:color w:val="auto"/>
              </w:rPr>
            </w:pPr>
            <w:r>
              <w:rPr>
                <w:rFonts w:ascii="Arial" w:cs="Arial" w:eastAsia="Arial" w:hAnsi="Arial"/>
                <w:sz w:val="18"/>
                <w:szCs w:val="18"/>
                <w:b w:val="1"/>
                <w:bCs w:val="1"/>
                <w:color w:val="auto"/>
              </w:rPr>
              <w:t>days</w:t>
            </w:r>
          </w:p>
        </w:tc>
        <w:tc>
          <w:tcPr>
            <w:tcW w:w="1080" w:type="dxa"/>
            <w:vAlign w:val="bottom"/>
            <w:gridSpan w:val="2"/>
          </w:tcPr>
          <w:p>
            <w:pPr>
              <w:ind w:left="240"/>
              <w:spacing w:after="0"/>
              <w:rPr>
                <w:sz w:val="20"/>
                <w:szCs w:val="20"/>
                <w:color w:val="auto"/>
              </w:rPr>
            </w:pPr>
            <w:r>
              <w:rPr>
                <w:rFonts w:ascii="Arial" w:cs="Arial" w:eastAsia="Arial" w:hAnsi="Arial"/>
                <w:sz w:val="18"/>
                <w:szCs w:val="18"/>
                <w:b w:val="1"/>
                <w:bCs w:val="1"/>
                <w:color w:val="auto"/>
              </w:rPr>
              <w:t>days</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days</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due</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88"/>
              </w:rPr>
              <w:t>Delinquent</w:t>
            </w:r>
          </w:p>
        </w:tc>
        <w:tc>
          <w:tcPr>
            <w:tcW w:w="1080" w:type="dxa"/>
            <w:vAlign w:val="bottom"/>
            <w:gridSpan w:val="2"/>
          </w:tcPr>
          <w:p>
            <w:pPr>
              <w:ind w:left="120"/>
              <w:spacing w:after="0"/>
              <w:rPr>
                <w:sz w:val="20"/>
                <w:szCs w:val="20"/>
                <w:color w:val="auto"/>
              </w:rPr>
            </w:pPr>
            <w:r>
              <w:rPr>
                <w:rFonts w:ascii="Arial" w:cs="Arial" w:eastAsia="Arial" w:hAnsi="Arial"/>
                <w:sz w:val="18"/>
                <w:szCs w:val="18"/>
                <w:b w:val="1"/>
                <w:bCs w:val="1"/>
                <w:color w:val="auto"/>
              </w:rPr>
              <w:t>Current</w:t>
            </w:r>
          </w:p>
        </w:tc>
        <w:tc>
          <w:tcPr>
            <w:tcW w:w="96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2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7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4,000</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14,364</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18,364</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3,424,446</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3,442,810</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3080" w:type="dxa"/>
            <w:vAlign w:val="bottom"/>
            <w:gridSpan w:val="2"/>
          </w:tcPr>
          <w:p>
            <w:pPr>
              <w:spacing w:after="0" w:line="201" w:lineRule="exact"/>
              <w:rPr>
                <w:sz w:val="20"/>
                <w:szCs w:val="20"/>
                <w:color w:val="auto"/>
              </w:rPr>
            </w:pPr>
            <w:r>
              <w:rPr>
                <w:rFonts w:ascii="Arial" w:cs="Arial" w:eastAsia="Arial" w:hAnsi="Arial"/>
                <w:sz w:val="18"/>
                <w:szCs w:val="18"/>
                <w:color w:val="auto"/>
              </w:rPr>
              <w:t>Banking and financial</w:t>
            </w: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3080" w:type="dxa"/>
            <w:vAlign w:val="bottom"/>
            <w:gridSpan w:val="2"/>
          </w:tcPr>
          <w:p>
            <w:pPr>
              <w:spacing w:after="0"/>
              <w:rPr>
                <w:sz w:val="20"/>
                <w:szCs w:val="20"/>
                <w:color w:val="auto"/>
              </w:rPr>
            </w:pPr>
            <w:r>
              <w:rPr>
                <w:rFonts w:ascii="Arial" w:cs="Arial" w:eastAsia="Arial" w:hAnsi="Arial"/>
                <w:sz w:val="18"/>
                <w:szCs w:val="18"/>
                <w:color w:val="auto"/>
              </w:rPr>
              <w:t>institutions</w:t>
            </w:r>
          </w:p>
        </w:tc>
        <w:tc>
          <w:tcPr>
            <w:tcW w:w="12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0"/>
                <w:szCs w:val="20"/>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0"/>
                <w:szCs w:val="20"/>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2,283,876</w:t>
            </w:r>
          </w:p>
        </w:tc>
        <w:tc>
          <w:tcPr>
            <w:tcW w:w="22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2,283,876</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230"/>
        </w:trPr>
        <w:tc>
          <w:tcPr>
            <w:tcW w:w="340" w:type="dxa"/>
            <w:vAlign w:val="bottom"/>
          </w:tcPr>
          <w:p>
            <w:pPr>
              <w:spacing w:after="0"/>
              <w:rPr>
                <w:sz w:val="19"/>
                <w:szCs w:val="19"/>
                <w:color w:val="auto"/>
              </w:rPr>
            </w:pPr>
          </w:p>
        </w:tc>
        <w:tc>
          <w:tcPr>
            <w:tcW w:w="30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259,045</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294,045</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320" w:type="dxa"/>
            <w:vAlign w:val="bottom"/>
          </w:tcPr>
          <w:p>
            <w:pPr>
              <w:spacing w:after="0"/>
              <w:rPr>
                <w:sz w:val="20"/>
                <w:szCs w:val="20"/>
                <w:color w:val="auto"/>
              </w:rPr>
            </w:pPr>
            <w:r>
              <w:rPr>
                <w:rFonts w:ascii="Arial" w:cs="Arial" w:eastAsia="Arial" w:hAnsi="Arial"/>
                <w:sz w:val="18"/>
                <w:szCs w:val="18"/>
                <w:color w:val="auto"/>
              </w:rPr>
              <w:t>Total</w:t>
            </w:r>
          </w:p>
        </w:tc>
        <w:tc>
          <w:tcPr>
            <w:tcW w:w="76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4,000</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49,364</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53,364</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5,967,367</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gridSpan w:val="2"/>
          </w:tcPr>
          <w:p>
            <w:pPr>
              <w:ind w:left="640"/>
              <w:spacing w:after="0"/>
              <w:rPr>
                <w:sz w:val="20"/>
                <w:szCs w:val="20"/>
                <w:color w:val="auto"/>
              </w:rPr>
            </w:pPr>
            <w:r>
              <w:rPr>
                <w:rFonts w:ascii="Arial" w:cs="Arial" w:eastAsia="Arial" w:hAnsi="Arial"/>
                <w:sz w:val="18"/>
                <w:szCs w:val="18"/>
                <w:color w:val="auto"/>
              </w:rPr>
              <w:t>F-46</w:t>
            </w: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9" w:right="239" w:bottom="1440" w:gutter="0" w:footer="0" w:header="0"/>
          <w:type w:val="continuous"/>
        </w:sectPr>
      </w:pPr>
    </w:p>
    <w:bookmarkStart w:id="168" w:name="page169"/>
    <w:bookmarkEnd w:id="1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6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5.5 Loans – at amortized cost (continued)</w:t>
      </w:r>
    </w:p>
    <w:p>
      <w:pPr>
        <w:spacing w:after="0" w:line="229"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As of December 31, 2017 and 2016, the Bank had credit transactions in the normal course of business with 21% and 16%, respectively, of its Class “A” and “B” stockholders. All transactions were made based on arm’s-length terms and subject to prevailing commercial criteria and market rates and were subject to all of the Bank’s Corporate Governance and control procedures. As of December 31, 2017 and 2016, approximately 14% and 10%, respectively, of the outstanding loan portfolio was placed with the Bank’s Class “A” and “B” stockholders and their related parties. As of December 31, 2017,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74"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Modified financial assets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refer to modified financial assets, where modification does not result in de-recognition:</w:t>
      </w:r>
    </w:p>
    <w:p>
      <w:pPr>
        <w:sectPr>
          <w:pgSz w:w="11900" w:h="16838" w:orient="portrait"/>
          <w:cols w:equalWidth="0" w:num="1">
            <w:col w:w="11420"/>
          </w:cols>
          <w:pgMar w:left="240" w:top="689" w:right="239" w:bottom="1440" w:gutter="0" w:footer="0" w:header="0"/>
        </w:sectPr>
      </w:pPr>
    </w:p>
    <w:p>
      <w:pPr>
        <w:spacing w:after="0" w:line="221" w:lineRule="exact"/>
        <w:rPr>
          <w:sz w:val="20"/>
          <w:szCs w:val="20"/>
          <w:color w:val="auto"/>
        </w:rPr>
      </w:pPr>
    </w:p>
    <w:p>
      <w:pPr>
        <w:ind w:left="340" w:right="2840"/>
        <w:spacing w:after="0" w:line="313" w:lineRule="auto"/>
        <w:rPr>
          <w:sz w:val="20"/>
          <w:szCs w:val="20"/>
          <w:color w:val="auto"/>
        </w:rPr>
      </w:pPr>
      <w:r>
        <w:rPr>
          <w:rFonts w:ascii="Arial" w:cs="Arial" w:eastAsia="Arial" w:hAnsi="Arial"/>
          <w:sz w:val="17"/>
          <w:szCs w:val="17"/>
          <w:b w:val="1"/>
          <w:bCs w:val="1"/>
          <w:color w:val="auto"/>
        </w:rPr>
        <w:t>Modified financial assets (with loss allowance based on lifetime ECL) modified during the period</w:t>
      </w:r>
    </w:p>
    <w:p>
      <w:pPr>
        <w:spacing w:after="0" w:line="15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Gross carrying amount before modification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3716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50">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Loss allowance before modification</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Net amortized cost before modification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63195"/>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51">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580" w:type="dxa"/>
            <w:vAlign w:val="bottom"/>
            <w:gridSpan w:val="3"/>
          </w:tcPr>
          <w:p>
            <w:pPr>
              <w:jc w:val="right"/>
              <w:ind w:right="140"/>
              <w:spacing w:after="0"/>
              <w:rPr>
                <w:sz w:val="20"/>
                <w:szCs w:val="20"/>
                <w:color w:val="auto"/>
              </w:rPr>
            </w:pPr>
            <w:r>
              <w:rPr>
                <w:rFonts w:ascii="Arial" w:cs="Arial" w:eastAsia="Arial" w:hAnsi="Arial"/>
                <w:sz w:val="18"/>
                <w:szCs w:val="18"/>
                <w:b w:val="1"/>
                <w:bCs w:val="1"/>
                <w:color w:val="auto"/>
                <w:w w:val="87"/>
              </w:rPr>
              <w:t>December 31, 2017</w:t>
            </w:r>
          </w:p>
        </w:tc>
        <w:tc>
          <w:tcPr>
            <w:tcW w:w="1520" w:type="dxa"/>
            <w:vAlign w:val="bottom"/>
            <w:gridSpan w:val="2"/>
          </w:tcPr>
          <w:p>
            <w:pPr>
              <w:jc w:val="right"/>
              <w:spacing w:after="0"/>
              <w:rPr>
                <w:sz w:val="20"/>
                <w:szCs w:val="20"/>
                <w:color w:val="auto"/>
              </w:rPr>
            </w:pPr>
            <w:r>
              <w:rPr>
                <w:rFonts w:ascii="Arial" w:cs="Arial" w:eastAsia="Arial" w:hAnsi="Arial"/>
                <w:sz w:val="18"/>
                <w:szCs w:val="18"/>
                <w:b w:val="1"/>
                <w:bCs w:val="1"/>
                <w:color w:val="auto"/>
                <w:w w:val="92"/>
              </w:rPr>
              <w:t>December 31, 2016</w:t>
            </w:r>
          </w:p>
        </w:tc>
      </w:tr>
      <w:tr>
        <w:trPr>
          <w:trHeight w:val="411"/>
        </w:trPr>
        <w:tc>
          <w:tcPr>
            <w:tcW w:w="20" w:type="dxa"/>
            <w:vAlign w:val="bottom"/>
          </w:tcPr>
          <w:p>
            <w:pPr>
              <w:spacing w:after="0"/>
              <w:rPr>
                <w:sz w:val="24"/>
                <w:szCs w:val="24"/>
                <w:color w:val="auto"/>
              </w:rPr>
            </w:pPr>
          </w:p>
        </w:tc>
        <w:tc>
          <w:tcPr>
            <w:tcW w:w="14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8,855</w:t>
            </w: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r>
      <w:tr>
        <w:trPr>
          <w:trHeight w:val="244"/>
        </w:trPr>
        <w:tc>
          <w:tcPr>
            <w:tcW w:w="1580" w:type="dxa"/>
            <w:vAlign w:val="bottom"/>
            <w:gridSpan w:val="3"/>
          </w:tcPr>
          <w:p>
            <w:pPr>
              <w:jc w:val="right"/>
              <w:ind w:right="80"/>
              <w:spacing w:after="0"/>
              <w:rPr>
                <w:sz w:val="20"/>
                <w:szCs w:val="20"/>
                <w:color w:val="auto"/>
              </w:rPr>
            </w:pPr>
            <w:r>
              <w:rPr>
                <w:rFonts w:ascii="Arial" w:cs="Arial" w:eastAsia="Arial" w:hAnsi="Arial"/>
                <w:sz w:val="18"/>
                <w:szCs w:val="18"/>
                <w:color w:val="auto"/>
              </w:rPr>
              <w:t>(3,344)</w:t>
            </w:r>
          </w:p>
        </w:tc>
        <w:tc>
          <w:tcPr>
            <w:tcW w:w="1520" w:type="dxa"/>
            <w:vAlign w:val="bottom"/>
            <w:gridSpan w:val="2"/>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5,511</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360" w:space="720"/>
            <w:col w:w="3340"/>
          </w:cols>
          <w:pgMar w:left="240" w:top="689" w:right="239" w:bottom="1440" w:gutter="0" w:footer="0" w:header="0"/>
          <w:type w:val="continuous"/>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Gross carrying amount after modification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3716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2">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Loss allowance after modification</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Net amortized cost after modification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6319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3">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72" w:lineRule="exact"/>
        <w:rPr>
          <w:sz w:val="20"/>
          <w:szCs w:val="20"/>
          <w:color w:val="auto"/>
        </w:rPr>
      </w:pPr>
    </w:p>
    <w:p>
      <w:pPr>
        <w:ind w:left="340"/>
        <w:spacing w:after="0"/>
        <w:rPr>
          <w:sz w:val="20"/>
          <w:szCs w:val="20"/>
          <w:color w:val="auto"/>
        </w:rPr>
      </w:pPr>
      <w:r>
        <w:rPr>
          <w:rFonts w:ascii="Arial" w:cs="Arial" w:eastAsia="Arial" w:hAnsi="Arial"/>
          <w:sz w:val="16"/>
          <w:szCs w:val="16"/>
          <w:color w:val="222222"/>
        </w:rPr>
        <w:t>For the modified financial assets during the year 2017, were received other real estate owned for $ 5,119.</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4,484</w:t>
            </w:r>
          </w:p>
        </w:tc>
        <w:tc>
          <w:tcPr>
            <w:tcW w:w="14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44"/>
        </w:trPr>
        <w:tc>
          <w:tcPr>
            <w:tcW w:w="1660" w:type="dxa"/>
            <w:vAlign w:val="bottom"/>
            <w:gridSpan w:val="2"/>
          </w:tcPr>
          <w:p>
            <w:pPr>
              <w:jc w:val="right"/>
              <w:ind w:right="160"/>
              <w:spacing w:after="0"/>
              <w:rPr>
                <w:sz w:val="20"/>
                <w:szCs w:val="20"/>
                <w:color w:val="auto"/>
              </w:rPr>
            </w:pPr>
            <w:r>
              <w:rPr>
                <w:rFonts w:ascii="Arial" w:cs="Arial" w:eastAsia="Arial" w:hAnsi="Arial"/>
                <w:sz w:val="18"/>
                <w:szCs w:val="18"/>
                <w:color w:val="auto"/>
              </w:rPr>
              <w:t>(4,484)</w:t>
            </w:r>
          </w:p>
        </w:tc>
        <w:tc>
          <w:tcPr>
            <w:tcW w:w="14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20"/>
        </w:trPr>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r>
    </w:tbl>
    <w:p>
      <w:pPr>
        <w:spacing w:after="0" w:line="585" w:lineRule="exact"/>
        <w:rPr>
          <w:sz w:val="20"/>
          <w:szCs w:val="20"/>
          <w:color w:val="auto"/>
        </w:rPr>
      </w:pPr>
    </w:p>
    <w:p>
      <w:pPr>
        <w:sectPr>
          <w:pgSz w:w="11900" w:h="16838" w:orient="portrait"/>
          <w:cols w:equalWidth="0" w:num="2">
            <w:col w:w="7900" w:space="180"/>
            <w:col w:w="3340"/>
          </w:cols>
          <w:pgMar w:left="240" w:top="689" w:right="239" w:bottom="1440" w:gutter="0" w:footer="0" w:header="0"/>
          <w:type w:val="continuous"/>
        </w:sectPr>
      </w:pPr>
    </w:p>
    <w:p>
      <w:pPr>
        <w:spacing w:after="0" w:line="48"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222222"/>
        </w:rPr>
        <w:t>During the year 2017, a financial asset with a nominal value of $ 37,817 was restructured. As part of the restructuration The Bank received Equity Instrument with a fair value of $8,630 and a new originated credit impaired loans with a fair value of $19,274. The remaining balance was written off against allowance for loans losses.</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type w:val="continuous"/>
        </w:sectPr>
      </w:pPr>
    </w:p>
    <w:bookmarkStart w:id="169" w:name="page170"/>
    <w:bookmarkEnd w:id="1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6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5.5 Loans – at amortized cost (continued)</w:t>
      </w:r>
    </w:p>
    <w:p>
      <w:pPr>
        <w:spacing w:after="0" w:line="229" w:lineRule="exact"/>
        <w:rPr>
          <w:sz w:val="20"/>
          <w:szCs w:val="20"/>
          <w:color w:val="auto"/>
        </w:rPr>
      </w:pPr>
    </w:p>
    <w:p>
      <w:pPr>
        <w:ind w:left="340" w:right="40"/>
        <w:spacing w:after="0" w:line="277" w:lineRule="auto"/>
        <w:rPr>
          <w:sz w:val="20"/>
          <w:szCs w:val="20"/>
          <w:color w:val="auto"/>
        </w:rPr>
      </w:pPr>
      <w:r>
        <w:rPr>
          <w:rFonts w:ascii="Arial" w:cs="Arial" w:eastAsia="Arial" w:hAnsi="Arial"/>
          <w:sz w:val="18"/>
          <w:szCs w:val="18"/>
          <w:color w:val="auto"/>
        </w:rPr>
        <w:t>The significant changes in the gross carrying amount of financial assets during the period that contributed to changes in the loss allowance, is provided at the table below:</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6260" w:type="dxa"/>
            <w:vAlign w:val="bottom"/>
          </w:tcPr>
          <w:p>
            <w:pPr>
              <w:spacing w:after="0"/>
              <w:rPr>
                <w:sz w:val="20"/>
                <w:szCs w:val="20"/>
                <w:color w:val="auto"/>
              </w:rPr>
            </w:pPr>
            <w:r>
              <w:rPr>
                <w:rFonts w:ascii="Arial" w:cs="Arial" w:eastAsia="Arial" w:hAnsi="Arial"/>
                <w:sz w:val="18"/>
                <w:szCs w:val="18"/>
                <w:b w:val="1"/>
                <w:bCs w:val="1"/>
                <w:color w:val="auto"/>
              </w:rPr>
              <w:t>Loans</w:t>
            </w: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40" w:type="dxa"/>
            <w:vAlign w:val="bottom"/>
          </w:tcPr>
          <w:p>
            <w:pPr>
              <w:spacing w:after="0"/>
              <w:rPr>
                <w:sz w:val="24"/>
                <w:szCs w:val="24"/>
                <w:color w:val="auto"/>
              </w:rPr>
            </w:pPr>
          </w:p>
        </w:tc>
        <w:tc>
          <w:tcPr>
            <w:tcW w:w="6260" w:type="dxa"/>
            <w:vAlign w:val="bottom"/>
          </w:tcPr>
          <w:p>
            <w:pPr>
              <w:spacing w:after="0"/>
              <w:rPr>
                <w:sz w:val="24"/>
                <w:szCs w:val="24"/>
                <w:color w:val="auto"/>
              </w:rPr>
            </w:pPr>
          </w:p>
        </w:tc>
        <w:tc>
          <w:tcPr>
            <w:tcW w:w="12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Stage 1</w:t>
            </w:r>
          </w:p>
        </w:tc>
        <w:tc>
          <w:tcPr>
            <w:tcW w:w="12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Stage 2</w:t>
            </w:r>
          </w:p>
        </w:tc>
        <w:tc>
          <w:tcPr>
            <w:tcW w:w="118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Stage 3</w:t>
            </w:r>
          </w:p>
        </w:tc>
        <w:tc>
          <w:tcPr>
            <w:tcW w:w="10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2016</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5,019,368</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935,999</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65,364</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1000" w:type="dxa"/>
            <w:vAlign w:val="bottom"/>
          </w:tcPr>
          <w:p>
            <w:pPr>
              <w:jc w:val="right"/>
              <w:spacing w:after="0"/>
              <w:rPr>
                <w:sz w:val="20"/>
                <w:szCs w:val="20"/>
                <w:color w:val="auto"/>
              </w:rPr>
            </w:pPr>
            <w:r>
              <w:rPr>
                <w:rFonts w:ascii="Arial" w:cs="Arial" w:eastAsia="Arial" w:hAnsi="Arial"/>
                <w:sz w:val="18"/>
                <w:szCs w:val="18"/>
                <w:color w:val="auto"/>
              </w:rPr>
              <w:t>(41,167)</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41,167</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8"/>
                <w:szCs w:val="18"/>
                <w:color w:val="auto"/>
              </w:rPr>
              <w:t>Transfer to lifetime expected credit losses - credit-impaired</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(46,673)</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46,673</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8,000</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(8,000)</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8"/>
                <w:szCs w:val="18"/>
                <w:color w:val="auto"/>
              </w:rPr>
              <w:t>Financial assets that have been derecognised during the year</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(4,214,697)</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(313,394)</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(21,667)</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(4,549,758)</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Pr>
          <w:p>
            <w:pPr>
              <w:spacing w:after="0"/>
              <w:rPr>
                <w:sz w:val="20"/>
                <w:szCs w:val="20"/>
                <w:color w:val="auto"/>
              </w:rPr>
            </w:pPr>
            <w:r>
              <w:rPr>
                <w:rFonts w:ascii="Arial" w:cs="Arial" w:eastAsia="Arial" w:hAnsi="Arial"/>
                <w:sz w:val="18"/>
                <w:szCs w:val="18"/>
                <w:color w:val="auto"/>
              </w:rPr>
              <w:t>Changes due to financial instruments recognized as of December 31, 2016</w:t>
            </w: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(4,247,864)</w:t>
            </w:r>
          </w:p>
        </w:tc>
        <w:tc>
          <w:tcPr>
            <w:tcW w:w="220" w:type="dxa"/>
            <w:vAlign w:val="bottom"/>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(326,900)</w:t>
            </w:r>
          </w:p>
        </w:tc>
        <w:tc>
          <w:tcPr>
            <w:tcW w:w="220" w:type="dxa"/>
            <w:vAlign w:val="bottom"/>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25,006</w:t>
            </w:r>
          </w:p>
        </w:tc>
        <w:tc>
          <w:tcPr>
            <w:tcW w:w="220" w:type="dxa"/>
            <w:vAlign w:val="bottom"/>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(4,549,758)</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4,067,723</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4,067,723</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tcPr>
          <w:p>
            <w:pPr>
              <w:spacing w:after="0"/>
              <w:rPr>
                <w:sz w:val="20"/>
                <w:szCs w:val="20"/>
                <w:color w:val="auto"/>
              </w:rPr>
            </w:pPr>
            <w:r>
              <w:rPr>
                <w:rFonts w:ascii="Arial" w:cs="Arial" w:eastAsia="Arial" w:hAnsi="Arial"/>
                <w:sz w:val="18"/>
                <w:szCs w:val="18"/>
                <w:color w:val="auto"/>
              </w:rPr>
              <w:t>Write-offs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(1,427)</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(31,611)</w:t>
            </w: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(33,038)</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4,839,227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607,672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58,759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60" w:type="dxa"/>
            <w:vAlign w:val="bottom"/>
            <w:vMerge w:val="restart"/>
          </w:tcPr>
          <w:p>
            <w:pPr>
              <w:spacing w:after="0"/>
              <w:rPr>
                <w:sz w:val="20"/>
                <w:szCs w:val="20"/>
                <w:color w:val="auto"/>
              </w:rPr>
            </w:pPr>
            <w:r>
              <w:rPr>
                <w:rFonts w:ascii="Arial" w:cs="Arial" w:eastAsia="Arial" w:hAnsi="Arial"/>
                <w:sz w:val="18"/>
                <w:szCs w:val="18"/>
                <w:b w:val="1"/>
                <w:bCs w:val="1"/>
                <w:color w:val="auto"/>
              </w:rPr>
              <w:t>Loans</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6260" w:type="dxa"/>
            <w:vAlign w:val="bottom"/>
            <w:vMerge w:val="continue"/>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340" w:type="dxa"/>
            <w:vAlign w:val="bottom"/>
          </w:tcPr>
          <w:p>
            <w:pPr>
              <w:spacing w:after="0"/>
              <w:rPr>
                <w:sz w:val="24"/>
                <w:szCs w:val="24"/>
                <w:color w:val="auto"/>
              </w:rPr>
            </w:pPr>
          </w:p>
        </w:tc>
        <w:tc>
          <w:tcPr>
            <w:tcW w:w="6260" w:type="dxa"/>
            <w:vAlign w:val="bottom"/>
          </w:tcPr>
          <w:p>
            <w:pPr>
              <w:spacing w:after="0"/>
              <w:rPr>
                <w:sz w:val="24"/>
                <w:szCs w:val="24"/>
                <w:color w:val="auto"/>
              </w:rPr>
            </w:pPr>
          </w:p>
        </w:tc>
        <w:tc>
          <w:tcPr>
            <w:tcW w:w="12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Stage 1</w:t>
            </w:r>
          </w:p>
        </w:tc>
        <w:tc>
          <w:tcPr>
            <w:tcW w:w="12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Stage 2</w:t>
            </w:r>
          </w:p>
        </w:tc>
        <w:tc>
          <w:tcPr>
            <w:tcW w:w="118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Stage 3</w:t>
            </w:r>
          </w:p>
        </w:tc>
        <w:tc>
          <w:tcPr>
            <w:tcW w:w="10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2015</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6,282,752</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356,668</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52,329</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1000" w:type="dxa"/>
            <w:vAlign w:val="bottom"/>
          </w:tcPr>
          <w:p>
            <w:pPr>
              <w:jc w:val="right"/>
              <w:spacing w:after="0"/>
              <w:rPr>
                <w:sz w:val="20"/>
                <w:szCs w:val="20"/>
                <w:color w:val="auto"/>
              </w:rPr>
            </w:pPr>
            <w:r>
              <w:rPr>
                <w:rFonts w:ascii="Arial" w:cs="Arial" w:eastAsia="Arial" w:hAnsi="Arial"/>
                <w:sz w:val="18"/>
                <w:szCs w:val="18"/>
                <w:color w:val="auto"/>
              </w:rPr>
              <w:t>(828,589)</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828,589</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8"/>
                <w:szCs w:val="18"/>
                <w:color w:val="auto"/>
              </w:rPr>
              <w:t>Transfer to lifetime expected credit losses – not credit-impaired</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(12,000)</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(45,056)</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57,056</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90,770</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(90,770)</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8"/>
                <w:szCs w:val="18"/>
                <w:color w:val="auto"/>
              </w:rPr>
              <w:t>Financial assets that have been derecognized during the year</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(4,577,890)</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(113,432)</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(25,214)</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(4,716,536)</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Pr>
          <w:p>
            <w:pPr>
              <w:spacing w:after="0"/>
              <w:rPr>
                <w:sz w:val="20"/>
                <w:szCs w:val="20"/>
                <w:color w:val="auto"/>
              </w:rPr>
            </w:pPr>
            <w:r>
              <w:rPr>
                <w:rFonts w:ascii="Arial" w:cs="Arial" w:eastAsia="Arial" w:hAnsi="Arial"/>
                <w:sz w:val="18"/>
                <w:szCs w:val="18"/>
                <w:color w:val="auto"/>
              </w:rPr>
              <w:t>Changes due to financial instruments recognized as of December 31, 2015</w:t>
            </w: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(5,327,709)</w:t>
            </w:r>
          </w:p>
        </w:tc>
        <w:tc>
          <w:tcPr>
            <w:tcW w:w="220" w:type="dxa"/>
            <w:vAlign w:val="bottom"/>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579,331</w:t>
            </w:r>
          </w:p>
        </w:tc>
        <w:tc>
          <w:tcPr>
            <w:tcW w:w="220" w:type="dxa"/>
            <w:vAlign w:val="bottom"/>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31,842</w:t>
            </w:r>
          </w:p>
        </w:tc>
        <w:tc>
          <w:tcPr>
            <w:tcW w:w="220" w:type="dxa"/>
            <w:vAlign w:val="bottom"/>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(4,716,536)</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4,064,325</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4,064,325</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tcPr>
          <w:p>
            <w:pPr>
              <w:spacing w:after="0"/>
              <w:rPr>
                <w:sz w:val="20"/>
                <w:szCs w:val="20"/>
                <w:color w:val="auto"/>
              </w:rPr>
            </w:pPr>
            <w:r>
              <w:rPr>
                <w:rFonts w:ascii="Arial" w:cs="Arial" w:eastAsia="Arial" w:hAnsi="Arial"/>
                <w:sz w:val="18"/>
                <w:szCs w:val="18"/>
                <w:color w:val="auto"/>
              </w:rPr>
              <w:t>Write-offs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(18,807)</w:t>
            </w: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(18,807)</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2016</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5,019,368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935,999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65,364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60" w:type="dxa"/>
            <w:vAlign w:val="bottom"/>
            <w:vMerge w:val="restart"/>
          </w:tcPr>
          <w:p>
            <w:pPr>
              <w:ind w:left="5220"/>
              <w:spacing w:after="0"/>
              <w:rPr>
                <w:sz w:val="20"/>
                <w:szCs w:val="20"/>
                <w:color w:val="auto"/>
              </w:rPr>
            </w:pPr>
            <w:r>
              <w:rPr>
                <w:rFonts w:ascii="Arial" w:cs="Arial" w:eastAsia="Arial" w:hAnsi="Arial"/>
                <w:sz w:val="18"/>
                <w:szCs w:val="18"/>
                <w:color w:val="auto"/>
              </w:rPr>
              <w:t>F-48</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6260" w:type="dxa"/>
            <w:vAlign w:val="bottom"/>
            <w:tcBorders>
              <w:bottom w:val="single" w:sz="8" w:color="auto"/>
            </w:tcBorders>
            <w:vMerge w:val="continue"/>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8" w:right="239" w:bottom="1440" w:gutter="0" w:footer="0" w:header="0"/>
        </w:sectPr>
      </w:pPr>
    </w:p>
    <w:bookmarkStart w:id="170" w:name="page171"/>
    <w:bookmarkEnd w:id="1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6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5.5 Loans – at amortized cost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allowances for expected credit losses related to loans at amortized cost are as follows:</w:t>
      </w:r>
    </w:p>
    <w:p>
      <w:pPr>
        <w:spacing w:after="0" w:line="151" w:lineRule="exact"/>
        <w:rPr>
          <w:sz w:val="20"/>
          <w:szCs w:val="20"/>
          <w:color w:val="auto"/>
        </w:rPr>
      </w:pPr>
    </w:p>
    <w:tbl>
      <w:tblPr>
        <w:tblLayout w:type="fixed"/>
        <w:tblInd w:w="0" w:type="dxa"/>
        <w:tblCellMar>
          <w:top w:w="0" w:type="dxa"/>
          <w:left w:w="0" w:type="dxa"/>
          <w:bottom w:w="0" w:type="dxa"/>
          <w:right w:w="0" w:type="dxa"/>
        </w:tblCellMar>
      </w:tblPr>
      <w:tr>
        <w:trPr>
          <w:trHeight w:val="345"/>
        </w:trPr>
        <w:tc>
          <w:tcPr>
            <w:tcW w:w="3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5700" w:type="dxa"/>
            <w:vAlign w:val="bottom"/>
          </w:tcPr>
          <w:p>
            <w:pPr>
              <w:spacing w:after="0"/>
              <w:rPr>
                <w:sz w:val="24"/>
                <w:szCs w:val="24"/>
                <w:color w:val="auto"/>
              </w:rPr>
            </w:pPr>
          </w:p>
        </w:tc>
        <w:tc>
          <w:tcPr>
            <w:tcW w:w="12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2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1"/>
              </w:rPr>
              <w:t xml:space="preserve">Stage 2 </w:t>
            </w:r>
            <w:r>
              <w:rPr>
                <w:rFonts w:ascii="Arial" w:cs="Arial" w:eastAsia="Arial" w:hAnsi="Arial"/>
                <w:sz w:val="30"/>
                <w:szCs w:val="30"/>
                <w:b w:val="1"/>
                <w:bCs w:val="1"/>
                <w:color w:val="auto"/>
                <w:w w:val="91"/>
                <w:vertAlign w:val="superscript"/>
              </w:rPr>
              <w:t>(2)</w:t>
            </w:r>
          </w:p>
        </w:tc>
        <w:tc>
          <w:tcPr>
            <w:tcW w:w="11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89"/>
              </w:rPr>
              <w:t xml:space="preserve">Stage 3 </w:t>
            </w:r>
            <w:r>
              <w:rPr>
                <w:rFonts w:ascii="Arial" w:cs="Arial" w:eastAsia="Arial" w:hAnsi="Arial"/>
                <w:sz w:val="30"/>
                <w:szCs w:val="30"/>
                <w:b w:val="1"/>
                <w:bCs w:val="1"/>
                <w:color w:val="auto"/>
                <w:w w:val="89"/>
                <w:vertAlign w:val="superscript"/>
              </w:rPr>
              <w:t>(3)</w:t>
            </w:r>
          </w:p>
        </w:tc>
        <w:tc>
          <w:tcPr>
            <w:tcW w:w="10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29,036</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41,599</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35,353</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105,988</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 – not credit-impaired</w:t>
            </w:r>
          </w:p>
        </w:tc>
        <w:tc>
          <w:tcPr>
            <w:tcW w:w="1000" w:type="dxa"/>
            <w:vAlign w:val="bottom"/>
          </w:tcPr>
          <w:p>
            <w:pPr>
              <w:jc w:val="right"/>
              <w:spacing w:after="0"/>
              <w:rPr>
                <w:sz w:val="20"/>
                <w:szCs w:val="20"/>
                <w:color w:val="auto"/>
              </w:rPr>
            </w:pPr>
            <w:r>
              <w:rPr>
                <w:rFonts w:ascii="Arial" w:cs="Arial" w:eastAsia="Arial" w:hAnsi="Arial"/>
                <w:sz w:val="18"/>
                <w:szCs w:val="18"/>
                <w:color w:val="auto"/>
              </w:rPr>
              <w:t>(672)</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672</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lifetime expected credit losses - credit-impaired</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(12,845)</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12,845</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12-month expected credit losses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1,428</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(1,428)</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(2,900)</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18,227</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20,257</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35,584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Financial assets that have been derecognized during the year</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(24,434)</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(11,321)</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(8,333)</w:t>
            </w: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(44,088)</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Changes due to financial instruments recognized as of December 31, 2016</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(26,578)</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(6,695)</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24,769</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(8,504)</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17,363</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17,363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Write-offs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(1,427)</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(32,126)</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(33,553)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Recoveries of amounts previously written off</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19,821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33,477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27,996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81,294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57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3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5700" w:type="dxa"/>
            <w:vAlign w:val="bottom"/>
          </w:tcPr>
          <w:p>
            <w:pPr>
              <w:spacing w:after="0"/>
              <w:rPr>
                <w:sz w:val="24"/>
                <w:szCs w:val="24"/>
                <w:color w:val="auto"/>
              </w:rPr>
            </w:pPr>
          </w:p>
        </w:tc>
        <w:tc>
          <w:tcPr>
            <w:tcW w:w="12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2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1"/>
              </w:rPr>
              <w:t xml:space="preserve">Stage 2 </w:t>
            </w:r>
            <w:r>
              <w:rPr>
                <w:rFonts w:ascii="Arial" w:cs="Arial" w:eastAsia="Arial" w:hAnsi="Arial"/>
                <w:sz w:val="30"/>
                <w:szCs w:val="30"/>
                <w:b w:val="1"/>
                <w:bCs w:val="1"/>
                <w:color w:val="auto"/>
                <w:w w:val="91"/>
                <w:vertAlign w:val="superscript"/>
              </w:rPr>
              <w:t>(2)</w:t>
            </w:r>
          </w:p>
        </w:tc>
        <w:tc>
          <w:tcPr>
            <w:tcW w:w="11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89"/>
              </w:rPr>
              <w:t xml:space="preserve">Stage 3 </w:t>
            </w:r>
            <w:r>
              <w:rPr>
                <w:rFonts w:ascii="Arial" w:cs="Arial" w:eastAsia="Arial" w:hAnsi="Arial"/>
                <w:sz w:val="30"/>
                <w:szCs w:val="30"/>
                <w:b w:val="1"/>
                <w:bCs w:val="1"/>
                <w:color w:val="auto"/>
                <w:w w:val="89"/>
                <w:vertAlign w:val="superscript"/>
              </w:rPr>
              <w:t>(3)</w:t>
            </w:r>
          </w:p>
        </w:tc>
        <w:tc>
          <w:tcPr>
            <w:tcW w:w="10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2015</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59,214</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9,609</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21,151</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89,974</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 – not credit-impaired</w:t>
            </w:r>
          </w:p>
        </w:tc>
        <w:tc>
          <w:tcPr>
            <w:tcW w:w="1000" w:type="dxa"/>
            <w:vAlign w:val="bottom"/>
          </w:tcPr>
          <w:p>
            <w:pPr>
              <w:jc w:val="right"/>
              <w:spacing w:after="0"/>
              <w:rPr>
                <w:sz w:val="20"/>
                <w:szCs w:val="20"/>
                <w:color w:val="auto"/>
              </w:rPr>
            </w:pPr>
            <w:r>
              <w:rPr>
                <w:rFonts w:ascii="Arial" w:cs="Arial" w:eastAsia="Arial" w:hAnsi="Arial"/>
                <w:sz w:val="18"/>
                <w:szCs w:val="18"/>
                <w:color w:val="auto"/>
              </w:rPr>
              <w:t>(9,117)</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9,119</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lifetime expected credit losses – not credit-impaired</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(6,317)</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6,324</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Transfer to 12-month expected credit losses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2,038</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(2,077)</w:t>
            </w:r>
          </w:p>
        </w:tc>
        <w:tc>
          <w:tcPr>
            <w:tcW w:w="960" w:type="dxa"/>
            <w:vAlign w:val="bottom"/>
          </w:tcPr>
          <w:p>
            <w:pPr>
              <w:jc w:val="right"/>
              <w:spacing w:after="0"/>
              <w:rPr>
                <w:sz w:val="20"/>
                <w:szCs w:val="20"/>
                <w:color w:val="auto"/>
              </w:rPr>
            </w:pPr>
            <w:r>
              <w:rPr>
                <w:rFonts w:ascii="Arial" w:cs="Arial" w:eastAsia="Arial" w:hAnsi="Arial"/>
                <w:sz w:val="18"/>
                <w:szCs w:val="18"/>
                <w:color w:val="auto"/>
              </w:rPr>
              <w:t>38</w:t>
            </w:r>
          </w:p>
        </w:tc>
        <w:tc>
          <w:tcPr>
            <w:tcW w:w="220" w:type="dxa"/>
            <w:vAlign w:val="bottom"/>
          </w:tcPr>
          <w:p>
            <w:pPr>
              <w:spacing w:after="0"/>
              <w:rPr>
                <w:sz w:val="18"/>
                <w:szCs w:val="18"/>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(39,621)</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48,021</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26,491</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34,891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Financial assets that have been derecognized during the year</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(65,640)</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(16,756)</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(82,396)</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Changes due to financial instruments recognized as of December 31, 2015</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(112,347)</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31,990</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32,853</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(47,504)</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82,169</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82,169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Write-offs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(18,807)</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(18,807)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260" w:type="dxa"/>
            <w:vAlign w:val="bottom"/>
            <w:gridSpan w:val="2"/>
          </w:tcPr>
          <w:p>
            <w:pPr>
              <w:spacing w:after="0"/>
              <w:rPr>
                <w:sz w:val="20"/>
                <w:szCs w:val="20"/>
                <w:color w:val="auto"/>
              </w:rPr>
            </w:pPr>
            <w:r>
              <w:rPr>
                <w:rFonts w:ascii="Arial" w:cs="Arial" w:eastAsia="Arial" w:hAnsi="Arial"/>
                <w:sz w:val="18"/>
                <w:szCs w:val="18"/>
                <w:color w:val="auto"/>
              </w:rPr>
              <w:t>Recoveries of amounts previously written off</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156</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156</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29,036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41,599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35,353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105,988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60" w:type="dxa"/>
            <w:vAlign w:val="bottom"/>
            <w:vMerge w:val="restart"/>
          </w:tcPr>
          <w:p>
            <w:pPr>
              <w:ind w:left="320"/>
              <w:spacing w:after="0"/>
              <w:rPr>
                <w:sz w:val="20"/>
                <w:szCs w:val="20"/>
                <w:color w:val="auto"/>
              </w:rPr>
            </w:pPr>
            <w:r>
              <w:rPr>
                <w:rFonts w:ascii="Arial" w:cs="Arial" w:eastAsia="Arial" w:hAnsi="Arial"/>
                <w:sz w:val="15"/>
                <w:szCs w:val="15"/>
                <w:color w:val="auto"/>
              </w:rPr>
              <w:t>(1)</w:t>
            </w:r>
          </w:p>
        </w:tc>
        <w:tc>
          <w:tcPr>
            <w:tcW w:w="5700" w:type="dxa"/>
            <w:vAlign w:val="bottom"/>
            <w:vMerge w:val="restart"/>
          </w:tcPr>
          <w:p>
            <w:pPr>
              <w:ind w:left="80"/>
              <w:spacing w:after="0"/>
              <w:rPr>
                <w:sz w:val="20"/>
                <w:szCs w:val="20"/>
                <w:color w:val="auto"/>
              </w:rPr>
            </w:pPr>
            <w:r>
              <w:rPr>
                <w:rFonts w:ascii="Arial" w:cs="Arial" w:eastAsia="Arial" w:hAnsi="Arial"/>
                <w:sz w:val="18"/>
                <w:szCs w:val="18"/>
                <w:color w:val="auto"/>
              </w:rPr>
              <w:t>12-month expected credit losses.</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8"/>
        </w:trPr>
        <w:tc>
          <w:tcPr>
            <w:tcW w:w="340" w:type="dxa"/>
            <w:vAlign w:val="bottom"/>
          </w:tcPr>
          <w:p>
            <w:pPr>
              <w:spacing w:after="0"/>
              <w:rPr>
                <w:sz w:val="24"/>
                <w:szCs w:val="24"/>
                <w:color w:val="auto"/>
              </w:rPr>
            </w:pPr>
          </w:p>
        </w:tc>
        <w:tc>
          <w:tcPr>
            <w:tcW w:w="560" w:type="dxa"/>
            <w:vAlign w:val="bottom"/>
            <w:vMerge w:val="continue"/>
          </w:tcPr>
          <w:p>
            <w:pPr>
              <w:spacing w:after="0"/>
              <w:rPr>
                <w:sz w:val="24"/>
                <w:szCs w:val="24"/>
                <w:color w:val="auto"/>
              </w:rPr>
            </w:pPr>
          </w:p>
        </w:tc>
        <w:tc>
          <w:tcPr>
            <w:tcW w:w="5700" w:type="dxa"/>
            <w:vAlign w:val="bottom"/>
            <w:vMerge w:val="continue"/>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60" w:type="dxa"/>
            <w:vAlign w:val="bottom"/>
          </w:tcPr>
          <w:p>
            <w:pPr>
              <w:ind w:left="320"/>
              <w:spacing w:after="0"/>
              <w:rPr>
                <w:sz w:val="20"/>
                <w:szCs w:val="20"/>
                <w:color w:val="auto"/>
              </w:rPr>
            </w:pPr>
            <w:r>
              <w:rPr>
                <w:rFonts w:ascii="Arial" w:cs="Arial" w:eastAsia="Arial" w:hAnsi="Arial"/>
                <w:sz w:val="15"/>
                <w:szCs w:val="15"/>
                <w:b w:val="1"/>
                <w:bCs w:val="1"/>
                <w:color w:val="auto"/>
              </w:rPr>
              <w:t>(2)</w:t>
            </w:r>
          </w:p>
        </w:tc>
        <w:tc>
          <w:tcPr>
            <w:tcW w:w="5700" w:type="dxa"/>
            <w:vAlign w:val="bottom"/>
          </w:tcPr>
          <w:p>
            <w:pPr>
              <w:ind w:left="80"/>
              <w:spacing w:after="0"/>
              <w:rPr>
                <w:sz w:val="20"/>
                <w:szCs w:val="20"/>
                <w:color w:val="auto"/>
              </w:rPr>
            </w:pPr>
            <w:r>
              <w:rPr>
                <w:rFonts w:ascii="Arial" w:cs="Arial" w:eastAsia="Arial" w:hAnsi="Arial"/>
                <w:sz w:val="18"/>
                <w:szCs w:val="18"/>
                <w:color w:val="auto"/>
              </w:rPr>
              <w:t>Lifetime expected credit losses.</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560" w:type="dxa"/>
            <w:vAlign w:val="bottom"/>
          </w:tcPr>
          <w:p>
            <w:pPr>
              <w:ind w:left="320"/>
              <w:spacing w:after="0"/>
              <w:rPr>
                <w:sz w:val="20"/>
                <w:szCs w:val="20"/>
                <w:color w:val="auto"/>
              </w:rPr>
            </w:pPr>
            <w:r>
              <w:rPr>
                <w:rFonts w:ascii="Arial" w:cs="Arial" w:eastAsia="Arial" w:hAnsi="Arial"/>
                <w:sz w:val="15"/>
                <w:szCs w:val="15"/>
                <w:color w:val="auto"/>
              </w:rPr>
              <w:t>(3)</w:t>
            </w:r>
          </w:p>
        </w:tc>
        <w:tc>
          <w:tcPr>
            <w:tcW w:w="5700" w:type="dxa"/>
            <w:vAlign w:val="bottom"/>
          </w:tcPr>
          <w:p>
            <w:pPr>
              <w:ind w:left="80"/>
              <w:spacing w:after="0"/>
              <w:rPr>
                <w:sz w:val="20"/>
                <w:szCs w:val="20"/>
                <w:color w:val="auto"/>
              </w:rPr>
            </w:pPr>
            <w:r>
              <w:rPr>
                <w:rFonts w:ascii="Arial" w:cs="Arial" w:eastAsia="Arial" w:hAnsi="Arial"/>
                <w:sz w:val="18"/>
                <w:szCs w:val="18"/>
                <w:color w:val="auto"/>
              </w:rPr>
              <w:t>Credit-impaired financial assets (lifetime expected credit losses).</w:t>
            </w: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9"/>
        </w:trPr>
        <w:tc>
          <w:tcPr>
            <w:tcW w:w="3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5700" w:type="dxa"/>
            <w:vAlign w:val="bottom"/>
            <w:tcBorders>
              <w:bottom w:val="single" w:sz="8" w:color="auto"/>
            </w:tcBorders>
          </w:tcPr>
          <w:p>
            <w:pPr>
              <w:ind w:left="4660"/>
              <w:spacing w:after="0"/>
              <w:rPr>
                <w:sz w:val="20"/>
                <w:szCs w:val="20"/>
                <w:color w:val="auto"/>
              </w:rPr>
            </w:pPr>
            <w:r>
              <w:rPr>
                <w:rFonts w:ascii="Arial" w:cs="Arial" w:eastAsia="Arial" w:hAnsi="Arial"/>
                <w:sz w:val="18"/>
                <w:szCs w:val="18"/>
                <w:color w:val="auto"/>
              </w:rPr>
              <w:t>F-49</w:t>
            </w: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9" w:right="239" w:bottom="1440" w:gutter="0" w:footer="0" w:header="0"/>
        </w:sectPr>
      </w:pPr>
    </w:p>
    <w:bookmarkStart w:id="171" w:name="page172"/>
    <w:bookmarkEnd w:id="17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7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5.6 Derivative financial instruments for hedging purposes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Quantitative information on derivative financial instruments held for hedging purposes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24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jc w:val="right"/>
              <w:ind w:right="740"/>
              <w:spacing w:after="0"/>
              <w:rPr>
                <w:sz w:val="20"/>
                <w:szCs w:val="20"/>
                <w:color w:val="auto"/>
              </w:rPr>
            </w:pPr>
            <w:r>
              <w:rPr>
                <w:rFonts w:ascii="Arial" w:cs="Arial" w:eastAsia="Arial" w:hAnsi="Arial"/>
                <w:sz w:val="18"/>
                <w:szCs w:val="18"/>
                <w:b w:val="1"/>
                <w:bCs w:val="1"/>
                <w:color w:val="auto"/>
              </w:rPr>
              <w:t>December 31, 2017</w:t>
            </w:r>
          </w:p>
        </w:tc>
        <w:tc>
          <w:tcPr>
            <w:tcW w:w="13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52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00" w:type="dxa"/>
            <w:vAlign w:val="bottom"/>
          </w:tcPr>
          <w:p>
            <w:pPr>
              <w:spacing w:after="0"/>
              <w:rPr>
                <w:sz w:val="16"/>
                <w:szCs w:val="16"/>
                <w:color w:val="auto"/>
              </w:rPr>
            </w:pPr>
          </w:p>
        </w:tc>
      </w:tr>
      <w:tr>
        <w:trPr>
          <w:trHeight w:val="216"/>
        </w:trPr>
        <w:tc>
          <w:tcPr>
            <w:tcW w:w="52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40" w:type="dxa"/>
            <w:vAlign w:val="bottom"/>
            <w:gridSpan w:val="4"/>
          </w:tcPr>
          <w:p>
            <w:pPr>
              <w:ind w:left="400"/>
              <w:spacing w:after="0"/>
              <w:rPr>
                <w:sz w:val="20"/>
                <w:szCs w:val="20"/>
                <w:color w:val="auto"/>
              </w:rPr>
            </w:pPr>
            <w:r>
              <w:rPr>
                <w:rFonts w:ascii="Arial" w:cs="Arial" w:eastAsia="Arial" w:hAnsi="Arial"/>
                <w:sz w:val="18"/>
                <w:szCs w:val="18"/>
                <w:b w:val="1"/>
                <w:bCs w:val="1"/>
                <w:color w:val="auto"/>
              </w:rPr>
              <w:t>Carrying amount of the</w:t>
            </w: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value used for</w:t>
            </w:r>
          </w:p>
        </w:tc>
      </w:tr>
      <w:tr>
        <w:trPr>
          <w:trHeight w:val="234"/>
        </w:trPr>
        <w:tc>
          <w:tcPr>
            <w:tcW w:w="5240" w:type="dxa"/>
            <w:vAlign w:val="bottom"/>
          </w:tcPr>
          <w:p>
            <w:pPr>
              <w:spacing w:after="0"/>
              <w:rPr>
                <w:sz w:val="20"/>
                <w:szCs w:val="20"/>
                <w:color w:val="auto"/>
              </w:rPr>
            </w:pPr>
          </w:p>
        </w:tc>
        <w:tc>
          <w:tcPr>
            <w:tcW w:w="14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Nominal</w:t>
            </w:r>
          </w:p>
        </w:tc>
        <w:tc>
          <w:tcPr>
            <w:tcW w:w="2840" w:type="dxa"/>
            <w:vAlign w:val="bottom"/>
            <w:gridSpan w:val="4"/>
          </w:tcPr>
          <w:p>
            <w:pPr>
              <w:jc w:val="right"/>
              <w:ind w:right="780"/>
              <w:spacing w:after="0"/>
              <w:rPr>
                <w:sz w:val="20"/>
                <w:szCs w:val="20"/>
                <w:color w:val="auto"/>
              </w:rPr>
            </w:pPr>
            <w:r>
              <w:rPr>
                <w:rFonts w:ascii="Arial" w:cs="Arial" w:eastAsia="Arial" w:hAnsi="Arial"/>
                <w:sz w:val="18"/>
                <w:szCs w:val="18"/>
                <w:b w:val="1"/>
                <w:bCs w:val="1"/>
                <w:color w:val="auto"/>
              </w:rPr>
              <w:t>hedging instrument</w:t>
            </w: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calculating hedge</w:t>
            </w:r>
          </w:p>
        </w:tc>
      </w:tr>
      <w:tr>
        <w:trPr>
          <w:trHeight w:val="223"/>
        </w:trPr>
        <w:tc>
          <w:tcPr>
            <w:tcW w:w="5240" w:type="dxa"/>
            <w:vAlign w:val="bottom"/>
          </w:tcPr>
          <w:p>
            <w:pPr>
              <w:spacing w:after="0"/>
              <w:rPr>
                <w:sz w:val="19"/>
                <w:szCs w:val="19"/>
                <w:color w:val="auto"/>
              </w:rPr>
            </w:pPr>
          </w:p>
        </w:tc>
        <w:tc>
          <w:tcPr>
            <w:tcW w:w="14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Amount</w:t>
            </w:r>
          </w:p>
        </w:tc>
        <w:tc>
          <w:tcPr>
            <w:tcW w:w="1420" w:type="dxa"/>
            <w:vAlign w:val="bottom"/>
            <w:tcBorders>
              <w:top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Asset</w:t>
            </w:r>
          </w:p>
        </w:tc>
        <w:tc>
          <w:tcPr>
            <w:tcW w:w="1200" w:type="dxa"/>
            <w:vAlign w:val="bottom"/>
            <w:tcBorders>
              <w:top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Liability</w:t>
            </w:r>
          </w:p>
        </w:tc>
        <w:tc>
          <w:tcPr>
            <w:tcW w:w="220" w:type="dxa"/>
            <w:vAlign w:val="bottom"/>
          </w:tcPr>
          <w:p>
            <w:pPr>
              <w:spacing w:after="0"/>
              <w:rPr>
                <w:sz w:val="19"/>
                <w:szCs w:val="19"/>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4"/>
              </w:rPr>
              <w:t>ineffectiveness</w:t>
            </w:r>
          </w:p>
        </w:tc>
      </w:tr>
      <w:tr>
        <w:trPr>
          <w:trHeight w:val="210"/>
        </w:trPr>
        <w:tc>
          <w:tcPr>
            <w:tcW w:w="52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24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367,500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(4,361)</w:t>
            </w:r>
          </w:p>
        </w:tc>
        <w:tc>
          <w:tcPr>
            <w:tcW w:w="1440" w:type="dxa"/>
            <w:vAlign w:val="bottom"/>
            <w:gridSpan w:val="2"/>
          </w:tcPr>
          <w:p>
            <w:pPr>
              <w:jc w:val="right"/>
              <w:ind w:right="40"/>
              <w:spacing w:after="0"/>
              <w:rPr>
                <w:sz w:val="20"/>
                <w:szCs w:val="20"/>
                <w:color w:val="auto"/>
              </w:rPr>
            </w:pPr>
            <w:r>
              <w:rPr>
                <w:rFonts w:ascii="Arial" w:cs="Arial" w:eastAsia="Arial" w:hAnsi="Arial"/>
                <w:sz w:val="18"/>
                <w:szCs w:val="18"/>
                <w:color w:val="auto"/>
              </w:rPr>
              <w:t>(2,394)</w:t>
            </w:r>
          </w:p>
        </w:tc>
      </w:tr>
      <w:tr>
        <w:trPr>
          <w:trHeight w:val="216"/>
        </w:trPr>
        <w:tc>
          <w:tcPr>
            <w:tcW w:w="5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306,961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3,672</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(30,154)</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15,900</w:t>
            </w:r>
          </w:p>
        </w:tc>
      </w:tr>
      <w:tr>
        <w:trPr>
          <w:trHeight w:val="216"/>
        </w:trPr>
        <w:tc>
          <w:tcPr>
            <w:tcW w:w="524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595,000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(428)</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995</w:t>
            </w:r>
          </w:p>
        </w:tc>
      </w:tr>
      <w:tr>
        <w:trPr>
          <w:trHeight w:val="216"/>
        </w:trPr>
        <w:tc>
          <w:tcPr>
            <w:tcW w:w="5240" w:type="dxa"/>
            <w:vAlign w:val="bottom"/>
          </w:tcPr>
          <w:p>
            <w:pPr>
              <w:ind w:left="160"/>
              <w:spacing w:after="0"/>
              <w:rPr>
                <w:sz w:val="20"/>
                <w:szCs w:val="20"/>
                <w:color w:val="auto"/>
              </w:rPr>
            </w:pPr>
            <w:r>
              <w:rPr>
                <w:rFonts w:ascii="Arial" w:cs="Arial" w:eastAsia="Arial" w:hAnsi="Arial"/>
                <w:sz w:val="18"/>
                <w:szCs w:val="18"/>
                <w:color w:val="auto"/>
              </w:rPr>
              <w:t>Cross-currency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23,025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879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00"/>
              <w:spacing w:after="0"/>
              <w:rPr>
                <w:sz w:val="20"/>
                <w:szCs w:val="20"/>
                <w:color w:val="auto"/>
              </w:rPr>
            </w:pPr>
            <w:r>
              <w:rPr>
                <w:rFonts w:ascii="Arial" w:cs="Arial" w:eastAsia="Arial" w:hAnsi="Arial"/>
                <w:sz w:val="18"/>
                <w:szCs w:val="18"/>
                <w:color w:val="auto"/>
              </w:rPr>
              <w:t>2,132</w:t>
            </w:r>
          </w:p>
        </w:tc>
      </w:tr>
      <w:tr>
        <w:trPr>
          <w:trHeight w:val="216"/>
        </w:trPr>
        <w:tc>
          <w:tcPr>
            <w:tcW w:w="5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225,388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8,610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11,835</w:t>
            </w:r>
          </w:p>
        </w:tc>
        <w:tc>
          <w:tcPr>
            <w:tcW w:w="100" w:type="dxa"/>
            <w:vAlign w:val="bottom"/>
            <w:shd w:val="clear" w:color="auto" w:fill="CCEEFF"/>
          </w:tcPr>
          <w:p>
            <w:pPr>
              <w:spacing w:after="0"/>
              <w:rPr>
                <w:sz w:val="18"/>
                <w:szCs w:val="18"/>
                <w:color w:val="auto"/>
              </w:rPr>
            </w:pPr>
          </w:p>
        </w:tc>
      </w:tr>
      <w:tr>
        <w:trPr>
          <w:trHeight w:val="218"/>
        </w:trPr>
        <w:tc>
          <w:tcPr>
            <w:tcW w:w="524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-635</wp:posOffset>
            </wp:positionV>
            <wp:extent cx="6955155" cy="14605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8">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p>
      <w:pPr>
        <w:ind w:left="500"/>
        <w:spacing w:after="0"/>
        <w:rPr>
          <w:sz w:val="20"/>
          <w:szCs w:val="20"/>
          <w:color w:val="auto"/>
        </w:rPr>
      </w:pPr>
      <w:r>
        <w:rPr>
          <w:rFonts w:ascii="Arial" w:cs="Arial" w:eastAsia="Arial" w:hAnsi="Arial"/>
          <w:sz w:val="16"/>
          <w:szCs w:val="16"/>
          <w:color w:val="auto"/>
        </w:rPr>
        <w:t>Foreign exchange forward</w:t>
      </w:r>
    </w:p>
    <w:p>
      <w:pPr>
        <w:spacing w:after="0" w:line="3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Fair value hedges:</w:t>
      </w:r>
    </w:p>
    <w:p>
      <w:pPr>
        <w:spacing w:after="0" w:line="2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Cash flow hedges: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Foreign exchange forward</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Net investment hedges: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Foreign exchange forward</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8"/>
        </w:trPr>
        <w:tc>
          <w:tcPr>
            <w:tcW w:w="1340" w:type="dxa"/>
            <w:vAlign w:val="bottom"/>
            <w:gridSpan w:val="3"/>
          </w:tcPr>
          <w:p>
            <w:pPr>
              <w:jc w:val="right"/>
              <w:ind w:right="140"/>
              <w:spacing w:after="0"/>
              <w:rPr>
                <w:sz w:val="20"/>
                <w:szCs w:val="20"/>
                <w:color w:val="auto"/>
              </w:rPr>
            </w:pPr>
            <w:r>
              <w:rPr>
                <w:rFonts w:ascii="Arial" w:cs="Arial" w:eastAsia="Arial" w:hAnsi="Arial"/>
                <w:sz w:val="18"/>
                <w:szCs w:val="18"/>
                <w:color w:val="auto"/>
              </w:rPr>
              <w:t>9,243</w:t>
            </w:r>
          </w:p>
        </w:tc>
        <w:tc>
          <w:tcPr>
            <w:tcW w:w="80" w:type="dxa"/>
            <w:vAlign w:val="bottom"/>
          </w:tcPr>
          <w:p>
            <w:pPr>
              <w:spacing w:after="0"/>
              <w:rPr>
                <w:sz w:val="19"/>
                <w:szCs w:val="19"/>
                <w:color w:val="auto"/>
              </w:rPr>
            </w:pPr>
          </w:p>
        </w:tc>
        <w:tc>
          <w:tcPr>
            <w:tcW w:w="1340" w:type="dxa"/>
            <w:vAlign w:val="bottom"/>
            <w:gridSpan w:val="3"/>
          </w:tcPr>
          <w:p>
            <w:pPr>
              <w:jc w:val="right"/>
              <w:ind w:right="140"/>
              <w:spacing w:after="0"/>
              <w:rPr>
                <w:sz w:val="20"/>
                <w:szCs w:val="20"/>
                <w:color w:val="auto"/>
              </w:rPr>
            </w:pPr>
            <w:r>
              <w:rPr>
                <w:rFonts w:ascii="Arial" w:cs="Arial" w:eastAsia="Arial" w:hAnsi="Arial"/>
                <w:sz w:val="18"/>
                <w:szCs w:val="18"/>
                <w:color w:val="auto"/>
              </w:rPr>
              <w:t>50</w:t>
            </w:r>
          </w:p>
        </w:tc>
        <w:tc>
          <w:tcPr>
            <w:tcW w:w="80" w:type="dxa"/>
            <w:vAlign w:val="bottom"/>
          </w:tcPr>
          <w:p>
            <w:pPr>
              <w:spacing w:after="0"/>
              <w:rPr>
                <w:sz w:val="19"/>
                <w:szCs w:val="19"/>
                <w:color w:val="auto"/>
              </w:rPr>
            </w:pPr>
          </w:p>
        </w:tc>
        <w:tc>
          <w:tcPr>
            <w:tcW w:w="1340" w:type="dxa"/>
            <w:vAlign w:val="bottom"/>
            <w:gridSpan w:val="3"/>
          </w:tcPr>
          <w:p>
            <w:pPr>
              <w:jc w:val="right"/>
              <w:ind w:right="6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1360" w:type="dxa"/>
            <w:vAlign w:val="bottom"/>
            <w:gridSpan w:val="3"/>
          </w:tcPr>
          <w:p>
            <w:pPr>
              <w:jc w:val="right"/>
              <w:ind w:right="20"/>
              <w:spacing w:after="0"/>
              <w:rPr>
                <w:sz w:val="20"/>
                <w:szCs w:val="20"/>
                <w:color w:val="auto"/>
              </w:rPr>
            </w:pPr>
            <w:r>
              <w:rPr>
                <w:rFonts w:ascii="Arial" w:cs="Arial" w:eastAsia="Arial" w:hAnsi="Arial"/>
                <w:sz w:val="18"/>
                <w:szCs w:val="18"/>
                <w:color w:val="auto"/>
              </w:rPr>
              <w:t>181</w:t>
            </w:r>
          </w:p>
        </w:tc>
        <w:tc>
          <w:tcPr>
            <w:tcW w:w="40" w:type="dxa"/>
            <w:vAlign w:val="bottom"/>
          </w:tcPr>
          <w:p>
            <w:pPr>
              <w:spacing w:after="0"/>
              <w:rPr>
                <w:sz w:val="19"/>
                <w:szCs w:val="19"/>
                <w:color w:val="auto"/>
              </w:rPr>
            </w:pPr>
          </w:p>
        </w:tc>
      </w:tr>
      <w:tr>
        <w:trPr>
          <w:trHeight w:val="223"/>
        </w:trPr>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1,527,117</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13,338</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(34,943</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13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28,649</w:t>
            </w:r>
          </w:p>
        </w:tc>
        <w:tc>
          <w:tcPr>
            <w:tcW w:w="20" w:type="dxa"/>
            <w:vAlign w:val="bottom"/>
            <w:tcBorders>
              <w:top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4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6"/>
        </w:trPr>
        <w:tc>
          <w:tcPr>
            <w:tcW w:w="140" w:type="dxa"/>
            <w:vAlign w:val="bottom"/>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7"/>
          </w:tcPr>
          <w:p>
            <w:pPr>
              <w:jc w:val="center"/>
              <w:spacing w:after="0"/>
              <w:rPr>
                <w:sz w:val="20"/>
                <w:szCs w:val="20"/>
                <w:color w:val="auto"/>
              </w:rPr>
            </w:pPr>
            <w:r>
              <w:rPr>
                <w:rFonts w:ascii="Arial" w:cs="Arial" w:eastAsia="Arial" w:hAnsi="Arial"/>
                <w:sz w:val="18"/>
                <w:szCs w:val="18"/>
                <w:b w:val="1"/>
                <w:bCs w:val="1"/>
                <w:color w:val="auto"/>
                <w:w w:val="90"/>
              </w:rPr>
              <w:t>December 31, 2016</w:t>
            </w:r>
          </w:p>
        </w:tc>
        <w:tc>
          <w:tcPr>
            <w:tcW w:w="1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r>
      <w:tr>
        <w:trPr>
          <w:trHeight w:val="191"/>
        </w:trPr>
        <w:tc>
          <w:tcPr>
            <w:tcW w:w="1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60" w:type="dxa"/>
            <w:vAlign w:val="bottom"/>
            <w:gridSpan w:val="2"/>
          </w:tcPr>
          <w:p>
            <w:pPr>
              <w:spacing w:after="0"/>
              <w:rPr>
                <w:sz w:val="16"/>
                <w:szCs w:val="16"/>
                <w:color w:val="auto"/>
              </w:rPr>
            </w:pPr>
          </w:p>
        </w:tc>
      </w:tr>
      <w:tr>
        <w:trPr>
          <w:trHeight w:val="216"/>
        </w:trPr>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6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8"/>
              </w:rPr>
              <w:t>value used for</w:t>
            </w:r>
          </w:p>
        </w:tc>
      </w:tr>
      <w:tr>
        <w:trPr>
          <w:trHeight w:val="216"/>
        </w:trPr>
        <w:tc>
          <w:tcPr>
            <w:tcW w:w="1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700" w:type="dxa"/>
            <w:vAlign w:val="bottom"/>
            <w:gridSpan w:val="7"/>
          </w:tcPr>
          <w:p>
            <w:pPr>
              <w:jc w:val="center"/>
              <w:spacing w:after="0"/>
              <w:rPr>
                <w:sz w:val="20"/>
                <w:szCs w:val="20"/>
                <w:color w:val="auto"/>
              </w:rPr>
            </w:pPr>
            <w:r>
              <w:rPr>
                <w:rFonts w:ascii="Arial" w:cs="Arial" w:eastAsia="Arial" w:hAnsi="Arial"/>
                <w:sz w:val="18"/>
                <w:szCs w:val="18"/>
                <w:b w:val="1"/>
                <w:bCs w:val="1"/>
                <w:color w:val="auto"/>
                <w:w w:val="91"/>
              </w:rPr>
              <w:t>Carrying amount of the</w:t>
            </w:r>
          </w:p>
        </w:tc>
        <w:tc>
          <w:tcPr>
            <w:tcW w:w="140" w:type="dxa"/>
            <w:vAlign w:val="bottom"/>
          </w:tcPr>
          <w:p>
            <w:pPr>
              <w:spacing w:after="0"/>
              <w:rPr>
                <w:sz w:val="18"/>
                <w:szCs w:val="18"/>
                <w:color w:val="auto"/>
              </w:rPr>
            </w:pPr>
          </w:p>
        </w:tc>
        <w:tc>
          <w:tcPr>
            <w:tcW w:w="126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9"/>
              </w:rPr>
              <w:t>calculating</w:t>
            </w:r>
          </w:p>
        </w:tc>
      </w:tr>
      <w:tr>
        <w:trPr>
          <w:trHeight w:val="234"/>
        </w:trPr>
        <w:tc>
          <w:tcPr>
            <w:tcW w:w="140" w:type="dxa"/>
            <w:vAlign w:val="bottom"/>
          </w:tcPr>
          <w:p>
            <w:pPr>
              <w:spacing w:after="0"/>
              <w:rPr>
                <w:sz w:val="20"/>
                <w:szCs w:val="20"/>
                <w:color w:val="auto"/>
              </w:rPr>
            </w:pPr>
          </w:p>
        </w:tc>
        <w:tc>
          <w:tcPr>
            <w:tcW w:w="1280" w:type="dxa"/>
            <w:vAlign w:val="bottom"/>
            <w:gridSpan w:val="3"/>
          </w:tcPr>
          <w:p>
            <w:pPr>
              <w:jc w:val="right"/>
              <w:ind w:right="340"/>
              <w:spacing w:after="0"/>
              <w:rPr>
                <w:sz w:val="20"/>
                <w:szCs w:val="20"/>
                <w:color w:val="auto"/>
              </w:rPr>
            </w:pPr>
            <w:r>
              <w:rPr>
                <w:rFonts w:ascii="Arial" w:cs="Arial" w:eastAsia="Arial" w:hAnsi="Arial"/>
                <w:sz w:val="18"/>
                <w:szCs w:val="18"/>
                <w:b w:val="1"/>
                <w:bCs w:val="1"/>
                <w:color w:val="auto"/>
              </w:rPr>
              <w:t>Nominal</w:t>
            </w:r>
          </w:p>
        </w:tc>
        <w:tc>
          <w:tcPr>
            <w:tcW w:w="140" w:type="dxa"/>
            <w:vAlign w:val="bottom"/>
          </w:tcPr>
          <w:p>
            <w:pPr>
              <w:spacing w:after="0"/>
              <w:rPr>
                <w:sz w:val="20"/>
                <w:szCs w:val="20"/>
                <w:color w:val="auto"/>
              </w:rPr>
            </w:pPr>
          </w:p>
        </w:tc>
        <w:tc>
          <w:tcPr>
            <w:tcW w:w="2700" w:type="dxa"/>
            <w:vAlign w:val="bottom"/>
            <w:gridSpan w:val="7"/>
          </w:tcPr>
          <w:p>
            <w:pPr>
              <w:jc w:val="center"/>
              <w:spacing w:after="0"/>
              <w:rPr>
                <w:sz w:val="20"/>
                <w:szCs w:val="20"/>
                <w:color w:val="auto"/>
              </w:rPr>
            </w:pPr>
            <w:r>
              <w:rPr>
                <w:rFonts w:ascii="Arial" w:cs="Arial" w:eastAsia="Arial" w:hAnsi="Arial"/>
                <w:sz w:val="18"/>
                <w:szCs w:val="18"/>
                <w:b w:val="1"/>
                <w:bCs w:val="1"/>
                <w:color w:val="auto"/>
                <w:w w:val="89"/>
              </w:rPr>
              <w:t>hedging instrument</w:t>
            </w:r>
          </w:p>
        </w:tc>
        <w:tc>
          <w:tcPr>
            <w:tcW w:w="140" w:type="dxa"/>
            <w:vAlign w:val="bottom"/>
          </w:tcPr>
          <w:p>
            <w:pPr>
              <w:spacing w:after="0"/>
              <w:rPr>
                <w:sz w:val="20"/>
                <w:szCs w:val="20"/>
                <w:color w:val="auto"/>
              </w:rPr>
            </w:pPr>
          </w:p>
        </w:tc>
        <w:tc>
          <w:tcPr>
            <w:tcW w:w="126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2"/>
              </w:rPr>
              <w:t>hedge</w:t>
            </w:r>
          </w:p>
        </w:tc>
      </w:tr>
      <w:tr>
        <w:trPr>
          <w:trHeight w:val="223"/>
        </w:trPr>
        <w:tc>
          <w:tcPr>
            <w:tcW w:w="140" w:type="dxa"/>
            <w:vAlign w:val="bottom"/>
          </w:tcPr>
          <w:p>
            <w:pPr>
              <w:spacing w:after="0"/>
              <w:rPr>
                <w:sz w:val="19"/>
                <w:szCs w:val="19"/>
                <w:color w:val="auto"/>
              </w:rPr>
            </w:pPr>
          </w:p>
        </w:tc>
        <w:tc>
          <w:tcPr>
            <w:tcW w:w="1200" w:type="dxa"/>
            <w:vAlign w:val="bottom"/>
            <w:tcBorders>
              <w:bottom w:val="single" w:sz="8" w:color="auto"/>
            </w:tcBorders>
            <w:gridSpan w:val="2"/>
          </w:tcPr>
          <w:p>
            <w:pPr>
              <w:jc w:val="right"/>
              <w:ind w:right="280"/>
              <w:spacing w:after="0"/>
              <w:rPr>
                <w:sz w:val="20"/>
                <w:szCs w:val="20"/>
                <w:color w:val="auto"/>
              </w:rPr>
            </w:pPr>
            <w:r>
              <w:rPr>
                <w:rFonts w:ascii="Arial" w:cs="Arial" w:eastAsia="Arial" w:hAnsi="Arial"/>
                <w:sz w:val="18"/>
                <w:szCs w:val="18"/>
                <w:b w:val="1"/>
                <w:bCs w:val="1"/>
                <w:color w:val="auto"/>
              </w:rPr>
              <w:t>Amount</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ind w:right="400"/>
              <w:spacing w:after="0"/>
              <w:rPr>
                <w:sz w:val="20"/>
                <w:szCs w:val="20"/>
                <w:color w:val="auto"/>
              </w:rPr>
            </w:pPr>
            <w:r>
              <w:rPr>
                <w:rFonts w:ascii="Arial" w:cs="Arial" w:eastAsia="Arial" w:hAnsi="Arial"/>
                <w:sz w:val="18"/>
                <w:szCs w:val="18"/>
                <w:b w:val="1"/>
                <w:bCs w:val="1"/>
                <w:color w:val="auto"/>
              </w:rPr>
              <w:t>Asset</w:t>
            </w:r>
          </w:p>
        </w:tc>
        <w:tc>
          <w:tcPr>
            <w:tcW w:w="8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200" w:type="dxa"/>
            <w:vAlign w:val="bottom"/>
            <w:tcBorders>
              <w:top w:val="single" w:sz="8" w:color="auto"/>
              <w:bottom w:val="single" w:sz="8" w:color="auto"/>
            </w:tcBorders>
            <w:gridSpan w:val="2"/>
          </w:tcPr>
          <w:p>
            <w:pPr>
              <w:jc w:val="right"/>
              <w:ind w:right="200"/>
              <w:spacing w:after="0"/>
              <w:rPr>
                <w:sz w:val="20"/>
                <w:szCs w:val="20"/>
                <w:color w:val="auto"/>
              </w:rPr>
            </w:pPr>
            <w:r>
              <w:rPr>
                <w:rFonts w:ascii="Arial" w:cs="Arial" w:eastAsia="Arial" w:hAnsi="Arial"/>
                <w:sz w:val="18"/>
                <w:szCs w:val="18"/>
                <w:b w:val="1"/>
                <w:bCs w:val="1"/>
                <w:color w:val="auto"/>
              </w:rPr>
              <w:t>Liability</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ineffectiveness</w:t>
            </w:r>
          </w:p>
        </w:tc>
        <w:tc>
          <w:tcPr>
            <w:tcW w:w="60" w:type="dxa"/>
            <w:vAlign w:val="bottom"/>
            <w:gridSpan w:val="2"/>
          </w:tcPr>
          <w:p>
            <w:pPr>
              <w:spacing w:after="0"/>
              <w:rPr>
                <w:sz w:val="19"/>
                <w:szCs w:val="19"/>
                <w:color w:val="auto"/>
              </w:rPr>
            </w:pPr>
          </w:p>
        </w:tc>
      </w:tr>
      <w:tr>
        <w:trPr>
          <w:trHeight w:val="411"/>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796,202</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40</w:t>
            </w:r>
          </w:p>
        </w:tc>
        <w:tc>
          <w:tcPr>
            <w:tcW w:w="1420" w:type="dxa"/>
            <w:vAlign w:val="bottom"/>
            <w:gridSpan w:val="4"/>
          </w:tcPr>
          <w:p>
            <w:pPr>
              <w:jc w:val="right"/>
              <w:spacing w:after="0"/>
              <w:rPr>
                <w:sz w:val="20"/>
                <w:szCs w:val="20"/>
                <w:color w:val="auto"/>
              </w:rPr>
            </w:pPr>
            <w:r>
              <w:rPr>
                <w:rFonts w:ascii="Arial" w:cs="Arial" w:eastAsia="Arial" w:hAnsi="Arial"/>
                <w:sz w:val="18"/>
                <w:szCs w:val="18"/>
                <w:color w:val="auto"/>
              </w:rPr>
              <w:t>(2,005)</w:t>
            </w:r>
          </w:p>
        </w:tc>
        <w:tc>
          <w:tcPr>
            <w:tcW w:w="1400" w:type="dxa"/>
            <w:vAlign w:val="bottom"/>
            <w:gridSpan w:val="4"/>
          </w:tcPr>
          <w:p>
            <w:pPr>
              <w:jc w:val="right"/>
              <w:spacing w:after="0"/>
              <w:rPr>
                <w:sz w:val="20"/>
                <w:szCs w:val="20"/>
                <w:color w:val="auto"/>
              </w:rPr>
            </w:pPr>
            <w:r>
              <w:rPr>
                <w:rFonts w:ascii="Arial" w:cs="Arial" w:eastAsia="Arial" w:hAnsi="Arial"/>
                <w:sz w:val="18"/>
                <w:szCs w:val="18"/>
                <w:color w:val="auto"/>
              </w:rPr>
              <w:t>(2,199)</w:t>
            </w:r>
          </w:p>
        </w:tc>
      </w:tr>
      <w:tr>
        <w:trPr>
          <w:trHeight w:val="230"/>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291,065</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2,561</w:t>
            </w:r>
          </w:p>
        </w:tc>
        <w:tc>
          <w:tcPr>
            <w:tcW w:w="1420" w:type="dxa"/>
            <w:vAlign w:val="bottom"/>
            <w:gridSpan w:val="4"/>
          </w:tcPr>
          <w:p>
            <w:pPr>
              <w:jc w:val="right"/>
              <w:spacing w:after="0"/>
              <w:rPr>
                <w:sz w:val="20"/>
                <w:szCs w:val="20"/>
                <w:color w:val="auto"/>
              </w:rPr>
            </w:pPr>
            <w:r>
              <w:rPr>
                <w:rFonts w:ascii="Arial" w:cs="Arial" w:eastAsia="Arial" w:hAnsi="Arial"/>
                <w:sz w:val="18"/>
                <w:szCs w:val="18"/>
                <w:color w:val="auto"/>
              </w:rPr>
              <w:t>(44,944)</w:t>
            </w:r>
          </w:p>
        </w:tc>
        <w:tc>
          <w:tcPr>
            <w:tcW w:w="1400" w:type="dxa"/>
            <w:vAlign w:val="bottom"/>
            <w:gridSpan w:val="4"/>
          </w:tcPr>
          <w:p>
            <w:pPr>
              <w:jc w:val="right"/>
              <w:spacing w:after="0"/>
              <w:rPr>
                <w:sz w:val="20"/>
                <w:szCs w:val="20"/>
                <w:color w:val="auto"/>
              </w:rPr>
            </w:pPr>
            <w:r>
              <w:rPr>
                <w:rFonts w:ascii="Arial" w:cs="Arial" w:eastAsia="Arial" w:hAnsi="Arial"/>
                <w:sz w:val="18"/>
                <w:szCs w:val="18"/>
                <w:color w:val="auto"/>
              </w:rPr>
              <w:t>(19,316)</w:t>
            </w:r>
          </w:p>
        </w:tc>
      </w:tr>
      <w:tr>
        <w:trPr>
          <w:trHeight w:val="418"/>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752,000</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323</w:t>
            </w:r>
          </w:p>
        </w:tc>
        <w:tc>
          <w:tcPr>
            <w:tcW w:w="1420" w:type="dxa"/>
            <w:vAlign w:val="bottom"/>
            <w:gridSpan w:val="4"/>
          </w:tcPr>
          <w:p>
            <w:pPr>
              <w:jc w:val="right"/>
              <w:spacing w:after="0"/>
              <w:rPr>
                <w:sz w:val="20"/>
                <w:szCs w:val="20"/>
                <w:color w:val="auto"/>
              </w:rPr>
            </w:pPr>
            <w:r>
              <w:rPr>
                <w:rFonts w:ascii="Arial" w:cs="Arial" w:eastAsia="Arial" w:hAnsi="Arial"/>
                <w:sz w:val="18"/>
                <w:szCs w:val="18"/>
                <w:color w:val="auto"/>
              </w:rPr>
              <w:t>(1,699)</w:t>
            </w:r>
          </w:p>
        </w:tc>
        <w:tc>
          <w:tcPr>
            <w:tcW w:w="1360" w:type="dxa"/>
            <w:vAlign w:val="bottom"/>
            <w:gridSpan w:val="3"/>
          </w:tcPr>
          <w:p>
            <w:pPr>
              <w:jc w:val="right"/>
              <w:ind w:right="20"/>
              <w:spacing w:after="0"/>
              <w:rPr>
                <w:sz w:val="20"/>
                <w:szCs w:val="20"/>
                <w:color w:val="auto"/>
              </w:rPr>
            </w:pPr>
            <w:r>
              <w:rPr>
                <w:rFonts w:ascii="Arial" w:cs="Arial" w:eastAsia="Arial" w:hAnsi="Arial"/>
                <w:sz w:val="18"/>
                <w:szCs w:val="18"/>
                <w:color w:val="auto"/>
              </w:rPr>
              <w:t>696</w:t>
            </w:r>
          </w:p>
        </w:tc>
        <w:tc>
          <w:tcPr>
            <w:tcW w:w="40" w:type="dxa"/>
            <w:vAlign w:val="bottom"/>
          </w:tcPr>
          <w:p>
            <w:pPr>
              <w:spacing w:after="0"/>
              <w:rPr>
                <w:sz w:val="24"/>
                <w:szCs w:val="24"/>
                <w:color w:val="auto"/>
              </w:rPr>
            </w:pPr>
          </w:p>
        </w:tc>
      </w:tr>
      <w:tr>
        <w:trPr>
          <w:trHeight w:val="216"/>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23,025</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w:t>
            </w:r>
          </w:p>
        </w:tc>
        <w:tc>
          <w:tcPr>
            <w:tcW w:w="1420" w:type="dxa"/>
            <w:vAlign w:val="bottom"/>
            <w:gridSpan w:val="4"/>
          </w:tcPr>
          <w:p>
            <w:pPr>
              <w:jc w:val="right"/>
              <w:spacing w:after="0"/>
              <w:rPr>
                <w:sz w:val="20"/>
                <w:szCs w:val="20"/>
                <w:color w:val="auto"/>
              </w:rPr>
            </w:pPr>
            <w:r>
              <w:rPr>
                <w:rFonts w:ascii="Arial" w:cs="Arial" w:eastAsia="Arial" w:hAnsi="Arial"/>
                <w:sz w:val="18"/>
                <w:szCs w:val="18"/>
                <w:color w:val="auto"/>
              </w:rPr>
              <w:t>(1,254)</w:t>
            </w:r>
          </w:p>
        </w:tc>
        <w:tc>
          <w:tcPr>
            <w:tcW w:w="1400" w:type="dxa"/>
            <w:vAlign w:val="bottom"/>
            <w:gridSpan w:val="4"/>
          </w:tcPr>
          <w:p>
            <w:pPr>
              <w:jc w:val="right"/>
              <w:spacing w:after="0"/>
              <w:rPr>
                <w:sz w:val="20"/>
                <w:szCs w:val="20"/>
                <w:color w:val="auto"/>
              </w:rPr>
            </w:pPr>
            <w:r>
              <w:rPr>
                <w:rFonts w:ascii="Arial" w:cs="Arial" w:eastAsia="Arial" w:hAnsi="Arial"/>
                <w:sz w:val="18"/>
                <w:szCs w:val="18"/>
                <w:color w:val="auto"/>
              </w:rPr>
              <w:t>(1,313)</w:t>
            </w:r>
          </w:p>
        </w:tc>
      </w:tr>
      <w:tr>
        <w:trPr>
          <w:trHeight w:val="230"/>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352,553</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6,428</w:t>
            </w:r>
          </w:p>
        </w:tc>
        <w:tc>
          <w:tcPr>
            <w:tcW w:w="1420" w:type="dxa"/>
            <w:vAlign w:val="bottom"/>
            <w:gridSpan w:val="4"/>
          </w:tcPr>
          <w:p>
            <w:pPr>
              <w:jc w:val="right"/>
              <w:spacing w:after="0"/>
              <w:rPr>
                <w:sz w:val="20"/>
                <w:szCs w:val="20"/>
                <w:color w:val="auto"/>
              </w:rPr>
            </w:pPr>
            <w:r>
              <w:rPr>
                <w:rFonts w:ascii="Arial" w:cs="Arial" w:eastAsia="Arial" w:hAnsi="Arial"/>
                <w:sz w:val="18"/>
                <w:szCs w:val="18"/>
                <w:color w:val="auto"/>
              </w:rPr>
              <w:t>(9,653)</w:t>
            </w:r>
          </w:p>
        </w:tc>
        <w:tc>
          <w:tcPr>
            <w:tcW w:w="1400" w:type="dxa"/>
            <w:vAlign w:val="bottom"/>
            <w:gridSpan w:val="4"/>
          </w:tcPr>
          <w:p>
            <w:pPr>
              <w:jc w:val="right"/>
              <w:spacing w:after="0"/>
              <w:rPr>
                <w:sz w:val="20"/>
                <w:szCs w:val="20"/>
                <w:color w:val="auto"/>
              </w:rPr>
            </w:pPr>
            <w:r>
              <w:rPr>
                <w:rFonts w:ascii="Arial" w:cs="Arial" w:eastAsia="Arial" w:hAnsi="Arial"/>
                <w:sz w:val="18"/>
                <w:szCs w:val="18"/>
                <w:color w:val="auto"/>
              </w:rPr>
              <w:t>(5,093)</w:t>
            </w:r>
          </w:p>
        </w:tc>
      </w:tr>
      <w:tr>
        <w:trPr>
          <w:trHeight w:val="446"/>
        </w:trPr>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3,780</w:t>
            </w:r>
          </w:p>
        </w:tc>
        <w:tc>
          <w:tcPr>
            <w:tcW w:w="1420" w:type="dxa"/>
            <w:vAlign w:val="bottom"/>
            <w:gridSpan w:val="4"/>
          </w:tcPr>
          <w:p>
            <w:pPr>
              <w:jc w:val="right"/>
              <w:ind w:right="80"/>
              <w:spacing w:after="0"/>
              <w:rPr>
                <w:sz w:val="20"/>
                <w:szCs w:val="20"/>
                <w:color w:val="auto"/>
              </w:rPr>
            </w:pPr>
            <w:r>
              <w:rPr>
                <w:rFonts w:ascii="Arial" w:cs="Arial" w:eastAsia="Arial" w:hAnsi="Arial"/>
                <w:sz w:val="18"/>
                <w:szCs w:val="18"/>
                <w:color w:val="auto"/>
              </w:rPr>
              <w:t>-</w:t>
            </w:r>
          </w:p>
        </w:tc>
        <w:tc>
          <w:tcPr>
            <w:tcW w:w="1420" w:type="dxa"/>
            <w:vAlign w:val="bottom"/>
            <w:gridSpan w:val="4"/>
          </w:tcPr>
          <w:p>
            <w:pPr>
              <w:jc w:val="right"/>
              <w:spacing w:after="0"/>
              <w:rPr>
                <w:sz w:val="20"/>
                <w:szCs w:val="20"/>
                <w:color w:val="auto"/>
              </w:rPr>
            </w:pPr>
            <w:r>
              <w:rPr>
                <w:rFonts w:ascii="Arial" w:cs="Arial" w:eastAsia="Arial" w:hAnsi="Arial"/>
                <w:sz w:val="18"/>
                <w:szCs w:val="18"/>
                <w:color w:val="auto"/>
              </w:rPr>
              <w:t>(131)</w:t>
            </w:r>
          </w:p>
        </w:tc>
        <w:tc>
          <w:tcPr>
            <w:tcW w:w="1400" w:type="dxa"/>
            <w:vAlign w:val="bottom"/>
            <w:gridSpan w:val="4"/>
          </w:tcPr>
          <w:p>
            <w:pPr>
              <w:jc w:val="right"/>
              <w:spacing w:after="0"/>
              <w:rPr>
                <w:sz w:val="20"/>
                <w:szCs w:val="20"/>
                <w:color w:val="auto"/>
              </w:rPr>
            </w:pPr>
            <w:r>
              <w:rPr>
                <w:rFonts w:ascii="Arial" w:cs="Arial" w:eastAsia="Arial" w:hAnsi="Arial"/>
                <w:sz w:val="18"/>
                <w:szCs w:val="18"/>
                <w:color w:val="auto"/>
              </w:rPr>
              <w:t>(415)</w:t>
            </w:r>
          </w:p>
        </w:tc>
      </w:tr>
      <w:tr>
        <w:trPr>
          <w:trHeight w:val="223"/>
        </w:trPr>
        <w:tc>
          <w:tcPr>
            <w:tcW w:w="14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2,218,625</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9,352</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(59,686</w:t>
            </w:r>
          </w:p>
        </w:tc>
        <w:tc>
          <w:tcPr>
            <w:tcW w:w="8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(27,640</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-3331845</wp:posOffset>
            </wp:positionH>
            <wp:positionV relativeFrom="paragraph">
              <wp:posOffset>-1431290</wp:posOffset>
            </wp:positionV>
            <wp:extent cx="6955155" cy="14605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9">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-3331845</wp:posOffset>
            </wp:positionH>
            <wp:positionV relativeFrom="paragraph">
              <wp:posOffset>-1148715</wp:posOffset>
            </wp:positionV>
            <wp:extent cx="6955155" cy="13716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60">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-3331845</wp:posOffset>
            </wp:positionH>
            <wp:positionV relativeFrom="paragraph">
              <wp:posOffset>-874395</wp:posOffset>
            </wp:positionV>
            <wp:extent cx="6955155" cy="13716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61">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-3331845</wp:posOffset>
            </wp:positionH>
            <wp:positionV relativeFrom="paragraph">
              <wp:posOffset>-599440</wp:posOffset>
            </wp:positionV>
            <wp:extent cx="6955155" cy="13716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2">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-3331845</wp:posOffset>
            </wp:positionH>
            <wp:positionV relativeFrom="paragraph">
              <wp:posOffset>-325120</wp:posOffset>
            </wp:positionV>
            <wp:extent cx="6955155" cy="14605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860" w:space="720"/>
            <w:col w:w="5840"/>
          </w:cols>
          <w:pgMar w:left="240" w:top="688" w:right="239" w:bottom="1440" w:gutter="0" w:footer="0" w:header="0"/>
          <w:type w:val="continuous"/>
        </w:sectPr>
      </w:pPr>
    </w:p>
    <w:p>
      <w:pPr>
        <w:spacing w:after="0" w:line="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hedging instruments presented in the tables above are located in the line item in the statement of financial position at fair value - Derivative financial instruments used for hedging – receivable or at fair value – Derivative financial instruments used for hedging – payable.</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type w:val="continuous"/>
        </w:sectPr>
      </w:pPr>
    </w:p>
    <w:bookmarkStart w:id="172" w:name="page173"/>
    <w:bookmarkEnd w:id="17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7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5.6 Derivative financial instruments for hedging purposes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gains and losses resulting from activities of derivative financial instruments and hedging recognized in the consolidated statements of profit or loss are presented below:</w:t>
      </w:r>
    </w:p>
    <w:p>
      <w:pPr>
        <w:sectPr>
          <w:pgSz w:w="11900" w:h="16838" w:orient="portrait"/>
          <w:cols w:equalWidth="0" w:num="1">
            <w:col w:w="11400"/>
          </w:cols>
          <w:pgMar w:left="240" w:top="689" w:right="2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Derivatives – cash flow hedge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340" w:firstLine="18"/>
        <w:spacing w:after="0" w:line="261" w:lineRule="auto"/>
        <w:rPr>
          <w:sz w:val="20"/>
          <w:szCs w:val="20"/>
          <w:color w:val="auto"/>
        </w:rPr>
      </w:pPr>
      <w:r>
        <w:rPr>
          <w:rFonts w:ascii="Arial" w:cs="Arial" w:eastAsia="Arial" w:hAnsi="Arial"/>
          <w:sz w:val="18"/>
          <w:szCs w:val="18"/>
          <w:b w:val="1"/>
          <w:bCs w:val="1"/>
          <w:color w:val="auto"/>
        </w:rPr>
        <w:t xml:space="preserve">Derivatives – net investment hedge </w:t>
      </w:r>
      <w:r>
        <w:rPr>
          <w:rFonts w:ascii="Arial" w:cs="Arial" w:eastAsia="Arial" w:hAnsi="Arial"/>
          <w:sz w:val="18"/>
          <w:szCs w:val="18"/>
          <w:color w:val="auto"/>
        </w:rPr>
        <w:t>Forward foreign exchange</w:t>
      </w: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3060"/>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2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324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58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Gain (loss)</w:t>
            </w:r>
          </w:p>
        </w:tc>
        <w:tc>
          <w:tcPr>
            <w:tcW w:w="120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accumulated OCI</w:t>
            </w:r>
          </w:p>
        </w:tc>
        <w:tc>
          <w:tcPr>
            <w:tcW w:w="122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w:t>
            </w:r>
          </w:p>
        </w:tc>
        <w:tc>
          <w:tcPr>
            <w:tcW w:w="0" w:type="dxa"/>
            <w:vAlign w:val="bottom"/>
          </w:tcPr>
          <w:p>
            <w:pPr>
              <w:spacing w:after="0"/>
              <w:rPr>
                <w:sz w:val="1"/>
                <w:szCs w:val="1"/>
                <w:color w:val="auto"/>
              </w:rPr>
            </w:pPr>
          </w:p>
        </w:tc>
      </w:tr>
      <w:tr>
        <w:trPr>
          <w:trHeight w:val="216"/>
        </w:trPr>
        <w:tc>
          <w:tcPr>
            <w:tcW w:w="13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to the</w:t>
            </w:r>
          </w:p>
        </w:tc>
        <w:tc>
          <w:tcPr>
            <w:tcW w:w="122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6"/>
              </w:rPr>
              <w:t>recognized on</w:t>
            </w:r>
          </w:p>
        </w:tc>
        <w:tc>
          <w:tcPr>
            <w:tcW w:w="0" w:type="dxa"/>
            <w:vAlign w:val="bottom"/>
          </w:tcPr>
          <w:p>
            <w:pPr>
              <w:spacing w:after="0"/>
              <w:rPr>
                <w:sz w:val="1"/>
                <w:szCs w:val="1"/>
                <w:color w:val="auto"/>
              </w:rPr>
            </w:pPr>
          </w:p>
        </w:tc>
      </w:tr>
      <w:tr>
        <w:trPr>
          <w:trHeight w:val="216"/>
        </w:trPr>
        <w:tc>
          <w:tcPr>
            <w:tcW w:w="13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122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derivatives</w:t>
            </w:r>
          </w:p>
        </w:tc>
        <w:tc>
          <w:tcPr>
            <w:tcW w:w="0" w:type="dxa"/>
            <w:vAlign w:val="bottom"/>
          </w:tcPr>
          <w:p>
            <w:pPr>
              <w:spacing w:after="0"/>
              <w:rPr>
                <w:sz w:val="1"/>
                <w:szCs w:val="1"/>
                <w:color w:val="auto"/>
              </w:rPr>
            </w:pPr>
          </w:p>
        </w:tc>
      </w:tr>
      <w:tr>
        <w:trPr>
          <w:trHeight w:val="216"/>
        </w:trPr>
        <w:tc>
          <w:tcPr>
            <w:tcW w:w="13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4"/>
              </w:rPr>
              <w:t>OCI (effective</w:t>
            </w:r>
          </w:p>
        </w:tc>
        <w:tc>
          <w:tcPr>
            <w:tcW w:w="80" w:type="dxa"/>
            <w:vAlign w:val="bottom"/>
          </w:tcPr>
          <w:p>
            <w:pPr>
              <w:spacing w:after="0"/>
              <w:rPr>
                <w:sz w:val="18"/>
                <w:szCs w:val="18"/>
                <w:color w:val="auto"/>
              </w:rPr>
            </w:pPr>
          </w:p>
        </w:tc>
        <w:tc>
          <w:tcPr>
            <w:tcW w:w="3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Classification of gain</w:t>
            </w:r>
          </w:p>
        </w:tc>
        <w:tc>
          <w:tcPr>
            <w:tcW w:w="15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statement of</w:t>
            </w:r>
          </w:p>
        </w:tc>
        <w:tc>
          <w:tcPr>
            <w:tcW w:w="122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(ineffective</w:t>
            </w:r>
          </w:p>
        </w:tc>
        <w:tc>
          <w:tcPr>
            <w:tcW w:w="0" w:type="dxa"/>
            <w:vAlign w:val="bottom"/>
          </w:tcPr>
          <w:p>
            <w:pPr>
              <w:spacing w:after="0"/>
              <w:rPr>
                <w:sz w:val="1"/>
                <w:szCs w:val="1"/>
                <w:color w:val="auto"/>
              </w:rPr>
            </w:pP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140" w:type="dxa"/>
            <w:vAlign w:val="bottom"/>
            <w:gridSpan w:val="2"/>
          </w:tcPr>
          <w:p>
            <w:pPr>
              <w:spacing w:after="0"/>
              <w:rPr>
                <w:sz w:val="20"/>
                <w:szCs w:val="20"/>
                <w:color w:val="auto"/>
              </w:rPr>
            </w:pPr>
          </w:p>
        </w:tc>
        <w:tc>
          <w:tcPr>
            <w:tcW w:w="80" w:type="dxa"/>
            <w:vAlign w:val="bottom"/>
          </w:tcPr>
          <w:p>
            <w:pPr>
              <w:spacing w:after="0"/>
              <w:rPr>
                <w:sz w:val="20"/>
                <w:szCs w:val="20"/>
                <w:color w:val="auto"/>
              </w:rPr>
            </w:pPr>
          </w:p>
        </w:tc>
        <w:tc>
          <w:tcPr>
            <w:tcW w:w="3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20" w:type="dxa"/>
            <w:vAlign w:val="bottom"/>
          </w:tcPr>
          <w:p>
            <w:pPr>
              <w:spacing w:after="0"/>
              <w:rPr>
                <w:sz w:val="20"/>
                <w:szCs w:val="20"/>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profit or loss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1"/>
        </w:trPr>
        <w:tc>
          <w:tcPr>
            <w:tcW w:w="1340" w:type="dxa"/>
            <w:vAlign w:val="bottom"/>
            <w:gridSpan w:val="3"/>
          </w:tcPr>
          <w:p>
            <w:pPr>
              <w:jc w:val="right"/>
              <w:ind w:right="40"/>
              <w:spacing w:after="0"/>
              <w:rPr>
                <w:sz w:val="20"/>
                <w:szCs w:val="20"/>
                <w:color w:val="auto"/>
              </w:rPr>
            </w:pPr>
            <w:r>
              <w:rPr>
                <w:rFonts w:ascii="Arial" w:cs="Arial" w:eastAsia="Arial" w:hAnsi="Arial"/>
                <w:sz w:val="18"/>
                <w:szCs w:val="18"/>
                <w:color w:val="auto"/>
              </w:rPr>
              <w:t>(834)</w:t>
            </w: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242</w:t>
            </w:r>
          </w:p>
        </w:tc>
        <w:tc>
          <w:tcPr>
            <w:tcW w:w="0" w:type="dxa"/>
            <w:vAlign w:val="bottom"/>
          </w:tcPr>
          <w:p>
            <w:pPr>
              <w:spacing w:after="0"/>
              <w:rPr>
                <w:sz w:val="1"/>
                <w:szCs w:val="1"/>
                <w:color w:val="auto"/>
              </w:rPr>
            </w:pPr>
          </w:p>
        </w:tc>
      </w:tr>
      <w:tr>
        <w:trPr>
          <w:trHeight w:val="216"/>
        </w:trPr>
        <w:tc>
          <w:tcPr>
            <w:tcW w:w="1340" w:type="dxa"/>
            <w:vAlign w:val="bottom"/>
            <w:gridSpan w:val="3"/>
          </w:tcPr>
          <w:p>
            <w:pPr>
              <w:jc w:val="right"/>
              <w:ind w:right="40"/>
              <w:spacing w:after="0"/>
              <w:rPr>
                <w:sz w:val="20"/>
                <w:szCs w:val="20"/>
                <w:color w:val="auto"/>
              </w:rPr>
            </w:pPr>
            <w:r>
              <w:rPr>
                <w:rFonts w:ascii="Arial" w:cs="Arial" w:eastAsia="Arial" w:hAnsi="Arial"/>
                <w:sz w:val="18"/>
                <w:szCs w:val="18"/>
                <w:color w:val="auto"/>
              </w:rPr>
              <w:t>(1,924)</w:t>
            </w: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 exchange</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2"/>
          </w:tcPr>
          <w:p>
            <w:pPr>
              <w:jc w:val="right"/>
              <w:ind w:right="220"/>
              <w:spacing w:after="0"/>
              <w:rPr>
                <w:sz w:val="20"/>
                <w:szCs w:val="20"/>
                <w:color w:val="auto"/>
              </w:rPr>
            </w:pPr>
            <w:r>
              <w:rPr>
                <w:rFonts w:ascii="Arial" w:cs="Arial" w:eastAsia="Arial" w:hAnsi="Arial"/>
                <w:sz w:val="18"/>
                <w:szCs w:val="18"/>
                <w:color w:val="auto"/>
              </w:rPr>
              <w:t>7,611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40" w:type="dxa"/>
            <w:vAlign w:val="bottom"/>
            <w:gridSpan w:val="3"/>
          </w:tcPr>
          <w:p>
            <w:pPr>
              <w:jc w:val="right"/>
              <w:ind w:right="40"/>
              <w:spacing w:after="0"/>
              <w:rPr>
                <w:sz w:val="20"/>
                <w:szCs w:val="20"/>
                <w:color w:val="auto"/>
              </w:rPr>
            </w:pPr>
            <w:r>
              <w:rPr>
                <w:rFonts w:ascii="Arial" w:cs="Arial" w:eastAsia="Arial" w:hAnsi="Arial"/>
                <w:sz w:val="18"/>
                <w:szCs w:val="18"/>
                <w:color w:val="auto"/>
              </w:rPr>
              <w:t>(2,708)</w:t>
            </w: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income – securities at FVOCI</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360" w:type="dxa"/>
            <w:vAlign w:val="bottom"/>
          </w:tcPr>
          <w:p>
            <w:pPr>
              <w:jc w:val="right"/>
              <w:spacing w:after="0"/>
              <w:rPr>
                <w:sz w:val="20"/>
                <w:szCs w:val="20"/>
                <w:color w:val="auto"/>
              </w:rPr>
            </w:pPr>
            <w:r>
              <w:rPr>
                <w:rFonts w:ascii="Arial" w:cs="Arial" w:eastAsia="Arial" w:hAnsi="Arial"/>
                <w:sz w:val="18"/>
                <w:szCs w:val="18"/>
                <w:color w:val="auto"/>
              </w:rPr>
              <w:t>3,991</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expense – borrowings and debt</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580" w:type="dxa"/>
            <w:vAlign w:val="bottom"/>
            <w:gridSpan w:val="2"/>
          </w:tcPr>
          <w:p>
            <w:pPr>
              <w:jc w:val="right"/>
              <w:ind w:right="160"/>
              <w:spacing w:after="0"/>
              <w:rPr>
                <w:sz w:val="20"/>
                <w:szCs w:val="20"/>
                <w:color w:val="auto"/>
              </w:rPr>
            </w:pPr>
            <w:r>
              <w:rPr>
                <w:rFonts w:ascii="Arial" w:cs="Arial" w:eastAsia="Arial" w:hAnsi="Arial"/>
                <w:sz w:val="18"/>
                <w:szCs w:val="18"/>
                <w:color w:val="auto"/>
              </w:rPr>
              <w:t>(190)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7"/>
        </w:trPr>
        <w:tc>
          <w:tcPr>
            <w:tcW w:w="1200" w:type="dxa"/>
            <w:vAlign w:val="bottom"/>
            <w:tcBorders>
              <w:bottom w:val="single" w:sz="8" w:color="auto"/>
            </w:tcBorders>
          </w:tcPr>
          <w:p>
            <w:pPr>
              <w:spacing w:after="0"/>
              <w:rPr>
                <w:sz w:val="20"/>
                <w:szCs w:val="20"/>
                <w:color w:val="auto"/>
              </w:rPr>
            </w:pPr>
          </w:p>
        </w:tc>
        <w:tc>
          <w:tcPr>
            <w:tcW w:w="140" w:type="dxa"/>
            <w:vAlign w:val="bottom"/>
            <w:gridSpan w:val="2"/>
            <w:vMerge w:val="restart"/>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 exchange</w:t>
            </w:r>
          </w:p>
        </w:tc>
        <w:tc>
          <w:tcPr>
            <w:tcW w:w="136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(5,466</w:t>
            </w:r>
          </w:p>
        </w:tc>
        <w:tc>
          <w:tcPr>
            <w:tcW w:w="140" w:type="dxa"/>
            <w:vAlign w:val="bottom"/>
            <w:gridSpan w:val="2"/>
            <w:vMerge w:val="continue"/>
          </w:tcPr>
          <w:p>
            <w:pPr>
              <w:spacing w:after="0"/>
              <w:rPr>
                <w:sz w:val="19"/>
                <w:szCs w:val="19"/>
                <w:color w:val="auto"/>
              </w:rPr>
            </w:pPr>
          </w:p>
        </w:tc>
        <w:tc>
          <w:tcPr>
            <w:tcW w:w="8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11,412</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2"/>
        </w:trPr>
        <w:tc>
          <w:tcPr>
            <w:tcW w:w="1340" w:type="dxa"/>
            <w:vAlign w:val="bottom"/>
            <w:gridSpan w:val="3"/>
          </w:tcPr>
          <w:p>
            <w:pPr>
              <w:jc w:val="right"/>
              <w:ind w:right="40"/>
              <w:spacing w:after="0"/>
              <w:rPr>
                <w:sz w:val="20"/>
                <w:szCs w:val="20"/>
                <w:color w:val="auto"/>
              </w:rPr>
            </w:pPr>
            <w:r>
              <w:rPr>
                <w:rFonts w:ascii="Arial" w:cs="Arial" w:eastAsia="Arial" w:hAnsi="Arial"/>
                <w:sz w:val="18"/>
                <w:szCs w:val="18"/>
                <w:color w:val="auto"/>
              </w:rPr>
              <w:t>(277)</w:t>
            </w:r>
          </w:p>
        </w:tc>
        <w:tc>
          <w:tcPr>
            <w:tcW w:w="80" w:type="dxa"/>
            <w:vAlign w:val="bottom"/>
          </w:tcPr>
          <w:p>
            <w:pPr>
              <w:spacing w:after="0"/>
              <w:rPr>
                <w:sz w:val="24"/>
                <w:szCs w:val="24"/>
                <w:color w:val="auto"/>
              </w:rPr>
            </w:pPr>
          </w:p>
        </w:tc>
        <w:tc>
          <w:tcPr>
            <w:tcW w:w="3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22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(277</w:t>
            </w:r>
          </w:p>
        </w:tc>
        <w:tc>
          <w:tcPr>
            <w:tcW w:w="120" w:type="dxa"/>
            <w:vAlign w:val="bottom"/>
          </w:tcPr>
          <w:p>
            <w:pPr>
              <w:jc w:val="right"/>
              <w:ind w:right="40"/>
              <w:spacing w:after="0"/>
              <w:rPr>
                <w:sz w:val="20"/>
                <w:szCs w:val="20"/>
                <w:color w:val="auto"/>
              </w:rPr>
            </w:pPr>
            <w:r>
              <w:rPr>
                <w:rFonts w:ascii="Arial" w:cs="Arial" w:eastAsia="Arial" w:hAnsi="Arial"/>
                <w:sz w:val="8"/>
                <w:szCs w:val="8"/>
                <w:b w:val="1"/>
                <w:bCs w:val="1"/>
                <w:color w:val="auto"/>
                <w:w w:val="73"/>
              </w:rPr>
              <w:t>)</w:t>
            </w:r>
          </w:p>
        </w:tc>
        <w:tc>
          <w:tcPr>
            <w:tcW w:w="8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360" w:type="dxa"/>
            <w:vAlign w:val="bottom"/>
            <w:gridSpan w:val="2"/>
            <w:vMerge w:val="restart"/>
          </w:tcPr>
          <w:p>
            <w:pPr>
              <w:ind w:left="520"/>
              <w:spacing w:after="0"/>
              <w:rPr>
                <w:sz w:val="20"/>
                <w:szCs w:val="20"/>
                <w:color w:val="auto"/>
              </w:rPr>
            </w:pPr>
            <w:r>
              <w:rPr>
                <w:rFonts w:ascii="Arial" w:cs="Arial" w:eastAsia="Arial" w:hAnsi="Arial"/>
                <w:sz w:val="18"/>
                <w:szCs w:val="18"/>
                <w:color w:val="auto"/>
              </w:rPr>
              <w:t>F-51</w:t>
            </w:r>
          </w:p>
        </w:tc>
        <w:tc>
          <w:tcPr>
            <w:tcW w:w="13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360" w:type="dxa"/>
            <w:vAlign w:val="bottom"/>
            <w:gridSpan w:val="2"/>
            <w:vMerge w:val="continue"/>
          </w:tcPr>
          <w:p>
            <w:pPr>
              <w:spacing w:after="0"/>
              <w:rPr>
                <w:sz w:val="24"/>
                <w:szCs w:val="24"/>
                <w:color w:val="auto"/>
              </w:rPr>
            </w:pPr>
          </w:p>
        </w:tc>
        <w:tc>
          <w:tcPr>
            <w:tcW w:w="1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-2087245</wp:posOffset>
            </wp:positionH>
            <wp:positionV relativeFrom="paragraph">
              <wp:posOffset>-2306320</wp:posOffset>
            </wp:positionV>
            <wp:extent cx="6955155" cy="14605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-2023110</wp:posOffset>
            </wp:positionV>
            <wp:extent cx="6955155" cy="13716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7">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-1748790</wp:posOffset>
            </wp:positionV>
            <wp:extent cx="6955155" cy="13716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8">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-1474470</wp:posOffset>
            </wp:positionV>
            <wp:extent cx="6955155" cy="13716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9">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-1200150</wp:posOffset>
            </wp:positionV>
            <wp:extent cx="6955155" cy="14605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70">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-891540</wp:posOffset>
            </wp:positionV>
            <wp:extent cx="6955155" cy="154305"/>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71">
                      <a:extLst>
                        <a:ext uri="{28A0092B-C50C-407E-A947-70E740481C1C}"/>
                      </a:extLst>
                    </a:blip>
                    <a:srcRect/>
                    <a:stretch>
                      <a:fillRect/>
                    </a:stretch>
                  </pic:blipFill>
                  <pic:spPr bwMode="auto">
                    <a:xfrm>
                      <a:off x="0" y="0"/>
                      <a:ext cx="6955155" cy="154305"/>
                    </a:xfrm>
                    <a:prstGeom prst="rect">
                      <a:avLst/>
                    </a:prstGeom>
                    <a:noFill/>
                  </pic:spPr>
                </pic:pic>
              </a:graphicData>
            </a:graphic>
          </wp:anchor>
        </w:drawing>
        <w:drawing>
          <wp:anchor simplePos="0" relativeHeight="251657728" behindDoc="1" locked="0" layoutInCell="0" allowOverlap="1">
            <wp:simplePos x="0" y="0"/>
            <wp:positionH relativeFrom="column">
              <wp:posOffset>-2087245</wp:posOffset>
            </wp:positionH>
            <wp:positionV relativeFrom="paragraph">
              <wp:posOffset>-599440</wp:posOffset>
            </wp:positionV>
            <wp:extent cx="6955155" cy="14605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2">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-2292985</wp:posOffset>
            </wp:positionH>
            <wp:positionV relativeFrom="paragraph">
              <wp:posOffset>8890</wp:posOffset>
            </wp:positionV>
            <wp:extent cx="7246620" cy="889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2">
            <w:col w:w="3020" w:space="600"/>
            <w:col w:w="7780"/>
          </w:cols>
          <w:pgMar w:left="240" w:top="689" w:right="259" w:bottom="1440" w:gutter="0" w:footer="0" w:header="0"/>
          <w:type w:val="continuous"/>
        </w:sectPr>
      </w:pPr>
    </w:p>
    <w:bookmarkStart w:id="173" w:name="page174"/>
    <w:bookmarkEnd w:id="17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7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5.6 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2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3360" w:type="dxa"/>
            <w:vAlign w:val="bottom"/>
            <w:tcBorders>
              <w:bottom w:val="single" w:sz="8" w:color="auto"/>
            </w:tcBorders>
            <w:gridSpan w:val="2"/>
          </w:tcPr>
          <w:p>
            <w:pPr>
              <w:ind w:left="1640"/>
              <w:spacing w:after="0"/>
              <w:rPr>
                <w:sz w:val="20"/>
                <w:szCs w:val="20"/>
                <w:color w:val="auto"/>
              </w:rPr>
            </w:pPr>
            <w:r>
              <w:rPr>
                <w:rFonts w:ascii="Arial" w:cs="Arial" w:eastAsia="Arial" w:hAnsi="Arial"/>
                <w:sz w:val="18"/>
                <w:szCs w:val="18"/>
                <w:b w:val="1"/>
                <w:bCs w:val="1"/>
                <w:color w:val="auto"/>
              </w:rPr>
              <w:t>December 31, 2016</w:t>
            </w:r>
          </w:p>
        </w:tc>
        <w:tc>
          <w:tcPr>
            <w:tcW w:w="13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2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3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5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Gain (loss)</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accumulated OCI</w:t>
            </w:r>
          </w:p>
        </w:tc>
        <w:tc>
          <w:tcPr>
            <w:tcW w:w="130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34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to the</w:t>
            </w:r>
          </w:p>
        </w:tc>
        <w:tc>
          <w:tcPr>
            <w:tcW w:w="130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6"/>
              </w:rPr>
              <w:t>recognized on</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34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derivatives</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34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94"/>
              </w:rPr>
              <w:t>OCI (effective</w:t>
            </w:r>
          </w:p>
        </w:tc>
        <w:tc>
          <w:tcPr>
            <w:tcW w:w="80" w:type="dxa"/>
            <w:vAlign w:val="bottom"/>
          </w:tcPr>
          <w:p>
            <w:pPr>
              <w:spacing w:after="0"/>
              <w:rPr>
                <w:sz w:val="18"/>
                <w:szCs w:val="18"/>
                <w:color w:val="auto"/>
              </w:rPr>
            </w:pPr>
          </w:p>
        </w:tc>
        <w:tc>
          <w:tcPr>
            <w:tcW w:w="3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Classification of gain</w:t>
            </w:r>
          </w:p>
        </w:tc>
        <w:tc>
          <w:tcPr>
            <w:tcW w:w="15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statement of</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(ineffective</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280" w:type="dxa"/>
            <w:vAlign w:val="bottom"/>
          </w:tcPr>
          <w:p>
            <w:pPr>
              <w:spacing w:after="0"/>
              <w:rPr>
                <w:sz w:val="20"/>
                <w:szCs w:val="20"/>
                <w:color w:val="auto"/>
              </w:rPr>
            </w:pPr>
          </w:p>
        </w:tc>
        <w:tc>
          <w:tcPr>
            <w:tcW w:w="134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91"/>
              </w:rPr>
              <w:t>portion)</w:t>
            </w:r>
          </w:p>
        </w:tc>
        <w:tc>
          <w:tcPr>
            <w:tcW w:w="80" w:type="dxa"/>
            <w:vAlign w:val="bottom"/>
          </w:tcPr>
          <w:p>
            <w:pPr>
              <w:spacing w:after="0"/>
              <w:rPr>
                <w:sz w:val="20"/>
                <w:szCs w:val="20"/>
                <w:color w:val="auto"/>
              </w:rPr>
            </w:pPr>
          </w:p>
        </w:tc>
        <w:tc>
          <w:tcPr>
            <w:tcW w:w="33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3"/>
              </w:rPr>
              <w:t>(loss)</w:t>
            </w: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profit or loss</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portion)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2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2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32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20"/>
                <w:szCs w:val="20"/>
                <w:color w:val="auto"/>
              </w:rPr>
            </w:pPr>
            <w:r>
              <w:rPr>
                <w:rFonts w:ascii="Arial" w:cs="Arial" w:eastAsia="Arial" w:hAnsi="Arial"/>
                <w:sz w:val="18"/>
                <w:szCs w:val="18"/>
                <w:color w:val="auto"/>
              </w:rPr>
              <w:t>Interest rate swaps</w:t>
            </w:r>
          </w:p>
        </w:tc>
        <w:tc>
          <w:tcPr>
            <w:tcW w:w="1340" w:type="dxa"/>
            <w:vAlign w:val="bottom"/>
            <w:gridSpan w:val="2"/>
          </w:tcPr>
          <w:p>
            <w:pPr>
              <w:jc w:val="right"/>
              <w:ind w:right="60"/>
              <w:spacing w:after="0"/>
              <w:rPr>
                <w:sz w:val="20"/>
                <w:szCs w:val="20"/>
                <w:color w:val="auto"/>
              </w:rPr>
            </w:pPr>
            <w:r>
              <w:rPr>
                <w:rFonts w:ascii="Arial" w:cs="Arial" w:eastAsia="Arial" w:hAnsi="Arial"/>
                <w:sz w:val="18"/>
                <w:szCs w:val="18"/>
                <w:color w:val="auto"/>
              </w:rPr>
              <w:t>627</w:t>
            </w: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(1,258)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(1,299)</w:t>
            </w:r>
          </w:p>
        </w:tc>
        <w:tc>
          <w:tcPr>
            <w:tcW w:w="344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Gain (loss) on foreign currency exchange</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(110)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233</w:t>
            </w:r>
          </w:p>
        </w:tc>
        <w:tc>
          <w:tcPr>
            <w:tcW w:w="344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Interest income – securities at FVOCI</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2"/>
          </w:tcPr>
          <w:p>
            <w:pPr>
              <w:jc w:val="right"/>
              <w:ind w:right="160"/>
              <w:spacing w:after="0"/>
              <w:rPr>
                <w:sz w:val="20"/>
                <w:szCs w:val="20"/>
                <w:color w:val="auto"/>
              </w:rPr>
            </w:pPr>
            <w:r>
              <w:rPr>
                <w:rFonts w:ascii="Arial" w:cs="Arial" w:eastAsia="Arial" w:hAnsi="Arial"/>
                <w:sz w:val="18"/>
                <w:szCs w:val="18"/>
                <w:color w:val="auto"/>
              </w:rPr>
              <w:t>(4,751)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344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Interest expense – borrowings and debt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44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360" w:type="dxa"/>
            <w:vAlign w:val="bottom"/>
          </w:tcPr>
          <w:p>
            <w:pPr>
              <w:jc w:val="right"/>
              <w:spacing w:after="0"/>
              <w:rPr>
                <w:sz w:val="20"/>
                <w:szCs w:val="20"/>
                <w:color w:val="auto"/>
              </w:rPr>
            </w:pPr>
            <w:r>
              <w:rPr>
                <w:rFonts w:ascii="Arial" w:cs="Arial" w:eastAsia="Arial" w:hAnsi="Arial"/>
                <w:sz w:val="18"/>
                <w:szCs w:val="18"/>
                <w:color w:val="auto"/>
              </w:rPr>
              <w:t>1,672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28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344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Gain (loss) on foreign currency exchange</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9,097</w:t>
            </w:r>
          </w:p>
        </w:tc>
        <w:tc>
          <w:tcPr>
            <w:tcW w:w="22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328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Total</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(439</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324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6,018</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(1,352</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2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2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80" w:type="dxa"/>
            <w:vAlign w:val="bottom"/>
          </w:tcPr>
          <w:p>
            <w:pPr>
              <w:ind w:left="20"/>
              <w:spacing w:after="0"/>
              <w:rPr>
                <w:sz w:val="20"/>
                <w:szCs w:val="20"/>
                <w:color w:val="auto"/>
              </w:rPr>
            </w:pPr>
            <w:r>
              <w:rPr>
                <w:rFonts w:ascii="Arial" w:cs="Arial" w:eastAsia="Arial" w:hAnsi="Arial"/>
                <w:sz w:val="18"/>
                <w:szCs w:val="18"/>
                <w:b w:val="1"/>
                <w:bCs w:val="1"/>
                <w:color w:val="auto"/>
              </w:rPr>
              <w:t>Derivatives – net investment hedge</w:t>
            </w: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28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2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28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2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360" w:type="dxa"/>
            <w:vAlign w:val="bottom"/>
            <w:gridSpan w:val="2"/>
            <w:vMerge w:val="restart"/>
          </w:tcPr>
          <w:p>
            <w:pPr>
              <w:ind w:left="520"/>
              <w:spacing w:after="0"/>
              <w:rPr>
                <w:sz w:val="20"/>
                <w:szCs w:val="20"/>
                <w:color w:val="auto"/>
              </w:rPr>
            </w:pPr>
            <w:r>
              <w:rPr>
                <w:rFonts w:ascii="Arial" w:cs="Arial" w:eastAsia="Arial" w:hAnsi="Arial"/>
                <w:sz w:val="18"/>
                <w:szCs w:val="18"/>
                <w:color w:val="auto"/>
              </w:rPr>
              <w:t>F-52</w:t>
            </w:r>
          </w:p>
        </w:tc>
        <w:tc>
          <w:tcPr>
            <w:tcW w:w="13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32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360" w:type="dxa"/>
            <w:vAlign w:val="bottom"/>
            <w:tcBorders>
              <w:bottom w:val="single" w:sz="8" w:color="auto"/>
            </w:tcBorders>
            <w:gridSpan w:val="2"/>
            <w:vMerge w:val="continue"/>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9" w:right="239" w:bottom="1440" w:gutter="0" w:footer="0" w:header="0"/>
        </w:sectPr>
      </w:pPr>
    </w:p>
    <w:bookmarkStart w:id="174" w:name="page175"/>
    <w:bookmarkEnd w:id="17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0" w:lineRule="exact"/>
        <w:rPr>
          <w:sz w:val="20"/>
          <w:szCs w:val="20"/>
          <w:color w:val="auto"/>
        </w:rPr>
      </w:pPr>
    </w:p>
    <w:p>
      <w:pPr>
        <w:ind w:left="540" w:hanging="316"/>
        <w:spacing w:after="0"/>
        <w:tabs>
          <w:tab w:leader="none" w:pos="540" w:val="left"/>
        </w:tabs>
        <w:numPr>
          <w:ilvl w:val="0"/>
          <w:numId w:val="17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5.6 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340" w:type="dxa"/>
            <w:vAlign w:val="bottom"/>
            <w:tcBorders>
              <w:bottom w:val="single" w:sz="8" w:color="auto"/>
            </w:tcBorders>
            <w:gridSpan w:val="2"/>
          </w:tcPr>
          <w:p>
            <w:pPr>
              <w:ind w:left="1620"/>
              <w:spacing w:after="0"/>
              <w:rPr>
                <w:sz w:val="20"/>
                <w:szCs w:val="20"/>
                <w:color w:val="auto"/>
              </w:rPr>
            </w:pPr>
            <w:r>
              <w:rPr>
                <w:rFonts w:ascii="Arial" w:cs="Arial" w:eastAsia="Arial" w:hAnsi="Arial"/>
                <w:sz w:val="18"/>
                <w:szCs w:val="18"/>
                <w:b w:val="1"/>
                <w:bCs w:val="1"/>
                <w:color w:val="auto"/>
              </w:rPr>
              <w:t>December 31, 2015</w:t>
            </w:r>
          </w:p>
        </w:tc>
        <w:tc>
          <w:tcPr>
            <w:tcW w:w="13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3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5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Gain (loss)</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reclassified from</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accumulated OCI</w:t>
            </w:r>
          </w:p>
        </w:tc>
        <w:tc>
          <w:tcPr>
            <w:tcW w:w="130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0"/>
              </w:rPr>
              <w:t>Gain (loss)</w:t>
            </w: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to the</w:t>
            </w:r>
          </w:p>
        </w:tc>
        <w:tc>
          <w:tcPr>
            <w:tcW w:w="130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6"/>
              </w:rPr>
              <w:t>recognized on</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14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recognized in</w:t>
            </w: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derivatives</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OCI (effective</w:t>
            </w:r>
          </w:p>
        </w:tc>
        <w:tc>
          <w:tcPr>
            <w:tcW w:w="3340" w:type="dxa"/>
            <w:vAlign w:val="bottom"/>
            <w:gridSpan w:val="2"/>
          </w:tcPr>
          <w:p>
            <w:pPr>
              <w:ind w:left="980"/>
              <w:spacing w:after="0"/>
              <w:rPr>
                <w:sz w:val="20"/>
                <w:szCs w:val="20"/>
                <w:color w:val="auto"/>
              </w:rPr>
            </w:pPr>
            <w:r>
              <w:rPr>
                <w:rFonts w:ascii="Arial" w:cs="Arial" w:eastAsia="Arial" w:hAnsi="Arial"/>
                <w:sz w:val="18"/>
                <w:szCs w:val="18"/>
                <w:b w:val="1"/>
                <w:bCs w:val="1"/>
                <w:color w:val="auto"/>
              </w:rPr>
              <w:t>Classification of</w:t>
            </w:r>
          </w:p>
        </w:tc>
        <w:tc>
          <w:tcPr>
            <w:tcW w:w="15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statement of</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(ineffective</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4"/>
              </w:rPr>
              <w:t>portion)</w:t>
            </w:r>
          </w:p>
        </w:tc>
        <w:tc>
          <w:tcPr>
            <w:tcW w:w="3340" w:type="dxa"/>
            <w:vAlign w:val="bottom"/>
            <w:gridSpan w:val="2"/>
          </w:tcPr>
          <w:p>
            <w:pPr>
              <w:ind w:left="1220"/>
              <w:spacing w:after="0"/>
              <w:rPr>
                <w:sz w:val="20"/>
                <w:szCs w:val="20"/>
                <w:color w:val="auto"/>
              </w:rPr>
            </w:pPr>
            <w:r>
              <w:rPr>
                <w:rFonts w:ascii="Arial" w:cs="Arial" w:eastAsia="Arial" w:hAnsi="Arial"/>
                <w:sz w:val="18"/>
                <w:szCs w:val="18"/>
                <w:b w:val="1"/>
                <w:bCs w:val="1"/>
                <w:color w:val="auto"/>
              </w:rPr>
              <w:t>gain (loss)</w:t>
            </w: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profit or loss</w:t>
            </w:r>
          </w:p>
        </w:tc>
        <w:tc>
          <w:tcPr>
            <w:tcW w:w="13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portion)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32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35</w:t>
            </w:r>
          </w:p>
        </w:tc>
        <w:tc>
          <w:tcPr>
            <w:tcW w:w="3340" w:type="dxa"/>
            <w:vAlign w:val="bottom"/>
            <w:gridSpan w:val="2"/>
          </w:tcPr>
          <w:p>
            <w:pPr>
              <w:spacing w:after="0"/>
              <w:rPr>
                <w:sz w:val="20"/>
                <w:szCs w:val="20"/>
                <w:color w:val="auto"/>
              </w:rPr>
            </w:pPr>
            <w:r>
              <w:rPr>
                <w:rFonts w:ascii="Arial" w:cs="Arial" w:eastAsia="Arial" w:hAnsi="Arial"/>
                <w:sz w:val="18"/>
                <w:szCs w:val="18"/>
                <w:color w:val="auto"/>
              </w:rPr>
              <w:t>Gain (loss) on interest rate swap</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(229)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5,367</w:t>
            </w:r>
          </w:p>
        </w:tc>
        <w:tc>
          <w:tcPr>
            <w:tcW w:w="3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Gain (loss) on foreign exchange</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3,511</w:t>
            </w:r>
          </w:p>
        </w:tc>
        <w:tc>
          <w:tcPr>
            <w:tcW w:w="3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5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580" w:type="dxa"/>
            <w:vAlign w:val="bottom"/>
            <w:gridSpan w:val="2"/>
          </w:tcPr>
          <w:p>
            <w:pPr>
              <w:jc w:val="right"/>
              <w:ind w:right="160"/>
              <w:spacing w:after="0"/>
              <w:rPr>
                <w:sz w:val="20"/>
                <w:szCs w:val="20"/>
                <w:color w:val="auto"/>
              </w:rPr>
            </w:pPr>
            <w:r>
              <w:rPr>
                <w:rFonts w:ascii="Arial" w:cs="Arial" w:eastAsia="Arial" w:hAnsi="Arial"/>
                <w:sz w:val="18"/>
                <w:szCs w:val="18"/>
                <w:color w:val="auto"/>
              </w:rPr>
              <w:t>(1,821)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expense – borrowings and debt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40" w:type="dxa"/>
            <w:vAlign w:val="bottom"/>
            <w:gridSpan w:val="2"/>
          </w:tcPr>
          <w:p>
            <w:pPr>
              <w:spacing w:after="0"/>
              <w:rPr>
                <w:sz w:val="20"/>
                <w:szCs w:val="20"/>
                <w:color w:val="auto"/>
              </w:rPr>
            </w:pPr>
            <w:r>
              <w:rPr>
                <w:rFonts w:ascii="Arial" w:cs="Arial" w:eastAsia="Arial" w:hAnsi="Arial"/>
                <w:sz w:val="18"/>
                <w:szCs w:val="18"/>
                <w:color w:val="auto"/>
              </w:rPr>
              <w:t>Interest expenses – deposits</w:t>
            </w:r>
          </w:p>
        </w:tc>
        <w:tc>
          <w:tcPr>
            <w:tcW w:w="1580" w:type="dxa"/>
            <w:vAlign w:val="bottom"/>
            <w:gridSpan w:val="2"/>
          </w:tcPr>
          <w:p>
            <w:pPr>
              <w:jc w:val="right"/>
              <w:ind w:right="220"/>
              <w:spacing w:after="0"/>
              <w:rPr>
                <w:sz w:val="20"/>
                <w:szCs w:val="20"/>
                <w:color w:val="auto"/>
              </w:rPr>
            </w:pPr>
            <w:r>
              <w:rPr>
                <w:rFonts w:ascii="Arial" w:cs="Arial" w:eastAsia="Arial" w:hAnsi="Arial"/>
                <w:sz w:val="18"/>
                <w:szCs w:val="18"/>
                <w:color w:val="auto"/>
              </w:rPr>
              <w:t>166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30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3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Gain (loss) on foreign currency exchange</w:t>
            </w:r>
          </w:p>
        </w:tc>
        <w:tc>
          <w:tcPr>
            <w:tcW w:w="1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12,539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330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8,913</w:t>
            </w:r>
          </w:p>
        </w:tc>
        <w:tc>
          <w:tcPr>
            <w:tcW w:w="220" w:type="dxa"/>
            <w:vAlign w:val="bottom"/>
            <w:tcBorders>
              <w:bottom w:val="single" w:sz="8" w:color="CCEEFF"/>
            </w:tcBorders>
          </w:tcPr>
          <w:p>
            <w:pPr>
              <w:spacing w:after="0"/>
              <w:rPr>
                <w:sz w:val="22"/>
                <w:szCs w:val="22"/>
                <w:color w:val="auto"/>
              </w:rPr>
            </w:pPr>
          </w:p>
        </w:tc>
        <w:tc>
          <w:tcPr>
            <w:tcW w:w="322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10,190</w:t>
            </w:r>
          </w:p>
        </w:tc>
        <w:tc>
          <w:tcPr>
            <w:tcW w:w="220" w:type="dxa"/>
            <w:vAlign w:val="bottom"/>
            <w:tcBorders>
              <w:bottom w:val="single" w:sz="8" w:color="CCEEFF"/>
            </w:tcBorders>
          </w:tcPr>
          <w:p>
            <w:pPr>
              <w:spacing w:after="0"/>
              <w:rPr>
                <w:sz w:val="22"/>
                <w:szCs w:val="22"/>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(145</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3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3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ind w:left="20"/>
              <w:spacing w:after="0"/>
              <w:rPr>
                <w:sz w:val="20"/>
                <w:szCs w:val="20"/>
                <w:color w:val="auto"/>
              </w:rPr>
            </w:pPr>
            <w:r>
              <w:rPr>
                <w:rFonts w:ascii="Arial" w:cs="Arial" w:eastAsia="Arial" w:hAnsi="Arial"/>
                <w:sz w:val="18"/>
                <w:szCs w:val="18"/>
                <w:b w:val="1"/>
                <w:bCs w:val="1"/>
                <w:color w:val="auto"/>
              </w:rPr>
              <w:t>Derivatives – net investment hedge</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30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(901)</w:t>
            </w:r>
          </w:p>
        </w:tc>
        <w:tc>
          <w:tcPr>
            <w:tcW w:w="32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30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(901</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3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3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340" w:type="dxa"/>
            <w:vAlign w:val="bottom"/>
            <w:gridSpan w:val="2"/>
            <w:vMerge w:val="restart"/>
          </w:tcPr>
          <w:p>
            <w:pPr>
              <w:ind w:left="500"/>
              <w:spacing w:after="0"/>
              <w:rPr>
                <w:sz w:val="20"/>
                <w:szCs w:val="20"/>
                <w:color w:val="auto"/>
              </w:rPr>
            </w:pPr>
            <w:r>
              <w:rPr>
                <w:rFonts w:ascii="Arial" w:cs="Arial" w:eastAsia="Arial" w:hAnsi="Arial"/>
                <w:sz w:val="18"/>
                <w:szCs w:val="18"/>
                <w:color w:val="auto"/>
              </w:rPr>
              <w:t>F-53</w:t>
            </w:r>
          </w:p>
        </w:tc>
        <w:tc>
          <w:tcPr>
            <w:tcW w:w="13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33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340" w:type="dxa"/>
            <w:vAlign w:val="bottom"/>
            <w:tcBorders>
              <w:bottom w:val="single" w:sz="8" w:color="auto"/>
            </w:tcBorders>
            <w:gridSpan w:val="2"/>
            <w:vMerge w:val="continue"/>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9" w:right="239" w:bottom="1440" w:gutter="0" w:footer="0" w:header="0"/>
        </w:sectPr>
      </w:pPr>
    </w:p>
    <w:bookmarkStart w:id="175" w:name="page176"/>
    <w:bookmarkEnd w:id="17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40" w:hanging="316"/>
        <w:spacing w:after="0"/>
        <w:tabs>
          <w:tab w:leader="none" w:pos="540" w:val="left"/>
        </w:tabs>
        <w:numPr>
          <w:ilvl w:val="0"/>
          <w:numId w:val="17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5.6 Derivative financial instruments for hedging purposes (continued)</w:t>
      </w:r>
    </w:p>
    <w:p>
      <w:pPr>
        <w:spacing w:after="0" w:line="229" w:lineRule="exact"/>
        <w:rPr>
          <w:sz w:val="20"/>
          <w:szCs w:val="20"/>
          <w:color w:val="auto"/>
        </w:rPr>
      </w:pPr>
    </w:p>
    <w:p>
      <w:pPr>
        <w:ind w:left="340" w:right="100"/>
        <w:spacing w:after="0" w:line="277" w:lineRule="auto"/>
        <w:rPr>
          <w:sz w:val="20"/>
          <w:szCs w:val="20"/>
          <w:color w:val="auto"/>
        </w:rPr>
      </w:pPr>
      <w:r>
        <w:rPr>
          <w:rFonts w:ascii="Arial" w:cs="Arial" w:eastAsia="Arial" w:hAnsi="Arial"/>
          <w:sz w:val="18"/>
          <w:szCs w:val="18"/>
          <w:color w:val="auto"/>
        </w:rPr>
        <w:t>The Bank recognized in the consolidated statement of profit or loss the gain (loss) on derivative financial instruments and the gain (loss) of the hedged asset or liability related to qualifying fair value hedges, as follows:</w:t>
      </w:r>
    </w:p>
    <w:p>
      <w:pPr>
        <w:sectPr>
          <w:pgSz w:w="11900" w:h="16838" w:orient="portrait"/>
          <w:cols w:equalWidth="0" w:num="1">
            <w:col w:w="11280"/>
          </w:cols>
          <w:pgMar w:left="240" w:top="688" w:right="3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340" w:right="400" w:firstLine="18"/>
        <w:spacing w:after="0" w:line="282" w:lineRule="auto"/>
        <w:rPr>
          <w:sz w:val="20"/>
          <w:szCs w:val="20"/>
          <w:color w:val="auto"/>
        </w:rPr>
      </w:pPr>
      <w:r>
        <w:rPr>
          <w:rFonts w:ascii="Arial" w:cs="Arial" w:eastAsia="Arial" w:hAnsi="Arial"/>
          <w:sz w:val="18"/>
          <w:szCs w:val="18"/>
          <w:b w:val="1"/>
          <w:bCs w:val="1"/>
          <w:color w:val="auto"/>
        </w:rPr>
        <w:t xml:space="preserve">Derivatives – fair value hedge </w:t>
      </w:r>
      <w:r>
        <w:rPr>
          <w:rFonts w:ascii="Arial" w:cs="Arial" w:eastAsia="Arial" w:hAnsi="Arial"/>
          <w:sz w:val="18"/>
          <w:szCs w:val="18"/>
          <w:color w:val="auto"/>
        </w:rPr>
        <w:t>Interest rate swaps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00" w:lineRule="exact"/>
        <w:rPr>
          <w:sz w:val="20"/>
          <w:szCs w:val="20"/>
          <w:color w:val="auto"/>
        </w:rPr>
      </w:pPr>
    </w:p>
    <w:p>
      <w:pPr>
        <w:spacing w:after="0" w:line="25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left="340" w:right="400" w:firstLine="18"/>
        <w:spacing w:after="0" w:line="282" w:lineRule="auto"/>
        <w:rPr>
          <w:sz w:val="20"/>
          <w:szCs w:val="20"/>
          <w:color w:val="auto"/>
        </w:rPr>
      </w:pPr>
      <w:r>
        <w:rPr>
          <w:rFonts w:ascii="Arial" w:cs="Arial" w:eastAsia="Arial" w:hAnsi="Arial"/>
          <w:sz w:val="18"/>
          <w:szCs w:val="18"/>
          <w:b w:val="1"/>
          <w:bCs w:val="1"/>
          <w:color w:val="auto"/>
        </w:rPr>
        <w:t xml:space="preserve">Derivatives – fair value hedge </w:t>
      </w:r>
      <w:r>
        <w:rPr>
          <w:rFonts w:ascii="Arial" w:cs="Arial" w:eastAsia="Arial" w:hAnsi="Arial"/>
          <w:sz w:val="18"/>
          <w:szCs w:val="18"/>
          <w:color w:val="auto"/>
        </w:rPr>
        <w:t>Interest rate swaps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00" w:lineRule="exact"/>
        <w:rPr>
          <w:sz w:val="20"/>
          <w:szCs w:val="20"/>
          <w:color w:val="auto"/>
        </w:rPr>
      </w:pPr>
    </w:p>
    <w:p>
      <w:pPr>
        <w:spacing w:after="0" w:line="25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3040"/>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0" w:type="dxa"/>
            <w:vAlign w:val="bottom"/>
            <w:tcBorders>
              <w:top w:val="single" w:sz="8" w:color="auto"/>
            </w:tcBorders>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consolidated statement</w:t>
            </w: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Gain (loss) on</w:t>
            </w: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89"/>
              </w:rPr>
              <w:t>Gain (loss) on</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3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of profit or loss</w:t>
            </w:r>
          </w:p>
        </w:tc>
        <w:tc>
          <w:tcPr>
            <w:tcW w:w="10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hedge item</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0"/>
              </w:rPr>
              <w:t>Net gain (loss)</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1"/>
        </w:trPr>
        <w:tc>
          <w:tcPr>
            <w:tcW w:w="3400" w:type="dxa"/>
            <w:vAlign w:val="bottom"/>
            <w:gridSpan w:val="2"/>
          </w:tcPr>
          <w:p>
            <w:pPr>
              <w:spacing w:after="0"/>
              <w:rPr>
                <w:sz w:val="20"/>
                <w:szCs w:val="20"/>
                <w:color w:val="auto"/>
              </w:rPr>
            </w:pPr>
            <w:r>
              <w:rPr>
                <w:rFonts w:ascii="Arial" w:cs="Arial" w:eastAsia="Arial" w:hAnsi="Arial"/>
                <w:sz w:val="18"/>
                <w:szCs w:val="18"/>
                <w:color w:val="auto"/>
              </w:rPr>
              <w:t>Interest income – securities at FVOCI</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(126)</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476</w:t>
            </w:r>
          </w:p>
        </w:tc>
        <w:tc>
          <w:tcPr>
            <w:tcW w:w="1200" w:type="dxa"/>
            <w:vAlign w:val="bottom"/>
          </w:tcPr>
          <w:p>
            <w:pPr>
              <w:jc w:val="right"/>
              <w:spacing w:after="0"/>
              <w:rPr>
                <w:sz w:val="20"/>
                <w:szCs w:val="20"/>
                <w:color w:val="auto"/>
              </w:rPr>
            </w:pPr>
            <w:r>
              <w:rPr>
                <w:rFonts w:ascii="Arial" w:cs="Arial" w:eastAsia="Arial" w:hAnsi="Arial"/>
                <w:sz w:val="18"/>
                <w:szCs w:val="18"/>
                <w:color w:val="auto"/>
              </w:rPr>
              <w:t>350</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40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(12)</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160</w:t>
            </w:r>
          </w:p>
        </w:tc>
        <w:tc>
          <w:tcPr>
            <w:tcW w:w="1200" w:type="dxa"/>
            <w:vAlign w:val="bottom"/>
          </w:tcPr>
          <w:p>
            <w:pPr>
              <w:jc w:val="right"/>
              <w:spacing w:after="0"/>
              <w:rPr>
                <w:sz w:val="20"/>
                <w:szCs w:val="20"/>
                <w:color w:val="auto"/>
              </w:rPr>
            </w:pPr>
            <w:r>
              <w:rPr>
                <w:rFonts w:ascii="Arial" w:cs="Arial" w:eastAsia="Arial" w:hAnsi="Arial"/>
                <w:sz w:val="18"/>
                <w:szCs w:val="18"/>
                <w:color w:val="auto"/>
              </w:rPr>
              <w:t>148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1,387</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(16,233)</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(14,846)</w:t>
            </w:r>
          </w:p>
        </w:tc>
        <w:tc>
          <w:tcPr>
            <w:tcW w:w="0" w:type="dxa"/>
            <w:vAlign w:val="bottom"/>
          </w:tcPr>
          <w:p>
            <w:pPr>
              <w:spacing w:after="0"/>
              <w:rPr>
                <w:sz w:val="1"/>
                <w:szCs w:val="1"/>
                <w:color w:val="auto"/>
              </w:rPr>
            </w:pPr>
          </w:p>
        </w:tc>
      </w:tr>
      <w:tr>
        <w:trPr>
          <w:trHeight w:val="230"/>
        </w:trPr>
        <w:tc>
          <w:tcPr>
            <w:tcW w:w="3400" w:type="dxa"/>
            <w:vAlign w:val="bottom"/>
            <w:gridSpan w:val="2"/>
          </w:tcPr>
          <w:p>
            <w:pPr>
              <w:spacing w:after="0"/>
              <w:rPr>
                <w:sz w:val="20"/>
                <w:szCs w:val="20"/>
                <w:color w:val="auto"/>
              </w:rPr>
            </w:pPr>
            <w:r>
              <w:rPr>
                <w:rFonts w:ascii="Arial" w:cs="Arial" w:eastAsia="Arial" w:hAnsi="Arial"/>
                <w:sz w:val="18"/>
                <w:szCs w:val="18"/>
                <w:color w:val="auto"/>
                <w:w w:val="95"/>
              </w:rPr>
              <w:t>Derivative financial instruments and hedging</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(2,270)</w:t>
            </w:r>
          </w:p>
        </w:tc>
        <w:tc>
          <w:tcPr>
            <w:tcW w:w="1200" w:type="dxa"/>
            <w:vAlign w:val="bottom"/>
          </w:tcPr>
          <w:p>
            <w:pPr>
              <w:jc w:val="right"/>
              <w:spacing w:after="0"/>
              <w:rPr>
                <w:sz w:val="20"/>
                <w:szCs w:val="20"/>
                <w:color w:val="auto"/>
              </w:rPr>
            </w:pPr>
            <w:r>
              <w:rPr>
                <w:rFonts w:ascii="Arial" w:cs="Arial" w:eastAsia="Arial" w:hAnsi="Arial"/>
                <w:sz w:val="18"/>
                <w:szCs w:val="18"/>
                <w:color w:val="auto"/>
              </w:rPr>
              <w:t>2,371</w:t>
            </w:r>
          </w:p>
        </w:tc>
        <w:tc>
          <w:tcPr>
            <w:tcW w:w="220" w:type="dxa"/>
            <w:vAlign w:val="bottom"/>
          </w:tcPr>
          <w:p>
            <w:pPr>
              <w:spacing w:after="0"/>
              <w:rPr>
                <w:sz w:val="20"/>
                <w:szCs w:val="20"/>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101</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340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(1,496)</w:t>
            </w:r>
          </w:p>
        </w:tc>
        <w:tc>
          <w:tcPr>
            <w:tcW w:w="1200" w:type="dxa"/>
            <w:vAlign w:val="bottom"/>
          </w:tcPr>
          <w:p>
            <w:pPr>
              <w:jc w:val="right"/>
              <w:spacing w:after="0"/>
              <w:rPr>
                <w:sz w:val="20"/>
                <w:szCs w:val="20"/>
                <w:color w:val="auto"/>
              </w:rPr>
            </w:pPr>
            <w:r>
              <w:rPr>
                <w:rFonts w:ascii="Arial" w:cs="Arial" w:eastAsia="Arial" w:hAnsi="Arial"/>
                <w:sz w:val="18"/>
                <w:szCs w:val="18"/>
                <w:color w:val="auto"/>
              </w:rPr>
              <w:t>2,442</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946</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40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1,848</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(10,265)</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(8,417)</w:t>
            </w:r>
          </w:p>
        </w:tc>
        <w:tc>
          <w:tcPr>
            <w:tcW w:w="0" w:type="dxa"/>
            <w:vAlign w:val="bottom"/>
          </w:tcPr>
          <w:p>
            <w:pPr>
              <w:spacing w:after="0"/>
              <w:rPr>
                <w:sz w:val="1"/>
                <w:szCs w:val="1"/>
                <w:color w:val="auto"/>
              </w:rPr>
            </w:pPr>
          </w:p>
        </w:tc>
      </w:tr>
      <w:tr>
        <w:trPr>
          <w:trHeight w:val="244"/>
        </w:trPr>
        <w:tc>
          <w:tcPr>
            <w:tcW w:w="3400" w:type="dxa"/>
            <w:vAlign w:val="bottom"/>
            <w:gridSpan w:val="2"/>
          </w:tcPr>
          <w:p>
            <w:pPr>
              <w:spacing w:after="0"/>
              <w:rPr>
                <w:sz w:val="20"/>
                <w:szCs w:val="20"/>
                <w:color w:val="auto"/>
              </w:rPr>
            </w:pPr>
            <w:r>
              <w:rPr>
                <w:rFonts w:ascii="Arial" w:cs="Arial" w:eastAsia="Arial" w:hAnsi="Arial"/>
                <w:sz w:val="18"/>
                <w:szCs w:val="18"/>
                <w:color w:val="auto"/>
                <w:w w:val="95"/>
              </w:rPr>
              <w:t>Derivative financial instruments and hedging</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14,950</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(16,709)</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(1,759)</w:t>
            </w:r>
          </w:p>
        </w:tc>
        <w:tc>
          <w:tcPr>
            <w:tcW w:w="0" w:type="dxa"/>
            <w:vAlign w:val="bottom"/>
          </w:tcPr>
          <w:p>
            <w:pPr>
              <w:spacing w:after="0"/>
              <w:rPr>
                <w:sz w:val="1"/>
                <w:szCs w:val="1"/>
                <w:color w:val="auto"/>
              </w:rPr>
            </w:pPr>
          </w:p>
        </w:tc>
      </w:tr>
      <w:tr>
        <w:trPr>
          <w:trHeight w:val="223"/>
        </w:trPr>
        <w:tc>
          <w:tcPr>
            <w:tcW w:w="3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14,281</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(37,758</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(23,477</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3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4820" w:type="dxa"/>
            <w:vAlign w:val="bottom"/>
            <w:tcBorders>
              <w:bottom w:val="single" w:sz="8" w:color="auto"/>
            </w:tcBorders>
            <w:gridSpan w:val="4"/>
          </w:tcPr>
          <w:p>
            <w:pPr>
              <w:ind w:left="3040"/>
              <w:spacing w:after="0"/>
              <w:rPr>
                <w:sz w:val="20"/>
                <w:szCs w:val="20"/>
                <w:color w:val="auto"/>
              </w:rPr>
            </w:pPr>
            <w:r>
              <w:rPr>
                <w:rFonts w:ascii="Arial" w:cs="Arial" w:eastAsia="Arial" w:hAnsi="Arial"/>
                <w:sz w:val="18"/>
                <w:szCs w:val="18"/>
                <w:b w:val="1"/>
                <w:bCs w:val="1"/>
                <w:color w:val="auto"/>
              </w:rPr>
              <w:t>December 31, 2016</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9"/>
              </w:rPr>
              <w:t>Classification in</w:t>
            </w: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consolidated statement</w:t>
            </w: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Gain (loss) on</w:t>
            </w:r>
          </w:p>
        </w:tc>
        <w:tc>
          <w:tcPr>
            <w:tcW w:w="14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Gain (loss) on</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3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of profit or loss</w:t>
            </w:r>
          </w:p>
        </w:tc>
        <w:tc>
          <w:tcPr>
            <w:tcW w:w="10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hedge item</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0"/>
              </w:rPr>
              <w:t>Net gain (loss)</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1"/>
        </w:trPr>
        <w:tc>
          <w:tcPr>
            <w:tcW w:w="3400" w:type="dxa"/>
            <w:vAlign w:val="bottom"/>
            <w:gridSpan w:val="2"/>
          </w:tcPr>
          <w:p>
            <w:pPr>
              <w:spacing w:after="0"/>
              <w:rPr>
                <w:sz w:val="20"/>
                <w:szCs w:val="20"/>
                <w:color w:val="auto"/>
              </w:rPr>
            </w:pPr>
            <w:r>
              <w:rPr>
                <w:rFonts w:ascii="Arial" w:cs="Arial" w:eastAsia="Arial" w:hAnsi="Arial"/>
                <w:sz w:val="18"/>
                <w:szCs w:val="18"/>
                <w:color w:val="auto"/>
              </w:rPr>
              <w:t>Interest income – securities at FVOCI</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(617)</w:t>
            </w:r>
          </w:p>
        </w:tc>
        <w:tc>
          <w:tcPr>
            <w:tcW w:w="1200" w:type="dxa"/>
            <w:vAlign w:val="bottom"/>
          </w:tcPr>
          <w:p>
            <w:pPr>
              <w:jc w:val="right"/>
              <w:spacing w:after="0"/>
              <w:rPr>
                <w:sz w:val="20"/>
                <w:szCs w:val="20"/>
                <w:color w:val="auto"/>
              </w:rPr>
            </w:pPr>
            <w:r>
              <w:rPr>
                <w:rFonts w:ascii="Arial" w:cs="Arial" w:eastAsia="Arial" w:hAnsi="Arial"/>
                <w:sz w:val="18"/>
                <w:szCs w:val="18"/>
                <w:color w:val="auto"/>
              </w:rPr>
              <w:t>1,593</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976</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40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(25)</w:t>
            </w:r>
          </w:p>
        </w:tc>
        <w:tc>
          <w:tcPr>
            <w:tcW w:w="1200" w:type="dxa"/>
            <w:vAlign w:val="bottom"/>
          </w:tcPr>
          <w:p>
            <w:pPr>
              <w:jc w:val="right"/>
              <w:spacing w:after="0"/>
              <w:rPr>
                <w:sz w:val="20"/>
                <w:szCs w:val="20"/>
                <w:color w:val="auto"/>
              </w:rPr>
            </w:pPr>
            <w:r>
              <w:rPr>
                <w:rFonts w:ascii="Arial" w:cs="Arial" w:eastAsia="Arial" w:hAnsi="Arial"/>
                <w:sz w:val="18"/>
                <w:szCs w:val="18"/>
                <w:color w:val="auto"/>
              </w:rPr>
              <w:t>2,023</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1,998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4,558</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(28,261)</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(23,703)</w:t>
            </w:r>
          </w:p>
        </w:tc>
        <w:tc>
          <w:tcPr>
            <w:tcW w:w="0" w:type="dxa"/>
            <w:vAlign w:val="bottom"/>
          </w:tcPr>
          <w:p>
            <w:pPr>
              <w:spacing w:after="0"/>
              <w:rPr>
                <w:sz w:val="1"/>
                <w:szCs w:val="1"/>
                <w:color w:val="auto"/>
              </w:rPr>
            </w:pPr>
          </w:p>
        </w:tc>
      </w:tr>
      <w:tr>
        <w:trPr>
          <w:trHeight w:val="230"/>
        </w:trPr>
        <w:tc>
          <w:tcPr>
            <w:tcW w:w="3400" w:type="dxa"/>
            <w:vAlign w:val="bottom"/>
            <w:gridSpan w:val="2"/>
          </w:tcPr>
          <w:p>
            <w:pPr>
              <w:spacing w:after="0"/>
              <w:rPr>
                <w:sz w:val="20"/>
                <w:szCs w:val="20"/>
                <w:color w:val="auto"/>
              </w:rPr>
            </w:pPr>
            <w:r>
              <w:rPr>
                <w:rFonts w:ascii="Arial" w:cs="Arial" w:eastAsia="Arial" w:hAnsi="Arial"/>
                <w:sz w:val="18"/>
                <w:szCs w:val="18"/>
                <w:color w:val="auto"/>
                <w:w w:val="95"/>
              </w:rPr>
              <w:t>Derivative financial instruments and hedging</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(2,077)</w:t>
            </w:r>
          </w:p>
        </w:tc>
        <w:tc>
          <w:tcPr>
            <w:tcW w:w="1200" w:type="dxa"/>
            <w:vAlign w:val="bottom"/>
          </w:tcPr>
          <w:p>
            <w:pPr>
              <w:jc w:val="right"/>
              <w:spacing w:after="0"/>
              <w:rPr>
                <w:sz w:val="20"/>
                <w:szCs w:val="20"/>
                <w:color w:val="auto"/>
              </w:rPr>
            </w:pPr>
            <w:r>
              <w:rPr>
                <w:rFonts w:ascii="Arial" w:cs="Arial" w:eastAsia="Arial" w:hAnsi="Arial"/>
                <w:sz w:val="18"/>
                <w:szCs w:val="18"/>
                <w:color w:val="auto"/>
              </w:rPr>
              <w:t>2,178</w:t>
            </w:r>
          </w:p>
        </w:tc>
        <w:tc>
          <w:tcPr>
            <w:tcW w:w="220" w:type="dxa"/>
            <w:vAlign w:val="bottom"/>
          </w:tcPr>
          <w:p>
            <w:pPr>
              <w:spacing w:after="0"/>
              <w:rPr>
                <w:sz w:val="20"/>
                <w:szCs w:val="20"/>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101</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340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(372)</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928</w:t>
            </w:r>
          </w:p>
        </w:tc>
        <w:tc>
          <w:tcPr>
            <w:tcW w:w="1200" w:type="dxa"/>
            <w:vAlign w:val="bottom"/>
          </w:tcPr>
          <w:p>
            <w:pPr>
              <w:jc w:val="right"/>
              <w:spacing w:after="0"/>
              <w:rPr>
                <w:sz w:val="20"/>
                <w:szCs w:val="20"/>
                <w:color w:val="auto"/>
              </w:rPr>
            </w:pPr>
            <w:r>
              <w:rPr>
                <w:rFonts w:ascii="Arial" w:cs="Arial" w:eastAsia="Arial" w:hAnsi="Arial"/>
                <w:sz w:val="18"/>
                <w:szCs w:val="18"/>
                <w:color w:val="auto"/>
              </w:rPr>
              <w:t>556</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400" w:type="dxa"/>
            <w:vAlign w:val="bottom"/>
            <w:gridSpan w:val="2"/>
          </w:tcPr>
          <w:p>
            <w:pPr>
              <w:spacing w:after="0"/>
              <w:rPr>
                <w:sz w:val="20"/>
                <w:szCs w:val="20"/>
                <w:color w:val="auto"/>
              </w:rPr>
            </w:pPr>
            <w:r>
              <w:rPr>
                <w:rFonts w:ascii="Arial" w:cs="Arial" w:eastAsia="Arial" w:hAnsi="Arial"/>
                <w:sz w:val="18"/>
                <w:szCs w:val="18"/>
                <w:color w:val="auto"/>
              </w:rPr>
              <w:t>Interest expenses – borrowings and debt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195</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(6,183)</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(5,988)</w:t>
            </w:r>
          </w:p>
        </w:tc>
        <w:tc>
          <w:tcPr>
            <w:tcW w:w="0" w:type="dxa"/>
            <w:vAlign w:val="bottom"/>
          </w:tcPr>
          <w:p>
            <w:pPr>
              <w:spacing w:after="0"/>
              <w:rPr>
                <w:sz w:val="1"/>
                <w:szCs w:val="1"/>
                <w:color w:val="auto"/>
              </w:rPr>
            </w:pPr>
          </w:p>
        </w:tc>
      </w:tr>
      <w:tr>
        <w:trPr>
          <w:trHeight w:val="244"/>
        </w:trPr>
        <w:tc>
          <w:tcPr>
            <w:tcW w:w="3400" w:type="dxa"/>
            <w:vAlign w:val="bottom"/>
            <w:gridSpan w:val="2"/>
          </w:tcPr>
          <w:p>
            <w:pPr>
              <w:spacing w:after="0"/>
              <w:rPr>
                <w:sz w:val="20"/>
                <w:szCs w:val="20"/>
                <w:color w:val="auto"/>
              </w:rPr>
            </w:pPr>
            <w:r>
              <w:rPr>
                <w:rFonts w:ascii="Arial" w:cs="Arial" w:eastAsia="Arial" w:hAnsi="Arial"/>
                <w:sz w:val="18"/>
                <w:szCs w:val="18"/>
                <w:color w:val="auto"/>
                <w:w w:val="95"/>
              </w:rPr>
              <w:t>Derivative financial instruments and hedging</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17,673</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(16,752)</w:t>
            </w:r>
          </w:p>
        </w:tc>
        <w:tc>
          <w:tcPr>
            <w:tcW w:w="1200" w:type="dxa"/>
            <w:vAlign w:val="bottom"/>
          </w:tcPr>
          <w:p>
            <w:pPr>
              <w:jc w:val="right"/>
              <w:spacing w:after="0"/>
              <w:rPr>
                <w:sz w:val="20"/>
                <w:szCs w:val="20"/>
                <w:color w:val="auto"/>
              </w:rPr>
            </w:pPr>
            <w:r>
              <w:rPr>
                <w:rFonts w:ascii="Arial" w:cs="Arial" w:eastAsia="Arial" w:hAnsi="Arial"/>
                <w:sz w:val="18"/>
                <w:szCs w:val="18"/>
                <w:color w:val="auto"/>
              </w:rPr>
              <w:t>921</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19,335</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(44,474</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(25,139</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3400" w:type="dxa"/>
            <w:vAlign w:val="bottom"/>
            <w:gridSpan w:val="2"/>
            <w:vMerge w:val="restart"/>
          </w:tcPr>
          <w:p>
            <w:pPr>
              <w:ind w:left="1820"/>
              <w:spacing w:after="0"/>
              <w:rPr>
                <w:sz w:val="20"/>
                <w:szCs w:val="20"/>
                <w:color w:val="auto"/>
              </w:rPr>
            </w:pPr>
            <w:r>
              <w:rPr>
                <w:rFonts w:ascii="Arial" w:cs="Arial" w:eastAsia="Arial" w:hAnsi="Arial"/>
                <w:sz w:val="18"/>
                <w:szCs w:val="18"/>
                <w:color w:val="auto"/>
              </w:rPr>
              <w:t>F-54</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0" w:type="dxa"/>
            <w:vAlign w:val="bottom"/>
            <w:gridSpan w:val="2"/>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-2163445</wp:posOffset>
            </wp:positionH>
            <wp:positionV relativeFrom="paragraph">
              <wp:posOffset>-3841115</wp:posOffset>
            </wp:positionV>
            <wp:extent cx="6955155" cy="14605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-3558540</wp:posOffset>
            </wp:positionV>
            <wp:extent cx="6955155" cy="13716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7">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-3283585</wp:posOffset>
            </wp:positionV>
            <wp:extent cx="6955155" cy="13716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78">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-3009265</wp:posOffset>
            </wp:positionV>
            <wp:extent cx="6955155" cy="13716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9">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-2734945</wp:posOffset>
            </wp:positionV>
            <wp:extent cx="6955155" cy="14605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80">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-1706245</wp:posOffset>
            </wp:positionV>
            <wp:extent cx="6955155" cy="14605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81">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-1423035</wp:posOffset>
            </wp:positionV>
            <wp:extent cx="6955155" cy="13716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2">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-1148715</wp:posOffset>
            </wp:positionV>
            <wp:extent cx="6955155" cy="13716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3">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-874395</wp:posOffset>
            </wp:positionV>
            <wp:extent cx="6955155" cy="13716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4">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-599440</wp:posOffset>
            </wp:positionV>
            <wp:extent cx="6955155" cy="14605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85">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-2369185</wp:posOffset>
            </wp:positionH>
            <wp:positionV relativeFrom="paragraph">
              <wp:posOffset>0</wp:posOffset>
            </wp:positionV>
            <wp:extent cx="7246620" cy="889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2">
            <w:col w:w="3020" w:space="720"/>
            <w:col w:w="7540"/>
          </w:cols>
          <w:pgMar w:left="240" w:top="688" w:right="379" w:bottom="1440" w:gutter="0" w:footer="0" w:header="0"/>
          <w:type w:val="continuous"/>
        </w:sectPr>
      </w:pPr>
    </w:p>
    <w:bookmarkStart w:id="176" w:name="page177"/>
    <w:bookmarkEnd w:id="17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40" w:hanging="316"/>
        <w:spacing w:after="0"/>
        <w:tabs>
          <w:tab w:leader="none" w:pos="540" w:val="left"/>
        </w:tabs>
        <w:numPr>
          <w:ilvl w:val="0"/>
          <w:numId w:val="17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5.6 Derivative financial instruments for hedging purposes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380" w:type="dxa"/>
            <w:vAlign w:val="bottom"/>
          </w:tcPr>
          <w:p>
            <w:pPr>
              <w:spacing w:after="0"/>
              <w:rPr>
                <w:sz w:val="20"/>
                <w:szCs w:val="20"/>
                <w:color w:val="auto"/>
              </w:rPr>
            </w:pPr>
          </w:p>
        </w:tc>
        <w:tc>
          <w:tcPr>
            <w:tcW w:w="4840" w:type="dxa"/>
            <w:vAlign w:val="bottom"/>
            <w:tcBorders>
              <w:bottom w:val="single" w:sz="8" w:color="auto"/>
            </w:tcBorders>
            <w:gridSpan w:val="4"/>
          </w:tcPr>
          <w:p>
            <w:pPr>
              <w:jc w:val="right"/>
              <w:ind w:right="240"/>
              <w:spacing w:after="0"/>
              <w:rPr>
                <w:sz w:val="20"/>
                <w:szCs w:val="20"/>
                <w:color w:val="auto"/>
              </w:rPr>
            </w:pPr>
            <w:r>
              <w:rPr>
                <w:rFonts w:ascii="Arial" w:cs="Arial" w:eastAsia="Arial" w:hAnsi="Arial"/>
                <w:sz w:val="18"/>
                <w:szCs w:val="18"/>
                <w:b w:val="1"/>
                <w:bCs w:val="1"/>
                <w:color w:val="auto"/>
              </w:rPr>
              <w:t>December 31, 2015</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r>
      <w:tr>
        <w:trPr>
          <w:trHeight w:val="191"/>
        </w:trPr>
        <w:tc>
          <w:tcPr>
            <w:tcW w:w="3380" w:type="dxa"/>
            <w:vAlign w:val="bottom"/>
          </w:tcPr>
          <w:p>
            <w:pPr>
              <w:spacing w:after="0"/>
              <w:rPr>
                <w:sz w:val="16"/>
                <w:szCs w:val="16"/>
                <w:color w:val="auto"/>
              </w:rPr>
            </w:pPr>
          </w:p>
        </w:tc>
        <w:tc>
          <w:tcPr>
            <w:tcW w:w="3420" w:type="dxa"/>
            <w:vAlign w:val="bottom"/>
            <w:gridSpan w:val="2"/>
          </w:tcPr>
          <w:p>
            <w:pPr>
              <w:ind w:left="1020"/>
              <w:spacing w:after="0" w:line="191" w:lineRule="exact"/>
              <w:rPr>
                <w:sz w:val="20"/>
                <w:szCs w:val="20"/>
                <w:color w:val="auto"/>
              </w:rPr>
            </w:pPr>
            <w:r>
              <w:rPr>
                <w:rFonts w:ascii="Arial" w:cs="Arial" w:eastAsia="Arial" w:hAnsi="Arial"/>
                <w:sz w:val="18"/>
                <w:szCs w:val="18"/>
                <w:b w:val="1"/>
                <w:bCs w:val="1"/>
                <w:color w:val="auto"/>
              </w:rPr>
              <w:t>Classification in</w:t>
            </w: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3380" w:type="dxa"/>
            <w:vAlign w:val="bottom"/>
          </w:tcPr>
          <w:p>
            <w:pPr>
              <w:spacing w:after="0"/>
              <w:rPr>
                <w:sz w:val="18"/>
                <w:szCs w:val="18"/>
                <w:color w:val="auto"/>
              </w:rPr>
            </w:pPr>
          </w:p>
        </w:tc>
        <w:tc>
          <w:tcPr>
            <w:tcW w:w="3420" w:type="dxa"/>
            <w:vAlign w:val="bottom"/>
            <w:gridSpan w:val="2"/>
          </w:tcPr>
          <w:p>
            <w:pPr>
              <w:ind w:left="760"/>
              <w:spacing w:after="0"/>
              <w:rPr>
                <w:sz w:val="20"/>
                <w:szCs w:val="20"/>
                <w:color w:val="auto"/>
              </w:rPr>
            </w:pPr>
            <w:r>
              <w:rPr>
                <w:rFonts w:ascii="Arial" w:cs="Arial" w:eastAsia="Arial" w:hAnsi="Arial"/>
                <w:sz w:val="18"/>
                <w:szCs w:val="18"/>
                <w:b w:val="1"/>
                <w:bCs w:val="1"/>
                <w:color w:val="auto"/>
              </w:rPr>
              <w:t>consolidated statement</w:t>
            </w: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89"/>
              </w:rPr>
              <w:t>Gain (loss) on</w:t>
            </w:r>
          </w:p>
        </w:tc>
        <w:tc>
          <w:tcPr>
            <w:tcW w:w="142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89"/>
              </w:rPr>
              <w:t>Gain (loss) on</w:t>
            </w: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3380" w:type="dxa"/>
            <w:vAlign w:val="bottom"/>
          </w:tcPr>
          <w:p>
            <w:pPr>
              <w:spacing w:after="0"/>
              <w:rPr>
                <w:sz w:val="20"/>
                <w:szCs w:val="20"/>
                <w:color w:val="auto"/>
              </w:rPr>
            </w:pPr>
          </w:p>
        </w:tc>
        <w:tc>
          <w:tcPr>
            <w:tcW w:w="3420" w:type="dxa"/>
            <w:vAlign w:val="bottom"/>
            <w:gridSpan w:val="2"/>
          </w:tcPr>
          <w:p>
            <w:pPr>
              <w:ind w:left="1080"/>
              <w:spacing w:after="0"/>
              <w:rPr>
                <w:sz w:val="20"/>
                <w:szCs w:val="20"/>
                <w:color w:val="auto"/>
              </w:rPr>
            </w:pPr>
            <w:r>
              <w:rPr>
                <w:rFonts w:ascii="Arial" w:cs="Arial" w:eastAsia="Arial" w:hAnsi="Arial"/>
                <w:sz w:val="18"/>
                <w:szCs w:val="18"/>
                <w:b w:val="1"/>
                <w:bCs w:val="1"/>
                <w:color w:val="auto"/>
              </w:rPr>
              <w:t>of profit or loss</w:t>
            </w:r>
          </w:p>
        </w:tc>
        <w:tc>
          <w:tcPr>
            <w:tcW w:w="142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derivatives</w:t>
            </w:r>
          </w:p>
        </w:tc>
        <w:tc>
          <w:tcPr>
            <w:tcW w:w="142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hedge item</w:t>
            </w:r>
          </w:p>
        </w:tc>
        <w:tc>
          <w:tcPr>
            <w:tcW w:w="1300" w:type="dxa"/>
            <w:vAlign w:val="bottom"/>
            <w:gridSpan w:val="3"/>
          </w:tcPr>
          <w:p>
            <w:pPr>
              <w:jc w:val="right"/>
              <w:ind w:right="160"/>
              <w:spacing w:after="0"/>
              <w:rPr>
                <w:sz w:val="20"/>
                <w:szCs w:val="20"/>
                <w:color w:val="auto"/>
              </w:rPr>
            </w:pPr>
            <w:r>
              <w:rPr>
                <w:rFonts w:ascii="Arial" w:cs="Arial" w:eastAsia="Arial" w:hAnsi="Arial"/>
                <w:sz w:val="18"/>
                <w:szCs w:val="18"/>
                <w:b w:val="1"/>
                <w:bCs w:val="1"/>
                <w:color w:val="auto"/>
                <w:w w:val="90"/>
              </w:rPr>
              <w:t>Net gain (loss)</w:t>
            </w:r>
          </w:p>
        </w:tc>
      </w:tr>
      <w:tr>
        <w:trPr>
          <w:trHeight w:val="210"/>
        </w:trPr>
        <w:tc>
          <w:tcPr>
            <w:tcW w:w="3380" w:type="dxa"/>
            <w:vAlign w:val="bottom"/>
          </w:tcPr>
          <w:p>
            <w:pPr>
              <w:spacing w:after="0"/>
              <w:rPr>
                <w:sz w:val="18"/>
                <w:szCs w:val="18"/>
                <w:color w:val="auto"/>
              </w:rPr>
            </w:pPr>
          </w:p>
        </w:tc>
        <w:tc>
          <w:tcPr>
            <w:tcW w:w="33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3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3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380" w:type="dxa"/>
            <w:vAlign w:val="bottom"/>
          </w:tcPr>
          <w:p>
            <w:pPr>
              <w:spacing w:after="0"/>
              <w:rPr>
                <w:sz w:val="20"/>
                <w:szCs w:val="20"/>
                <w:color w:val="auto"/>
              </w:rPr>
            </w:pPr>
            <w:r>
              <w:rPr>
                <w:rFonts w:ascii="Arial" w:cs="Arial" w:eastAsia="Arial" w:hAnsi="Arial"/>
                <w:sz w:val="18"/>
                <w:szCs w:val="18"/>
                <w:color w:val="auto"/>
              </w:rPr>
              <w:t>Interest rate swaps</w:t>
            </w:r>
          </w:p>
        </w:tc>
        <w:tc>
          <w:tcPr>
            <w:tcW w:w="3420" w:type="dxa"/>
            <w:vAlign w:val="bottom"/>
            <w:gridSpan w:val="2"/>
          </w:tcPr>
          <w:p>
            <w:pPr>
              <w:ind w:left="60"/>
              <w:spacing w:after="0"/>
              <w:rPr>
                <w:sz w:val="20"/>
                <w:szCs w:val="20"/>
                <w:color w:val="auto"/>
              </w:rPr>
            </w:pPr>
            <w:r>
              <w:rPr>
                <w:rFonts w:ascii="Arial" w:cs="Arial" w:eastAsia="Arial" w:hAnsi="Arial"/>
                <w:sz w:val="18"/>
                <w:szCs w:val="18"/>
                <w:color w:val="auto"/>
              </w:rPr>
              <w:t>Interest income – securities at FVOCI</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(1,047)</w:t>
            </w:r>
          </w:p>
        </w:tc>
        <w:tc>
          <w:tcPr>
            <w:tcW w:w="1200" w:type="dxa"/>
            <w:vAlign w:val="bottom"/>
          </w:tcPr>
          <w:p>
            <w:pPr>
              <w:jc w:val="right"/>
              <w:spacing w:after="0"/>
              <w:rPr>
                <w:sz w:val="20"/>
                <w:szCs w:val="20"/>
                <w:color w:val="auto"/>
              </w:rPr>
            </w:pPr>
            <w:r>
              <w:rPr>
                <w:rFonts w:ascii="Arial" w:cs="Arial" w:eastAsia="Arial" w:hAnsi="Arial"/>
                <w:sz w:val="18"/>
                <w:szCs w:val="18"/>
                <w:color w:val="auto"/>
              </w:rPr>
              <w:t>1,514</w:t>
            </w:r>
          </w:p>
        </w:tc>
        <w:tc>
          <w:tcPr>
            <w:tcW w:w="220" w:type="dxa"/>
            <w:vAlign w:val="bottom"/>
          </w:tcPr>
          <w:p>
            <w:pPr>
              <w:spacing w:after="0"/>
              <w:rPr>
                <w:sz w:val="18"/>
                <w:szCs w:val="18"/>
                <w:color w:val="auto"/>
              </w:rPr>
            </w:pP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467</w:t>
            </w:r>
          </w:p>
        </w:tc>
        <w:tc>
          <w:tcPr>
            <w:tcW w:w="80" w:type="dxa"/>
            <w:vAlign w:val="bottom"/>
          </w:tcPr>
          <w:p>
            <w:pPr>
              <w:spacing w:after="0"/>
              <w:rPr>
                <w:sz w:val="18"/>
                <w:szCs w:val="18"/>
                <w:color w:val="auto"/>
              </w:rPr>
            </w:pPr>
          </w:p>
        </w:tc>
      </w:tr>
      <w:tr>
        <w:trPr>
          <w:trHeight w:val="216"/>
        </w:trPr>
        <w:tc>
          <w:tcPr>
            <w:tcW w:w="3380" w:type="dxa"/>
            <w:vAlign w:val="bottom"/>
            <w:shd w:val="clear" w:color="auto" w:fill="CCEEFF"/>
          </w:tcPr>
          <w:p>
            <w:pPr>
              <w:spacing w:after="0"/>
              <w:rPr>
                <w:sz w:val="18"/>
                <w:szCs w:val="18"/>
                <w:color w:val="auto"/>
              </w:rPr>
            </w:pPr>
          </w:p>
        </w:tc>
        <w:tc>
          <w:tcPr>
            <w:tcW w:w="342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Interest income at amortized cost</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(376)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3,987</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3,611</w:t>
            </w:r>
          </w:p>
        </w:tc>
        <w:tc>
          <w:tcPr>
            <w:tcW w:w="80" w:type="dxa"/>
            <w:vAlign w:val="bottom"/>
            <w:shd w:val="clear" w:color="auto" w:fill="CCEEFF"/>
          </w:tcPr>
          <w:p>
            <w:pPr>
              <w:spacing w:after="0"/>
              <w:rPr>
                <w:sz w:val="18"/>
                <w:szCs w:val="18"/>
                <w:color w:val="auto"/>
              </w:rPr>
            </w:pPr>
          </w:p>
        </w:tc>
      </w:tr>
      <w:tr>
        <w:trPr>
          <w:trHeight w:val="216"/>
        </w:trPr>
        <w:tc>
          <w:tcPr>
            <w:tcW w:w="3380" w:type="dxa"/>
            <w:vAlign w:val="bottom"/>
          </w:tcPr>
          <w:p>
            <w:pPr>
              <w:spacing w:after="0"/>
              <w:rPr>
                <w:sz w:val="18"/>
                <w:szCs w:val="18"/>
                <w:color w:val="auto"/>
              </w:rPr>
            </w:pPr>
          </w:p>
        </w:tc>
        <w:tc>
          <w:tcPr>
            <w:tcW w:w="3420" w:type="dxa"/>
            <w:vAlign w:val="bottom"/>
            <w:gridSpan w:val="2"/>
          </w:tcPr>
          <w:p>
            <w:pPr>
              <w:ind w:left="60"/>
              <w:spacing w:after="0"/>
              <w:rPr>
                <w:sz w:val="20"/>
                <w:szCs w:val="20"/>
                <w:color w:val="auto"/>
              </w:rPr>
            </w:pPr>
            <w:r>
              <w:rPr>
                <w:rFonts w:ascii="Arial" w:cs="Arial" w:eastAsia="Arial" w:hAnsi="Arial"/>
                <w:sz w:val="18"/>
                <w:szCs w:val="18"/>
                <w:color w:val="auto"/>
              </w:rPr>
              <w:t>Interest expenses – borrowings and debt</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6,268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(24,026)</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(17,758)</w:t>
            </w:r>
          </w:p>
        </w:tc>
      </w:tr>
      <w:tr>
        <w:trPr>
          <w:trHeight w:val="216"/>
        </w:trPr>
        <w:tc>
          <w:tcPr>
            <w:tcW w:w="3380" w:type="dxa"/>
            <w:vAlign w:val="bottom"/>
            <w:shd w:val="clear" w:color="auto" w:fill="CCEEFF"/>
          </w:tcPr>
          <w:p>
            <w:pPr>
              <w:spacing w:after="0"/>
              <w:rPr>
                <w:sz w:val="18"/>
                <w:szCs w:val="18"/>
                <w:color w:val="auto"/>
              </w:rPr>
            </w:pPr>
          </w:p>
        </w:tc>
        <w:tc>
          <w:tcPr>
            <w:tcW w:w="342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w w:val="94"/>
              </w:rPr>
              <w:t>Derivative financial instruments and hedging</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(1,841)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1,688</w:t>
            </w:r>
          </w:p>
        </w:tc>
        <w:tc>
          <w:tcPr>
            <w:tcW w:w="22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(153)</w:t>
            </w:r>
          </w:p>
        </w:tc>
      </w:tr>
      <w:tr>
        <w:trPr>
          <w:trHeight w:val="216"/>
        </w:trPr>
        <w:tc>
          <w:tcPr>
            <w:tcW w:w="3380" w:type="dxa"/>
            <w:vAlign w:val="bottom"/>
          </w:tcPr>
          <w:p>
            <w:pPr>
              <w:spacing w:after="0"/>
              <w:rPr>
                <w:sz w:val="18"/>
                <w:szCs w:val="18"/>
                <w:color w:val="auto"/>
              </w:rPr>
            </w:pPr>
          </w:p>
        </w:tc>
        <w:tc>
          <w:tcPr>
            <w:tcW w:w="3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3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342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Interest income loans at amortized cost</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348</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213</w:t>
            </w:r>
          </w:p>
        </w:tc>
        <w:tc>
          <w:tcPr>
            <w:tcW w:w="80" w:type="dxa"/>
            <w:vAlign w:val="bottom"/>
            <w:shd w:val="clear" w:color="auto" w:fill="CCEEFF"/>
          </w:tcPr>
          <w:p>
            <w:pPr>
              <w:spacing w:after="0"/>
              <w:rPr>
                <w:sz w:val="18"/>
                <w:szCs w:val="18"/>
                <w:color w:val="auto"/>
              </w:rPr>
            </w:pPr>
          </w:p>
        </w:tc>
      </w:tr>
      <w:tr>
        <w:trPr>
          <w:trHeight w:val="216"/>
        </w:trPr>
        <w:tc>
          <w:tcPr>
            <w:tcW w:w="3380" w:type="dxa"/>
            <w:vAlign w:val="bottom"/>
          </w:tcPr>
          <w:p>
            <w:pPr>
              <w:spacing w:after="0"/>
              <w:rPr>
                <w:sz w:val="18"/>
                <w:szCs w:val="18"/>
                <w:color w:val="auto"/>
              </w:rPr>
            </w:pPr>
          </w:p>
        </w:tc>
        <w:tc>
          <w:tcPr>
            <w:tcW w:w="3420" w:type="dxa"/>
            <w:vAlign w:val="bottom"/>
            <w:gridSpan w:val="2"/>
          </w:tcPr>
          <w:p>
            <w:pPr>
              <w:ind w:left="60"/>
              <w:spacing w:after="0"/>
              <w:rPr>
                <w:sz w:val="20"/>
                <w:szCs w:val="20"/>
                <w:color w:val="auto"/>
              </w:rPr>
            </w:pPr>
            <w:r>
              <w:rPr>
                <w:rFonts w:ascii="Arial" w:cs="Arial" w:eastAsia="Arial" w:hAnsi="Arial"/>
                <w:sz w:val="18"/>
                <w:szCs w:val="18"/>
                <w:color w:val="auto"/>
              </w:rPr>
              <w:t>Interest expenses – borrowings and debt</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744</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(3,785)</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(3,041)</w:t>
            </w:r>
          </w:p>
        </w:tc>
      </w:tr>
      <w:tr>
        <w:trPr>
          <w:trHeight w:val="230"/>
        </w:trPr>
        <w:tc>
          <w:tcPr>
            <w:tcW w:w="3380" w:type="dxa"/>
            <w:vAlign w:val="bottom"/>
            <w:shd w:val="clear" w:color="auto" w:fill="CCEEFF"/>
          </w:tcPr>
          <w:p>
            <w:pPr>
              <w:spacing w:after="0"/>
              <w:rPr>
                <w:sz w:val="19"/>
                <w:szCs w:val="19"/>
                <w:color w:val="auto"/>
              </w:rPr>
            </w:pPr>
          </w:p>
        </w:tc>
        <w:tc>
          <w:tcPr>
            <w:tcW w:w="342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w w:val="94"/>
              </w:rPr>
              <w:t>Derivative financial instruments and hedging</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(19,522)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20,550</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1,028</w:t>
            </w:r>
          </w:p>
        </w:tc>
        <w:tc>
          <w:tcPr>
            <w:tcW w:w="80" w:type="dxa"/>
            <w:vAlign w:val="bottom"/>
            <w:shd w:val="clear" w:color="auto" w:fill="CCEEFF"/>
          </w:tcPr>
          <w:p>
            <w:pPr>
              <w:spacing w:after="0"/>
              <w:rPr>
                <w:sz w:val="19"/>
                <w:szCs w:val="19"/>
                <w:color w:val="auto"/>
              </w:rPr>
            </w:pPr>
          </w:p>
        </w:tc>
      </w:tr>
      <w:tr>
        <w:trPr>
          <w:trHeight w:val="223"/>
        </w:trPr>
        <w:tc>
          <w:tcPr>
            <w:tcW w:w="338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33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(15,909</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276</w:t>
            </w:r>
          </w:p>
        </w:tc>
        <w:tc>
          <w:tcPr>
            <w:tcW w:w="22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(15,633</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38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Derivatives financial position and performance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tables details the changes of the market value of the underlying item in the statement of financial position related to fair value hedges:</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4380" w:type="dxa"/>
            <w:vAlign w:val="bottom"/>
            <w:tcBorders>
              <w:bottom w:val="single" w:sz="8" w:color="auto"/>
            </w:tcBorders>
            <w:gridSpan w:val="3"/>
          </w:tcPr>
          <w:p>
            <w:pPr>
              <w:ind w:left="760"/>
              <w:spacing w:after="0"/>
              <w:rPr>
                <w:sz w:val="20"/>
                <w:szCs w:val="20"/>
                <w:color w:val="auto"/>
              </w:rPr>
            </w:pPr>
            <w:r>
              <w:rPr>
                <w:rFonts w:ascii="Arial" w:cs="Arial" w:eastAsia="Arial" w:hAnsi="Arial"/>
                <w:sz w:val="18"/>
                <w:szCs w:val="18"/>
                <w:b w:val="1"/>
                <w:bCs w:val="1"/>
                <w:color w:val="auto"/>
              </w:rPr>
              <w:t>December 31, 2017</w:t>
            </w: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5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gridSpan w:val="2"/>
          </w:tcPr>
          <w:p>
            <w:pPr>
              <w:jc w:val="right"/>
              <w:ind w:right="540"/>
              <w:spacing w:after="0" w:line="191" w:lineRule="exact"/>
              <w:rPr>
                <w:sz w:val="20"/>
                <w:szCs w:val="20"/>
                <w:color w:val="auto"/>
              </w:rPr>
            </w:pPr>
            <w:r>
              <w:rPr>
                <w:rFonts w:ascii="Arial" w:cs="Arial" w:eastAsia="Arial" w:hAnsi="Arial"/>
                <w:sz w:val="18"/>
                <w:szCs w:val="18"/>
                <w:b w:val="1"/>
                <w:bCs w:val="1"/>
                <w:color w:val="auto"/>
              </w:rPr>
              <w:t>Thereof</w:t>
            </w:r>
          </w:p>
        </w:tc>
        <w:tc>
          <w:tcPr>
            <w:tcW w:w="296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w w:val="94"/>
              </w:rPr>
              <w:t>accumulated</w:t>
            </w:r>
          </w:p>
        </w:tc>
        <w:tc>
          <w:tcPr>
            <w:tcW w:w="296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Carrying</w:t>
            </w:r>
          </w:p>
        </w:tc>
        <w:tc>
          <w:tcPr>
            <w:tcW w:w="14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fair value</w:t>
            </w:r>
          </w:p>
        </w:tc>
        <w:tc>
          <w:tcPr>
            <w:tcW w:w="2960" w:type="dxa"/>
            <w:vAlign w:val="bottom"/>
          </w:tcPr>
          <w:p>
            <w:pPr>
              <w:spacing w:after="0"/>
              <w:rPr>
                <w:sz w:val="20"/>
                <w:szCs w:val="20"/>
                <w:color w:val="auto"/>
              </w:rPr>
            </w:pPr>
            <w:r>
              <w:rPr>
                <w:rFonts w:ascii="Arial" w:cs="Arial" w:eastAsia="Arial" w:hAnsi="Arial"/>
                <w:sz w:val="18"/>
                <w:szCs w:val="18"/>
                <w:b w:val="1"/>
                <w:bCs w:val="1"/>
                <w:color w:val="auto"/>
                <w:w w:val="91"/>
              </w:rPr>
              <w:t>Line item in the statement of financial</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516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amount</w:t>
            </w:r>
          </w:p>
        </w:tc>
        <w:tc>
          <w:tcPr>
            <w:tcW w:w="14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adjustments</w:t>
            </w:r>
          </w:p>
        </w:tc>
        <w:tc>
          <w:tcPr>
            <w:tcW w:w="2960" w:type="dxa"/>
            <w:vAlign w:val="bottom"/>
          </w:tcPr>
          <w:p>
            <w:pPr>
              <w:ind w:left="1180"/>
              <w:spacing w:after="0"/>
              <w:rPr>
                <w:sz w:val="20"/>
                <w:szCs w:val="20"/>
                <w:color w:val="auto"/>
              </w:rPr>
            </w:pPr>
            <w:r>
              <w:rPr>
                <w:rFonts w:ascii="Arial" w:cs="Arial" w:eastAsia="Arial" w:hAnsi="Arial"/>
                <w:sz w:val="18"/>
                <w:szCs w:val="18"/>
                <w:b w:val="1"/>
                <w:bCs w:val="1"/>
                <w:color w:val="auto"/>
              </w:rPr>
              <w:t>position</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5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960" w:type="dxa"/>
            <w:vAlign w:val="bottom"/>
            <w:tcBorders>
              <w:top w:val="single" w:sz="8" w:color="auto"/>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60" w:type="dxa"/>
            <w:vAlign w:val="bottom"/>
            <w:gridSpan w:val="2"/>
          </w:tcPr>
          <w:p>
            <w:pPr>
              <w:spacing w:after="0"/>
              <w:rPr>
                <w:sz w:val="20"/>
                <w:szCs w:val="20"/>
                <w:color w:val="auto"/>
              </w:rPr>
            </w:pPr>
            <w:r>
              <w:rPr>
                <w:rFonts w:ascii="Arial" w:cs="Arial" w:eastAsia="Arial" w:hAnsi="Arial"/>
                <w:sz w:val="18"/>
                <w:szCs w:val="18"/>
                <w:color w:val="auto"/>
              </w:rPr>
              <w:t>Loans</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2960" w:type="dxa"/>
            <w:vAlign w:val="bottom"/>
          </w:tcPr>
          <w:p>
            <w:pPr>
              <w:spacing w:after="0"/>
              <w:rPr>
                <w:sz w:val="20"/>
                <w:szCs w:val="20"/>
                <w:color w:val="auto"/>
              </w:rPr>
            </w:pPr>
            <w:r>
              <w:rPr>
                <w:rFonts w:ascii="Arial" w:cs="Arial" w:eastAsia="Arial" w:hAnsi="Arial"/>
                <w:sz w:val="18"/>
                <w:szCs w:val="18"/>
                <w:color w:val="auto"/>
              </w:rPr>
              <w:t>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Issuances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355,000</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(4,411)</w:t>
            </w:r>
          </w:p>
        </w:tc>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w w:val="90"/>
              </w:rPr>
              <w:t>Short and long term borrowings and debt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96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rate risk and FX</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9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60" w:type="dxa"/>
            <w:vAlign w:val="bottom"/>
            <w:gridSpan w:val="2"/>
          </w:tcPr>
          <w:p>
            <w:pPr>
              <w:spacing w:after="0"/>
              <w:rPr>
                <w:sz w:val="20"/>
                <w:szCs w:val="20"/>
                <w:color w:val="auto"/>
              </w:rPr>
            </w:pPr>
            <w:r>
              <w:rPr>
                <w:rFonts w:ascii="Arial" w:cs="Arial" w:eastAsia="Arial" w:hAnsi="Arial"/>
                <w:sz w:val="18"/>
                <w:szCs w:val="18"/>
                <w:color w:val="auto"/>
              </w:rPr>
              <w:t>Securities at FVOCI</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12,369</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(32)</w:t>
            </w:r>
          </w:p>
        </w:tc>
        <w:tc>
          <w:tcPr>
            <w:tcW w:w="2960" w:type="dxa"/>
            <w:vAlign w:val="bottom"/>
          </w:tcPr>
          <w:p>
            <w:pPr>
              <w:spacing w:after="0"/>
              <w:rPr>
                <w:sz w:val="20"/>
                <w:szCs w:val="20"/>
                <w:color w:val="auto"/>
              </w:rPr>
            </w:pPr>
            <w:r>
              <w:rPr>
                <w:rFonts w:ascii="Arial" w:cs="Arial" w:eastAsia="Arial" w:hAnsi="Arial"/>
                <w:sz w:val="18"/>
                <w:szCs w:val="18"/>
                <w:color w:val="auto"/>
              </w:rPr>
              <w:t>Financial instruments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Loans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25,027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744</w:t>
            </w:r>
          </w:p>
        </w:tc>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20"/>
                <w:szCs w:val="20"/>
                <w:color w:val="auto"/>
              </w:rPr>
            </w:pPr>
          </w:p>
        </w:tc>
        <w:tc>
          <w:tcPr>
            <w:tcW w:w="5160" w:type="dxa"/>
            <w:vAlign w:val="bottom"/>
            <w:gridSpan w:val="2"/>
          </w:tcPr>
          <w:p>
            <w:pPr>
              <w:spacing w:after="0"/>
              <w:rPr>
                <w:sz w:val="20"/>
                <w:szCs w:val="20"/>
                <w:color w:val="auto"/>
              </w:rPr>
            </w:pPr>
            <w:r>
              <w:rPr>
                <w:rFonts w:ascii="Arial" w:cs="Arial" w:eastAsia="Arial" w:hAnsi="Arial"/>
                <w:sz w:val="18"/>
                <w:szCs w:val="18"/>
                <w:color w:val="auto"/>
              </w:rPr>
              <w:t>Issuances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(249,328)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(2,301)</w:t>
            </w:r>
          </w:p>
        </w:tc>
        <w:tc>
          <w:tcPr>
            <w:tcW w:w="2960" w:type="dxa"/>
            <w:vAlign w:val="bottom"/>
          </w:tcPr>
          <w:p>
            <w:pPr>
              <w:spacing w:after="0"/>
              <w:rPr>
                <w:sz w:val="20"/>
                <w:szCs w:val="20"/>
                <w:color w:val="auto"/>
              </w:rPr>
            </w:pPr>
            <w:r>
              <w:rPr>
                <w:rFonts w:ascii="Arial" w:cs="Arial" w:eastAsia="Arial" w:hAnsi="Arial"/>
                <w:sz w:val="18"/>
                <w:szCs w:val="18"/>
                <w:color w:val="auto"/>
                <w:w w:val="90"/>
              </w:rPr>
              <w:t>Short and long term borrowings and debt</w:t>
            </w:r>
          </w:p>
        </w:tc>
        <w:tc>
          <w:tcPr>
            <w:tcW w:w="140" w:type="dxa"/>
            <w:vAlign w:val="bottom"/>
          </w:tcPr>
          <w:p>
            <w:pPr>
              <w:spacing w:after="0"/>
              <w:rPr>
                <w:sz w:val="20"/>
                <w:szCs w:val="20"/>
                <w:color w:val="auto"/>
              </w:rPr>
            </w:pPr>
          </w:p>
        </w:tc>
      </w:tr>
      <w:tr>
        <w:trPr>
          <w:trHeight w:val="418"/>
        </w:trPr>
        <w:tc>
          <w:tcPr>
            <w:tcW w:w="34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2"/>
          </w:tcPr>
          <w:p>
            <w:pPr>
              <w:jc w:val="right"/>
              <w:ind w:right="1000"/>
              <w:spacing w:after="0"/>
              <w:rPr>
                <w:sz w:val="20"/>
                <w:szCs w:val="20"/>
                <w:color w:val="auto"/>
              </w:rPr>
            </w:pPr>
            <w:r>
              <w:rPr>
                <w:rFonts w:ascii="Arial" w:cs="Arial" w:eastAsia="Arial" w:hAnsi="Arial"/>
                <w:sz w:val="18"/>
                <w:szCs w:val="18"/>
                <w:color w:val="auto"/>
              </w:rPr>
              <w:t>F-55</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9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8" w:right="239" w:bottom="1440" w:gutter="0" w:footer="0" w:header="0"/>
        </w:sectPr>
      </w:pPr>
    </w:p>
    <w:bookmarkStart w:id="177" w:name="page178"/>
    <w:bookmarkEnd w:id="17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40" w:hanging="316"/>
        <w:spacing w:after="0"/>
        <w:tabs>
          <w:tab w:leader="none" w:pos="540" w:val="left"/>
        </w:tabs>
        <w:numPr>
          <w:ilvl w:val="0"/>
          <w:numId w:val="17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5.6 Derivative financial instruments for hedging purposes (continued)</w:t>
      </w:r>
    </w:p>
    <w:p>
      <w:pPr>
        <w:spacing w:after="0" w:line="212"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5160" w:type="dxa"/>
            <w:vAlign w:val="bottom"/>
            <w:gridSpan w:val="3"/>
          </w:tcPr>
          <w:p>
            <w:pPr>
              <w:spacing w:after="0"/>
              <w:rPr>
                <w:sz w:val="20"/>
                <w:szCs w:val="20"/>
                <w:color w:val="auto"/>
              </w:rPr>
            </w:pPr>
            <w:r>
              <w:rPr>
                <w:rFonts w:ascii="Arial" w:cs="Arial" w:eastAsia="Arial" w:hAnsi="Arial"/>
                <w:sz w:val="18"/>
                <w:szCs w:val="18"/>
                <w:color w:val="auto"/>
              </w:rPr>
              <w:t>Derivatives financial position and performance (continued)</w:t>
            </w: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960" w:type="dxa"/>
            <w:vAlign w:val="bottom"/>
          </w:tcPr>
          <w:p>
            <w:pPr>
              <w:spacing w:after="0"/>
              <w:rPr>
                <w:sz w:val="17"/>
                <w:szCs w:val="17"/>
                <w:color w:val="auto"/>
              </w:rPr>
            </w:pPr>
          </w:p>
        </w:tc>
      </w:tr>
      <w:tr>
        <w:trPr>
          <w:trHeight w:val="466"/>
        </w:trPr>
        <w:tc>
          <w:tcPr>
            <w:tcW w:w="4260" w:type="dxa"/>
            <w:vAlign w:val="bottom"/>
            <w:tcBorders>
              <w:top w:val="single" w:sz="8" w:color="auto"/>
            </w:tcBorders>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380" w:type="dxa"/>
            <w:vAlign w:val="bottom"/>
            <w:tcBorders>
              <w:bottom w:val="single" w:sz="8" w:color="auto"/>
            </w:tcBorders>
            <w:gridSpan w:val="3"/>
          </w:tcPr>
          <w:p>
            <w:pPr>
              <w:ind w:left="760"/>
              <w:spacing w:after="0"/>
              <w:rPr>
                <w:sz w:val="20"/>
                <w:szCs w:val="20"/>
                <w:color w:val="auto"/>
              </w:rPr>
            </w:pPr>
            <w:r>
              <w:rPr>
                <w:rFonts w:ascii="Arial" w:cs="Arial" w:eastAsia="Arial" w:hAnsi="Arial"/>
                <w:sz w:val="18"/>
                <w:szCs w:val="18"/>
                <w:b w:val="1"/>
                <w:bCs w:val="1"/>
                <w:color w:val="auto"/>
              </w:rPr>
              <w:t>December 31, 2016</w:t>
            </w:r>
          </w:p>
        </w:tc>
      </w:tr>
      <w:tr>
        <w:trPr>
          <w:trHeight w:val="191"/>
        </w:trPr>
        <w:tc>
          <w:tcPr>
            <w:tcW w:w="42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0"/>
              </w:rPr>
              <w:t>Thereof</w:t>
            </w:r>
          </w:p>
        </w:tc>
        <w:tc>
          <w:tcPr>
            <w:tcW w:w="2960" w:type="dxa"/>
            <w:vAlign w:val="bottom"/>
          </w:tcPr>
          <w:p>
            <w:pPr>
              <w:spacing w:after="0"/>
              <w:rPr>
                <w:sz w:val="16"/>
                <w:szCs w:val="16"/>
                <w:color w:val="auto"/>
              </w:rPr>
            </w:pPr>
          </w:p>
        </w:tc>
      </w:tr>
      <w:tr>
        <w:trPr>
          <w:trHeight w:val="216"/>
        </w:trPr>
        <w:tc>
          <w:tcPr>
            <w:tcW w:w="4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9"/>
              </w:rPr>
              <w:t>accumulated</w:t>
            </w:r>
          </w:p>
        </w:tc>
        <w:tc>
          <w:tcPr>
            <w:tcW w:w="2960" w:type="dxa"/>
            <w:vAlign w:val="bottom"/>
          </w:tcPr>
          <w:p>
            <w:pPr>
              <w:spacing w:after="0"/>
              <w:rPr>
                <w:sz w:val="18"/>
                <w:szCs w:val="18"/>
                <w:color w:val="auto"/>
              </w:rPr>
            </w:pPr>
          </w:p>
        </w:tc>
      </w:tr>
      <w:tr>
        <w:trPr>
          <w:trHeight w:val="216"/>
        </w:trPr>
        <w:tc>
          <w:tcPr>
            <w:tcW w:w="4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Carrying</w:t>
            </w: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fair value</w:t>
            </w:r>
          </w:p>
        </w:tc>
        <w:tc>
          <w:tcPr>
            <w:tcW w:w="2960" w:type="dxa"/>
            <w:vAlign w:val="bottom"/>
          </w:tcPr>
          <w:p>
            <w:pPr>
              <w:spacing w:after="0"/>
              <w:rPr>
                <w:sz w:val="20"/>
                <w:szCs w:val="20"/>
                <w:color w:val="auto"/>
              </w:rPr>
            </w:pPr>
            <w:r>
              <w:rPr>
                <w:rFonts w:ascii="Arial" w:cs="Arial" w:eastAsia="Arial" w:hAnsi="Arial"/>
                <w:sz w:val="18"/>
                <w:szCs w:val="18"/>
                <w:b w:val="1"/>
                <w:bCs w:val="1"/>
                <w:color w:val="auto"/>
                <w:w w:val="91"/>
              </w:rPr>
              <w:t>Line item in the statement of financial</w:t>
            </w:r>
          </w:p>
        </w:tc>
      </w:tr>
      <w:tr>
        <w:trPr>
          <w:trHeight w:val="234"/>
        </w:trPr>
        <w:tc>
          <w:tcPr>
            <w:tcW w:w="5160" w:type="dxa"/>
            <w:vAlign w:val="bottom"/>
            <w:gridSpan w:val="3"/>
          </w:tcPr>
          <w:p>
            <w:pPr>
              <w:spacing w:after="0"/>
              <w:rPr>
                <w:sz w:val="20"/>
                <w:szCs w:val="20"/>
                <w:color w:val="auto"/>
              </w:rPr>
            </w:pPr>
            <w:r>
              <w:rPr>
                <w:rFonts w:ascii="Arial" w:cs="Arial" w:eastAsia="Arial" w:hAnsi="Arial"/>
                <w:sz w:val="18"/>
                <w:szCs w:val="18"/>
                <w:b w:val="1"/>
                <w:bCs w:val="1"/>
                <w:color w:val="auto"/>
              </w:rPr>
              <w:t>Fair value hedges</w:t>
            </w:r>
          </w:p>
        </w:tc>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amount</w:t>
            </w:r>
          </w:p>
        </w:tc>
        <w:tc>
          <w:tcPr>
            <w:tcW w:w="14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w w:val="98"/>
              </w:rPr>
              <w:t>adjustments</w:t>
            </w:r>
          </w:p>
        </w:tc>
        <w:tc>
          <w:tcPr>
            <w:tcW w:w="2960" w:type="dxa"/>
            <w:vAlign w:val="bottom"/>
          </w:tcPr>
          <w:p>
            <w:pPr>
              <w:ind w:left="1180"/>
              <w:spacing w:after="0"/>
              <w:rPr>
                <w:sz w:val="20"/>
                <w:szCs w:val="20"/>
                <w:color w:val="auto"/>
              </w:rPr>
            </w:pPr>
            <w:r>
              <w:rPr>
                <w:rFonts w:ascii="Arial" w:cs="Arial" w:eastAsia="Arial" w:hAnsi="Arial"/>
                <w:sz w:val="18"/>
                <w:szCs w:val="18"/>
                <w:b w:val="1"/>
                <w:bCs w:val="1"/>
                <w:color w:val="auto"/>
              </w:rPr>
              <w:t>position</w:t>
            </w:r>
          </w:p>
        </w:tc>
      </w:tr>
      <w:tr>
        <w:trPr>
          <w:trHeight w:val="210"/>
        </w:trPr>
        <w:tc>
          <w:tcPr>
            <w:tcW w:w="504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960" w:type="dxa"/>
            <w:vAlign w:val="bottom"/>
            <w:tcBorders>
              <w:top w:val="single" w:sz="8" w:color="auto"/>
            </w:tcBorders>
            <w:shd w:val="clear" w:color="auto" w:fill="CCEEFF"/>
          </w:tcPr>
          <w:p>
            <w:pPr>
              <w:spacing w:after="0"/>
              <w:rPr>
                <w:sz w:val="18"/>
                <w:szCs w:val="18"/>
                <w:color w:val="auto"/>
              </w:rPr>
            </w:pPr>
          </w:p>
        </w:tc>
      </w:tr>
      <w:tr>
        <w:trPr>
          <w:trHeight w:val="216"/>
        </w:trPr>
        <w:tc>
          <w:tcPr>
            <w:tcW w:w="5160" w:type="dxa"/>
            <w:vAlign w:val="bottom"/>
            <w:gridSpan w:val="3"/>
          </w:tcPr>
          <w:p>
            <w:pPr>
              <w:spacing w:after="0"/>
              <w:rPr>
                <w:sz w:val="20"/>
                <w:szCs w:val="20"/>
                <w:color w:val="auto"/>
              </w:rPr>
            </w:pPr>
            <w:r>
              <w:rPr>
                <w:rFonts w:ascii="Arial" w:cs="Arial" w:eastAsia="Arial" w:hAnsi="Arial"/>
                <w:sz w:val="18"/>
                <w:szCs w:val="18"/>
                <w:color w:val="auto"/>
              </w:rPr>
              <w:t>Loans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18,502</w:t>
            </w:r>
          </w:p>
        </w:tc>
        <w:tc>
          <w:tcPr>
            <w:tcW w:w="1200" w:type="dxa"/>
            <w:vAlign w:val="bottom"/>
          </w:tcPr>
          <w:p>
            <w:pPr>
              <w:jc w:val="right"/>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18"/>
                <w:szCs w:val="18"/>
                <w:color w:val="auto"/>
              </w:rPr>
            </w:pPr>
          </w:p>
        </w:tc>
        <w:tc>
          <w:tcPr>
            <w:tcW w:w="2960" w:type="dxa"/>
            <w:vAlign w:val="bottom"/>
          </w:tcPr>
          <w:p>
            <w:pPr>
              <w:spacing w:after="0"/>
              <w:rPr>
                <w:sz w:val="20"/>
                <w:szCs w:val="20"/>
                <w:color w:val="auto"/>
              </w:rPr>
            </w:pPr>
            <w:r>
              <w:rPr>
                <w:rFonts w:ascii="Arial" w:cs="Arial" w:eastAsia="Arial" w:hAnsi="Arial"/>
                <w:sz w:val="18"/>
                <w:szCs w:val="18"/>
                <w:color w:val="auto"/>
              </w:rPr>
              <w:t>Loans</w:t>
            </w:r>
          </w:p>
        </w:tc>
      </w:tr>
      <w:tr>
        <w:trPr>
          <w:trHeight w:val="216"/>
        </w:trPr>
        <w:tc>
          <w:tcPr>
            <w:tcW w:w="51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Issuances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755,000</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2,089</w:t>
            </w:r>
          </w:p>
        </w:tc>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w w:val="90"/>
              </w:rPr>
              <w:t>Short and long term borrowings and debt</w:t>
            </w:r>
          </w:p>
        </w:tc>
      </w:tr>
      <w:tr>
        <w:trPr>
          <w:trHeight w:val="216"/>
        </w:trPr>
        <w:tc>
          <w:tcPr>
            <w:tcW w:w="4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960" w:type="dxa"/>
            <w:vAlign w:val="bottom"/>
          </w:tcPr>
          <w:p>
            <w:pPr>
              <w:spacing w:after="0"/>
              <w:rPr>
                <w:sz w:val="18"/>
                <w:szCs w:val="18"/>
                <w:color w:val="auto"/>
              </w:rPr>
            </w:pPr>
          </w:p>
        </w:tc>
      </w:tr>
      <w:tr>
        <w:trPr>
          <w:trHeight w:val="216"/>
        </w:trPr>
        <w:tc>
          <w:tcPr>
            <w:tcW w:w="51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Foreign exchange rate risk and FX</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960" w:type="dxa"/>
            <w:vAlign w:val="bottom"/>
            <w:shd w:val="clear" w:color="auto" w:fill="CCEEFF"/>
          </w:tcPr>
          <w:p>
            <w:pPr>
              <w:spacing w:after="0"/>
              <w:rPr>
                <w:sz w:val="18"/>
                <w:szCs w:val="18"/>
                <w:color w:val="auto"/>
              </w:rPr>
            </w:pPr>
          </w:p>
        </w:tc>
      </w:tr>
      <w:tr>
        <w:trPr>
          <w:trHeight w:val="216"/>
        </w:trPr>
        <w:tc>
          <w:tcPr>
            <w:tcW w:w="5160" w:type="dxa"/>
            <w:vAlign w:val="bottom"/>
            <w:gridSpan w:val="3"/>
          </w:tcPr>
          <w:p>
            <w:pPr>
              <w:spacing w:after="0"/>
              <w:rPr>
                <w:sz w:val="20"/>
                <w:szCs w:val="20"/>
                <w:color w:val="auto"/>
              </w:rPr>
            </w:pPr>
            <w:r>
              <w:rPr>
                <w:rFonts w:ascii="Arial" w:cs="Arial" w:eastAsia="Arial" w:hAnsi="Arial"/>
                <w:sz w:val="18"/>
                <w:szCs w:val="18"/>
                <w:color w:val="auto"/>
              </w:rPr>
              <w:t>Securities at FVOCI</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22,188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(232)</w:t>
            </w:r>
          </w:p>
        </w:tc>
        <w:tc>
          <w:tcPr>
            <w:tcW w:w="2960" w:type="dxa"/>
            <w:vAlign w:val="bottom"/>
          </w:tcPr>
          <w:p>
            <w:pPr>
              <w:spacing w:after="0"/>
              <w:rPr>
                <w:sz w:val="20"/>
                <w:szCs w:val="20"/>
                <w:color w:val="auto"/>
              </w:rPr>
            </w:pPr>
            <w:r>
              <w:rPr>
                <w:rFonts w:ascii="Arial" w:cs="Arial" w:eastAsia="Arial" w:hAnsi="Arial"/>
                <w:sz w:val="18"/>
                <w:szCs w:val="18"/>
                <w:color w:val="auto"/>
              </w:rPr>
              <w:t>Financial instruments at FVOCI</w:t>
            </w:r>
          </w:p>
        </w:tc>
      </w:tr>
      <w:tr>
        <w:trPr>
          <w:trHeight w:val="216"/>
        </w:trPr>
        <w:tc>
          <w:tcPr>
            <w:tcW w:w="51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Loans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9,252</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706</w:t>
            </w:r>
          </w:p>
        </w:tc>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r>
      <w:tr>
        <w:trPr>
          <w:trHeight w:val="230"/>
        </w:trPr>
        <w:tc>
          <w:tcPr>
            <w:tcW w:w="5160" w:type="dxa"/>
            <w:vAlign w:val="bottom"/>
            <w:gridSpan w:val="3"/>
          </w:tcPr>
          <w:p>
            <w:pPr>
              <w:spacing w:after="0"/>
              <w:rPr>
                <w:sz w:val="20"/>
                <w:szCs w:val="20"/>
                <w:color w:val="auto"/>
              </w:rPr>
            </w:pPr>
            <w:r>
              <w:rPr>
                <w:rFonts w:ascii="Arial" w:cs="Arial" w:eastAsia="Arial" w:hAnsi="Arial"/>
                <w:sz w:val="18"/>
                <w:szCs w:val="18"/>
                <w:color w:val="auto"/>
              </w:rPr>
              <w:t>Issuances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(308,739)</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(49)</w:t>
            </w:r>
          </w:p>
        </w:tc>
        <w:tc>
          <w:tcPr>
            <w:tcW w:w="2960" w:type="dxa"/>
            <w:vAlign w:val="bottom"/>
          </w:tcPr>
          <w:p>
            <w:pPr>
              <w:spacing w:after="0"/>
              <w:rPr>
                <w:sz w:val="20"/>
                <w:szCs w:val="20"/>
                <w:color w:val="auto"/>
              </w:rPr>
            </w:pPr>
            <w:r>
              <w:rPr>
                <w:rFonts w:ascii="Arial" w:cs="Arial" w:eastAsia="Arial" w:hAnsi="Arial"/>
                <w:sz w:val="18"/>
                <w:szCs w:val="18"/>
                <w:color w:val="auto"/>
                <w:w w:val="90"/>
              </w:rPr>
              <w:t>Short and long term borrowings and debt</w:t>
            </w:r>
          </w:p>
        </w:tc>
      </w:tr>
    </w:tbl>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detail the profile of the timing of the nominal amount of the hedging instrument: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980" w:type="dxa"/>
            <w:vAlign w:val="bottom"/>
            <w:tcBorders>
              <w:bottom w:val="single" w:sz="8" w:color="auto"/>
            </w:tcBorders>
            <w:gridSpan w:val="5"/>
          </w:tcPr>
          <w:p>
            <w:pPr>
              <w:ind w:left="640"/>
              <w:spacing w:after="0"/>
              <w:rPr>
                <w:sz w:val="20"/>
                <w:szCs w:val="20"/>
                <w:color w:val="auto"/>
              </w:rPr>
            </w:pPr>
            <w:r>
              <w:rPr>
                <w:rFonts w:ascii="Arial" w:cs="Arial" w:eastAsia="Arial" w:hAnsi="Arial"/>
                <w:sz w:val="18"/>
                <w:szCs w:val="18"/>
                <w:b w:val="1"/>
                <w:bCs w:val="1"/>
                <w:color w:val="auto"/>
              </w:rPr>
              <w:t>December 31, 2017</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5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80" w:type="dxa"/>
            <w:vAlign w:val="bottom"/>
            <w:gridSpan w:val="3"/>
          </w:tcPr>
          <w:p>
            <w:pPr>
              <w:jc w:val="center"/>
              <w:ind w:right="12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Foreign</w:t>
            </w:r>
          </w:p>
        </w:tc>
        <w:tc>
          <w:tcPr>
            <w:tcW w:w="1300" w:type="dxa"/>
            <w:vAlign w:val="bottom"/>
            <w:gridSpan w:val="2"/>
          </w:tcPr>
          <w:p>
            <w:pPr>
              <w:ind w:left="100"/>
              <w:spacing w:after="0"/>
              <w:rPr>
                <w:sz w:val="20"/>
                <w:szCs w:val="20"/>
                <w:color w:val="auto"/>
              </w:rPr>
            </w:pPr>
            <w:r>
              <w:rPr>
                <w:rFonts w:ascii="Arial" w:cs="Arial" w:eastAsia="Arial" w:hAnsi="Arial"/>
                <w:sz w:val="18"/>
                <w:szCs w:val="18"/>
                <w:b w:val="1"/>
                <w:bCs w:val="1"/>
                <w:color w:val="auto"/>
              </w:rPr>
              <w:t>Interest rate</w:t>
            </w:r>
          </w:p>
        </w:tc>
        <w:tc>
          <w:tcPr>
            <w:tcW w:w="10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and Interest</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5120" w:type="dxa"/>
            <w:vAlign w:val="bottom"/>
          </w:tcPr>
          <w:p>
            <w:pPr>
              <w:spacing w:after="0"/>
              <w:rPr>
                <w:sz w:val="20"/>
                <w:szCs w:val="20"/>
                <w:color w:val="auto"/>
              </w:rPr>
            </w:pPr>
            <w:r>
              <w:rPr>
                <w:rFonts w:ascii="Arial" w:cs="Arial" w:eastAsia="Arial" w:hAnsi="Arial"/>
                <w:sz w:val="18"/>
                <w:szCs w:val="18"/>
                <w:b w:val="1"/>
                <w:bCs w:val="1"/>
                <w:color w:val="auto"/>
              </w:rPr>
              <w:t>Risk type</w:t>
            </w:r>
          </w:p>
        </w:tc>
        <w:tc>
          <w:tcPr>
            <w:tcW w:w="120" w:type="dxa"/>
            <w:vAlign w:val="bottom"/>
          </w:tcPr>
          <w:p>
            <w:pPr>
              <w:spacing w:after="0"/>
              <w:rPr>
                <w:sz w:val="20"/>
                <w:szCs w:val="20"/>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Exchange risk</w:t>
            </w:r>
          </w:p>
        </w:tc>
        <w:tc>
          <w:tcPr>
            <w:tcW w:w="1300" w:type="dxa"/>
            <w:vAlign w:val="bottom"/>
            <w:gridSpan w:val="2"/>
          </w:tcPr>
          <w:p>
            <w:pPr>
              <w:ind w:left="440"/>
              <w:spacing w:after="0"/>
              <w:rPr>
                <w:sz w:val="20"/>
                <w:szCs w:val="20"/>
                <w:color w:val="auto"/>
              </w:rPr>
            </w:pPr>
            <w:r>
              <w:rPr>
                <w:rFonts w:ascii="Arial" w:cs="Arial" w:eastAsia="Arial" w:hAnsi="Arial"/>
                <w:sz w:val="18"/>
                <w:szCs w:val="18"/>
                <w:b w:val="1"/>
                <w:bCs w:val="1"/>
                <w:color w:val="auto"/>
              </w:rPr>
              <w:t>risk</w:t>
            </w:r>
          </w:p>
        </w:tc>
        <w:tc>
          <w:tcPr>
            <w:tcW w:w="100" w:type="dxa"/>
            <w:vAlign w:val="bottom"/>
          </w:tcPr>
          <w:p>
            <w:pPr>
              <w:spacing w:after="0"/>
              <w:rPr>
                <w:sz w:val="20"/>
                <w:szCs w:val="20"/>
                <w:color w:val="auto"/>
              </w:rPr>
            </w:pPr>
          </w:p>
        </w:tc>
        <w:tc>
          <w:tcPr>
            <w:tcW w:w="15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4"/>
              </w:rPr>
              <w:t>rate risk</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51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69,459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69,459</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31 to 60 days</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26,104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26,104</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1,729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185,000</w:t>
            </w:r>
          </w:p>
        </w:tc>
        <w:tc>
          <w:tcPr>
            <w:tcW w:w="100" w:type="dxa"/>
            <w:vAlign w:val="bottom"/>
            <w:shd w:val="clear" w:color="auto" w:fill="CCEEFF"/>
          </w:tcPr>
          <w:p>
            <w:pPr>
              <w:spacing w:after="0"/>
              <w:rPr>
                <w:sz w:val="18"/>
                <w:szCs w:val="18"/>
                <w:color w:val="auto"/>
              </w:rPr>
            </w:pP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16,821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203,550</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91 to 180 days</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16,567</w:t>
            </w:r>
          </w:p>
        </w:tc>
        <w:tc>
          <w:tcPr>
            <w:tcW w:w="1200" w:type="dxa"/>
            <w:vAlign w:val="bottom"/>
          </w:tcPr>
          <w:p>
            <w:pPr>
              <w:jc w:val="right"/>
              <w:spacing w:after="0"/>
              <w:rPr>
                <w:sz w:val="20"/>
                <w:szCs w:val="20"/>
                <w:color w:val="auto"/>
              </w:rPr>
            </w:pPr>
            <w:r>
              <w:rPr>
                <w:rFonts w:ascii="Arial" w:cs="Arial" w:eastAsia="Arial" w:hAnsi="Arial"/>
                <w:sz w:val="18"/>
                <w:szCs w:val="18"/>
                <w:color w:val="auto"/>
              </w:rPr>
              <w:t>137,500</w:t>
            </w:r>
          </w:p>
        </w:tc>
        <w:tc>
          <w:tcPr>
            <w:tcW w:w="100" w:type="dxa"/>
            <w:vAlign w:val="bottom"/>
          </w:tcPr>
          <w:p>
            <w:pPr>
              <w:spacing w:after="0"/>
              <w:rPr>
                <w:sz w:val="18"/>
                <w:szCs w:val="18"/>
                <w:color w:val="auto"/>
              </w:rPr>
            </w:pP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154,067</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68,952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202,500</w:t>
            </w:r>
          </w:p>
        </w:tc>
        <w:tc>
          <w:tcPr>
            <w:tcW w:w="10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8,127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279,579</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1 to 2 years</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178,331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21,500</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73,193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273,024</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2 to 5 years</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4,413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416,000</w:t>
            </w:r>
          </w:p>
        </w:tc>
        <w:tc>
          <w:tcPr>
            <w:tcW w:w="100" w:type="dxa"/>
            <w:vAlign w:val="bottom"/>
            <w:shd w:val="clear" w:color="auto" w:fill="CCEEFF"/>
          </w:tcPr>
          <w:p>
            <w:pPr>
              <w:spacing w:after="0"/>
              <w:rPr>
                <w:sz w:val="18"/>
                <w:szCs w:val="18"/>
                <w:color w:val="auto"/>
              </w:rPr>
            </w:pP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24,872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445,285</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More than 5 years</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76,049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76,049</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365,555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962,500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199,062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1,527,117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ind w:left="100"/>
              <w:spacing w:after="0"/>
              <w:rPr>
                <w:sz w:val="20"/>
                <w:szCs w:val="20"/>
                <w:color w:val="auto"/>
              </w:rPr>
            </w:pPr>
            <w:r>
              <w:rPr>
                <w:rFonts w:ascii="Arial" w:cs="Arial" w:eastAsia="Arial" w:hAnsi="Arial"/>
                <w:sz w:val="18"/>
                <w:szCs w:val="18"/>
                <w:color w:val="auto"/>
              </w:rPr>
              <w:t>F-56</w:t>
            </w: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9" w:right="239" w:bottom="1440" w:gutter="0" w:footer="0" w:header="0"/>
        </w:sectPr>
      </w:pPr>
    </w:p>
    <w:bookmarkStart w:id="178" w:name="page179"/>
    <w:bookmarkEnd w:id="17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40" w:hanging="316"/>
        <w:spacing w:after="0"/>
        <w:tabs>
          <w:tab w:leader="none" w:pos="540" w:val="left"/>
        </w:tabs>
        <w:numPr>
          <w:ilvl w:val="0"/>
          <w:numId w:val="17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5.6 Derivative financial instruments for hedging purposes (continued)</w:t>
      </w:r>
    </w:p>
    <w:p>
      <w:pPr>
        <w:spacing w:after="0" w:line="212"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426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91"/>
              </w:rPr>
              <w:t>Derivatives financial position and performance (continued)</w:t>
            </w:r>
          </w:p>
        </w:tc>
        <w:tc>
          <w:tcPr>
            <w:tcW w:w="980" w:type="dxa"/>
            <w:vAlign w:val="bottom"/>
            <w:gridSpan w:val="2"/>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453"/>
        </w:trPr>
        <w:tc>
          <w:tcPr>
            <w:tcW w:w="5240" w:type="dxa"/>
            <w:vAlign w:val="bottom"/>
            <w:gridSpan w:val="3"/>
          </w:tcPr>
          <w:p>
            <w:pPr>
              <w:spacing w:after="0"/>
              <w:rPr>
                <w:sz w:val="20"/>
                <w:szCs w:val="20"/>
                <w:color w:val="auto"/>
              </w:rPr>
            </w:pPr>
            <w:r>
              <w:rPr>
                <w:rFonts w:ascii="Arial" w:cs="Arial" w:eastAsia="Arial" w:hAnsi="Arial"/>
                <w:sz w:val="18"/>
                <w:szCs w:val="18"/>
                <w:color w:val="222222"/>
              </w:rPr>
              <w:t>Analysis of maturity of the derivatives by type of risk covered:</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46"/>
        </w:trPr>
        <w:tc>
          <w:tcPr>
            <w:tcW w:w="426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980" w:type="dxa"/>
            <w:vAlign w:val="bottom"/>
            <w:tcBorders>
              <w:bottom w:val="single" w:sz="8" w:color="auto"/>
            </w:tcBorders>
            <w:gridSpan w:val="5"/>
          </w:tcPr>
          <w:p>
            <w:pPr>
              <w:ind w:left="640"/>
              <w:spacing w:after="0"/>
              <w:rPr>
                <w:sz w:val="20"/>
                <w:szCs w:val="20"/>
                <w:color w:val="auto"/>
              </w:rPr>
            </w:pPr>
            <w:r>
              <w:rPr>
                <w:rFonts w:ascii="Arial" w:cs="Arial" w:eastAsia="Arial" w:hAnsi="Arial"/>
                <w:sz w:val="18"/>
                <w:szCs w:val="18"/>
                <w:b w:val="1"/>
                <w:bCs w:val="1"/>
                <w:color w:val="auto"/>
              </w:rPr>
              <w:t>December 31, 2016</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426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80" w:type="dxa"/>
            <w:vAlign w:val="bottom"/>
            <w:gridSpan w:val="3"/>
          </w:tcPr>
          <w:p>
            <w:pPr>
              <w:jc w:val="center"/>
              <w:ind w:right="12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42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Foreign</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Interest rate</w:t>
            </w:r>
          </w:p>
        </w:tc>
        <w:tc>
          <w:tcPr>
            <w:tcW w:w="10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and Interest</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240" w:type="dxa"/>
            <w:vAlign w:val="bottom"/>
            <w:gridSpan w:val="3"/>
          </w:tcPr>
          <w:p>
            <w:pPr>
              <w:spacing w:after="0"/>
              <w:rPr>
                <w:sz w:val="20"/>
                <w:szCs w:val="20"/>
                <w:color w:val="auto"/>
              </w:rPr>
            </w:pPr>
            <w:r>
              <w:rPr>
                <w:rFonts w:ascii="Arial" w:cs="Arial" w:eastAsia="Arial" w:hAnsi="Arial"/>
                <w:sz w:val="18"/>
                <w:szCs w:val="18"/>
                <w:b w:val="1"/>
                <w:bCs w:val="1"/>
                <w:color w:val="auto"/>
              </w:rPr>
              <w:t>Risk type</w:t>
            </w: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Exchange risk</w:t>
            </w:r>
          </w:p>
        </w:tc>
        <w:tc>
          <w:tcPr>
            <w:tcW w:w="13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3"/>
              </w:rPr>
              <w:t>risk</w:t>
            </w:r>
          </w:p>
        </w:tc>
        <w:tc>
          <w:tcPr>
            <w:tcW w:w="100" w:type="dxa"/>
            <w:vAlign w:val="bottom"/>
          </w:tcPr>
          <w:p>
            <w:pPr>
              <w:spacing w:after="0"/>
              <w:rPr>
                <w:sz w:val="20"/>
                <w:szCs w:val="20"/>
                <w:color w:val="auto"/>
              </w:rPr>
            </w:pPr>
          </w:p>
        </w:tc>
        <w:tc>
          <w:tcPr>
            <w:tcW w:w="15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4"/>
              </w:rPr>
              <w:t>rate risk</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12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66,149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66,149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240" w:type="dxa"/>
            <w:vAlign w:val="bottom"/>
            <w:gridSpan w:val="3"/>
          </w:tcPr>
          <w:p>
            <w:pPr>
              <w:spacing w:after="0"/>
              <w:rPr>
                <w:sz w:val="20"/>
                <w:szCs w:val="20"/>
                <w:color w:val="auto"/>
              </w:rPr>
            </w:pPr>
            <w:r>
              <w:rPr>
                <w:rFonts w:ascii="Arial" w:cs="Arial" w:eastAsia="Arial" w:hAnsi="Arial"/>
                <w:sz w:val="18"/>
                <w:szCs w:val="18"/>
                <w:color w:val="auto"/>
              </w:rPr>
              <w:t>31 to 60 days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33,393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85,000</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118,393</w:t>
            </w:r>
          </w:p>
        </w:tc>
      </w:tr>
      <w:tr>
        <w:trPr>
          <w:trHeight w:val="216"/>
        </w:trPr>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24,093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60,000</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84,093</w:t>
            </w:r>
          </w:p>
        </w:tc>
      </w:tr>
      <w:tr>
        <w:trPr>
          <w:trHeight w:val="216"/>
        </w:trPr>
        <w:tc>
          <w:tcPr>
            <w:tcW w:w="5240" w:type="dxa"/>
            <w:vAlign w:val="bottom"/>
            <w:gridSpan w:val="3"/>
          </w:tcPr>
          <w:p>
            <w:pPr>
              <w:spacing w:after="0"/>
              <w:rPr>
                <w:sz w:val="20"/>
                <w:szCs w:val="20"/>
                <w:color w:val="auto"/>
              </w:rPr>
            </w:pPr>
            <w:r>
              <w:rPr>
                <w:rFonts w:ascii="Arial" w:cs="Arial" w:eastAsia="Arial" w:hAnsi="Arial"/>
                <w:sz w:val="18"/>
                <w:szCs w:val="18"/>
                <w:color w:val="auto"/>
              </w:rPr>
              <w:t>91 to 180 days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71,533</w:t>
            </w:r>
          </w:p>
        </w:tc>
        <w:tc>
          <w:tcPr>
            <w:tcW w:w="1200" w:type="dxa"/>
            <w:vAlign w:val="bottom"/>
          </w:tcPr>
          <w:p>
            <w:pPr>
              <w:jc w:val="right"/>
              <w:spacing w:after="0"/>
              <w:rPr>
                <w:sz w:val="20"/>
                <w:szCs w:val="20"/>
                <w:color w:val="auto"/>
              </w:rPr>
            </w:pPr>
            <w:r>
              <w:rPr>
                <w:rFonts w:ascii="Arial" w:cs="Arial" w:eastAsia="Arial" w:hAnsi="Arial"/>
                <w:sz w:val="18"/>
                <w:szCs w:val="18"/>
                <w:color w:val="auto"/>
              </w:rPr>
              <w:t>745,080</w:t>
            </w:r>
          </w:p>
        </w:tc>
        <w:tc>
          <w:tcPr>
            <w:tcW w:w="100" w:type="dxa"/>
            <w:vAlign w:val="bottom"/>
          </w:tcPr>
          <w:p>
            <w:pPr>
              <w:spacing w:after="0"/>
              <w:rPr>
                <w:sz w:val="18"/>
                <w:szCs w:val="18"/>
                <w:color w:val="auto"/>
              </w:rPr>
            </w:pP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816,613</w:t>
            </w:r>
          </w:p>
        </w:tc>
      </w:tr>
      <w:tr>
        <w:trPr>
          <w:trHeight w:val="216"/>
        </w:trPr>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109,228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160,422</w:t>
            </w:r>
          </w:p>
        </w:tc>
        <w:tc>
          <w:tcPr>
            <w:tcW w:w="100" w:type="dxa"/>
            <w:vAlign w:val="bottom"/>
            <w:shd w:val="clear" w:color="auto" w:fill="CCEEFF"/>
          </w:tcPr>
          <w:p>
            <w:pPr>
              <w:spacing w:after="0"/>
              <w:rPr>
                <w:sz w:val="18"/>
                <w:szCs w:val="18"/>
                <w:color w:val="auto"/>
              </w:rPr>
            </w:pP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189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269,839</w:t>
            </w:r>
          </w:p>
        </w:tc>
      </w:tr>
      <w:tr>
        <w:trPr>
          <w:trHeight w:val="216"/>
        </w:trPr>
        <w:tc>
          <w:tcPr>
            <w:tcW w:w="5240" w:type="dxa"/>
            <w:vAlign w:val="bottom"/>
            <w:gridSpan w:val="3"/>
          </w:tcPr>
          <w:p>
            <w:pPr>
              <w:spacing w:after="0"/>
              <w:rPr>
                <w:sz w:val="20"/>
                <w:szCs w:val="20"/>
                <w:color w:val="auto"/>
              </w:rPr>
            </w:pPr>
            <w:r>
              <w:rPr>
                <w:rFonts w:ascii="Arial" w:cs="Arial" w:eastAsia="Arial" w:hAnsi="Arial"/>
                <w:sz w:val="18"/>
                <w:szCs w:val="18"/>
                <w:color w:val="auto"/>
              </w:rPr>
              <w:t>1 to 2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92,115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50,000</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24,948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167,063</w:t>
            </w:r>
          </w:p>
        </w:tc>
      </w:tr>
      <w:tr>
        <w:trPr>
          <w:trHeight w:val="216"/>
        </w:trPr>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2 to 5 years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73,311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434,500</w:t>
            </w:r>
          </w:p>
        </w:tc>
        <w:tc>
          <w:tcPr>
            <w:tcW w:w="100" w:type="dxa"/>
            <w:vAlign w:val="bottom"/>
            <w:shd w:val="clear" w:color="auto" w:fill="CCEEFF"/>
          </w:tcPr>
          <w:p>
            <w:pPr>
              <w:spacing w:after="0"/>
              <w:rPr>
                <w:sz w:val="18"/>
                <w:szCs w:val="18"/>
                <w:color w:val="auto"/>
              </w:rPr>
            </w:pP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96,218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604,029</w:t>
            </w:r>
          </w:p>
        </w:tc>
      </w:tr>
      <w:tr>
        <w:trPr>
          <w:trHeight w:val="230"/>
        </w:trPr>
        <w:tc>
          <w:tcPr>
            <w:tcW w:w="5240" w:type="dxa"/>
            <w:vAlign w:val="bottom"/>
            <w:gridSpan w:val="3"/>
          </w:tcPr>
          <w:p>
            <w:pPr>
              <w:spacing w:after="0"/>
              <w:rPr>
                <w:sz w:val="20"/>
                <w:szCs w:val="20"/>
                <w:color w:val="auto"/>
              </w:rPr>
            </w:pPr>
            <w:r>
              <w:rPr>
                <w:rFonts w:ascii="Arial" w:cs="Arial" w:eastAsia="Arial" w:hAnsi="Arial"/>
                <w:sz w:val="18"/>
                <w:szCs w:val="18"/>
                <w:color w:val="auto"/>
              </w:rPr>
              <w:t>More than 5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13,200</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79,246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92,446</w:t>
            </w:r>
          </w:p>
        </w:tc>
      </w:tr>
      <w:tr>
        <w:trPr>
          <w:trHeight w:val="223"/>
        </w:trPr>
        <w:tc>
          <w:tcPr>
            <w:tcW w:w="52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469,822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1,548,202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200,601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2,218,625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26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detail the sources of ineffectiveness for our cash flow hedge positions: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2017</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940" w:type="dxa"/>
            <w:vAlign w:val="bottom"/>
            <w:gridSpan w:val="2"/>
          </w:tcPr>
          <w:p>
            <w:pPr>
              <w:spacing w:after="0"/>
              <w:rPr>
                <w:sz w:val="20"/>
                <w:szCs w:val="20"/>
                <w:color w:val="auto"/>
              </w:rPr>
            </w:pPr>
            <w:r>
              <w:rPr>
                <w:rFonts w:ascii="Arial" w:cs="Arial" w:eastAsia="Arial" w:hAnsi="Arial"/>
                <w:sz w:val="18"/>
                <w:szCs w:val="18"/>
                <w:b w:val="1"/>
                <w:bCs w:val="1"/>
                <w:color w:val="auto"/>
              </w:rPr>
              <w:t>Type of risk hedge</w:t>
            </w:r>
          </w:p>
        </w:tc>
        <w:tc>
          <w:tcPr>
            <w:tcW w:w="1720" w:type="dxa"/>
            <w:vAlign w:val="bottom"/>
            <w:gridSpan w:val="3"/>
          </w:tcPr>
          <w:p>
            <w:pPr>
              <w:ind w:left="260"/>
              <w:spacing w:after="0"/>
              <w:rPr>
                <w:sz w:val="20"/>
                <w:szCs w:val="20"/>
                <w:color w:val="auto"/>
              </w:rPr>
            </w:pPr>
            <w:r>
              <w:rPr>
                <w:rFonts w:ascii="Arial" w:cs="Arial" w:eastAsia="Arial" w:hAnsi="Arial"/>
                <w:sz w:val="18"/>
                <w:szCs w:val="18"/>
                <w:b w:val="1"/>
                <w:bCs w:val="1"/>
                <w:color w:val="auto"/>
              </w:rPr>
              <w:t>USD-OIS</w:t>
            </w:r>
          </w:p>
        </w:tc>
        <w:tc>
          <w:tcPr>
            <w:tcW w:w="96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Tenor</w:t>
            </w:r>
          </w:p>
        </w:tc>
        <w:tc>
          <w:tcPr>
            <w:tcW w:w="180" w:type="dxa"/>
            <w:vAlign w:val="bottom"/>
          </w:tcPr>
          <w:p>
            <w:pPr>
              <w:spacing w:after="0"/>
              <w:rPr>
                <w:sz w:val="20"/>
                <w:szCs w:val="20"/>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5"/>
              </w:rPr>
              <w:t>Xccy basis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4"/>
              </w:rPr>
              <w:t>Credit spread</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Ineffectiveness</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w:t>
            </w:r>
          </w:p>
        </w:tc>
        <w:tc>
          <w:tcPr>
            <w:tcW w:w="2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296</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302</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40" w:type="dxa"/>
            <w:vAlign w:val="bottom"/>
            <w:gridSpan w:val="2"/>
          </w:tcPr>
          <w:p>
            <w:pPr>
              <w:spacing w:after="0"/>
              <w:rPr>
                <w:sz w:val="20"/>
                <w:szCs w:val="20"/>
                <w:color w:val="auto"/>
              </w:rPr>
            </w:pPr>
            <w:r>
              <w:rPr>
                <w:rFonts w:ascii="Arial" w:cs="Arial" w:eastAsia="Arial" w:hAnsi="Arial"/>
                <w:sz w:val="18"/>
                <w:szCs w:val="18"/>
                <w:color w:val="auto"/>
              </w:rPr>
              <w:t>Foreign exchange risk</w:t>
            </w:r>
          </w:p>
        </w:tc>
        <w:tc>
          <w:tcPr>
            <w:tcW w:w="1440" w:type="dxa"/>
            <w:vAlign w:val="bottom"/>
            <w:gridSpan w:val="2"/>
          </w:tcPr>
          <w:p>
            <w:pPr>
              <w:jc w:val="right"/>
              <w:ind w:right="70"/>
              <w:spacing w:after="0"/>
              <w:rPr>
                <w:sz w:val="20"/>
                <w:szCs w:val="20"/>
                <w:color w:val="auto"/>
              </w:rPr>
            </w:pPr>
            <w:r>
              <w:rPr>
                <w:rFonts w:ascii="Arial" w:cs="Arial" w:eastAsia="Arial" w:hAnsi="Arial"/>
                <w:sz w:val="18"/>
                <w:szCs w:val="18"/>
                <w:color w:val="auto"/>
              </w:rPr>
              <w:t>(8)</w:t>
            </w:r>
          </w:p>
        </w:tc>
        <w:tc>
          <w:tcPr>
            <w:tcW w:w="280" w:type="dxa"/>
            <w:vAlign w:val="bottom"/>
          </w:tcPr>
          <w:p>
            <w:pPr>
              <w:spacing w:after="0"/>
              <w:rPr>
                <w:sz w:val="19"/>
                <w:szCs w:val="19"/>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600" w:type="dxa"/>
            <w:vAlign w:val="bottom"/>
            <w:gridSpan w:val="3"/>
          </w:tcPr>
          <w:p>
            <w:pPr>
              <w:jc w:val="right"/>
              <w:ind w:right="140"/>
              <w:spacing w:after="0"/>
              <w:rPr>
                <w:sz w:val="20"/>
                <w:szCs w:val="20"/>
                <w:color w:val="auto"/>
              </w:rPr>
            </w:pPr>
            <w:r>
              <w:rPr>
                <w:rFonts w:ascii="Arial" w:cs="Arial" w:eastAsia="Arial" w:hAnsi="Arial"/>
                <w:sz w:val="18"/>
                <w:szCs w:val="18"/>
                <w:color w:val="auto"/>
              </w:rPr>
              <w:t>17</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296</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38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2016</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940" w:type="dxa"/>
            <w:vAlign w:val="bottom"/>
            <w:gridSpan w:val="2"/>
          </w:tcPr>
          <w:p>
            <w:pPr>
              <w:spacing w:after="0"/>
              <w:rPr>
                <w:sz w:val="20"/>
                <w:szCs w:val="20"/>
                <w:color w:val="auto"/>
              </w:rPr>
            </w:pPr>
            <w:r>
              <w:rPr>
                <w:rFonts w:ascii="Arial" w:cs="Arial" w:eastAsia="Arial" w:hAnsi="Arial"/>
                <w:sz w:val="18"/>
                <w:szCs w:val="18"/>
                <w:b w:val="1"/>
                <w:bCs w:val="1"/>
                <w:color w:val="auto"/>
              </w:rPr>
              <w:t>Type of risk hedge</w:t>
            </w:r>
          </w:p>
        </w:tc>
        <w:tc>
          <w:tcPr>
            <w:tcW w:w="1720" w:type="dxa"/>
            <w:vAlign w:val="bottom"/>
            <w:gridSpan w:val="3"/>
          </w:tcPr>
          <w:p>
            <w:pPr>
              <w:ind w:left="260"/>
              <w:spacing w:after="0"/>
              <w:rPr>
                <w:sz w:val="20"/>
                <w:szCs w:val="20"/>
                <w:color w:val="auto"/>
              </w:rPr>
            </w:pPr>
            <w:r>
              <w:rPr>
                <w:rFonts w:ascii="Arial" w:cs="Arial" w:eastAsia="Arial" w:hAnsi="Arial"/>
                <w:sz w:val="18"/>
                <w:szCs w:val="18"/>
                <w:b w:val="1"/>
                <w:bCs w:val="1"/>
                <w:color w:val="auto"/>
              </w:rPr>
              <w:t>USD-OIS</w:t>
            </w:r>
          </w:p>
        </w:tc>
        <w:tc>
          <w:tcPr>
            <w:tcW w:w="96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Tenor</w:t>
            </w:r>
          </w:p>
        </w:tc>
        <w:tc>
          <w:tcPr>
            <w:tcW w:w="180" w:type="dxa"/>
            <w:vAlign w:val="bottom"/>
          </w:tcPr>
          <w:p>
            <w:pPr>
              <w:spacing w:after="0"/>
              <w:rPr>
                <w:sz w:val="20"/>
                <w:szCs w:val="20"/>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5"/>
              </w:rPr>
              <w:t>Xccy basis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4"/>
              </w:rPr>
              <w:t>Credit spread</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Ineffectiveness</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w:t>
            </w:r>
          </w:p>
        </w:tc>
        <w:tc>
          <w:tcPr>
            <w:tcW w:w="2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623</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40" w:type="dxa"/>
            <w:vAlign w:val="bottom"/>
            <w:gridSpan w:val="2"/>
          </w:tcPr>
          <w:p>
            <w:pPr>
              <w:spacing w:after="0"/>
              <w:rPr>
                <w:sz w:val="20"/>
                <w:szCs w:val="20"/>
                <w:color w:val="auto"/>
              </w:rPr>
            </w:pPr>
            <w:r>
              <w:rPr>
                <w:rFonts w:ascii="Arial" w:cs="Arial" w:eastAsia="Arial" w:hAnsi="Arial"/>
                <w:sz w:val="18"/>
                <w:szCs w:val="18"/>
                <w:color w:val="auto"/>
              </w:rPr>
              <w:t>Foreign exchange risk</w:t>
            </w:r>
          </w:p>
        </w:tc>
        <w:tc>
          <w:tcPr>
            <w:tcW w:w="1220" w:type="dxa"/>
            <w:vAlign w:val="bottom"/>
          </w:tcPr>
          <w:p>
            <w:pPr>
              <w:jc w:val="right"/>
              <w:spacing w:after="0"/>
              <w:rPr>
                <w:sz w:val="20"/>
                <w:szCs w:val="20"/>
                <w:color w:val="auto"/>
              </w:rPr>
            </w:pPr>
            <w:r>
              <w:rPr>
                <w:rFonts w:ascii="Arial" w:cs="Arial" w:eastAsia="Arial" w:hAnsi="Arial"/>
                <w:sz w:val="18"/>
                <w:szCs w:val="18"/>
                <w:color w:val="auto"/>
              </w:rPr>
              <w:t>25</w:t>
            </w:r>
          </w:p>
        </w:tc>
        <w:tc>
          <w:tcPr>
            <w:tcW w:w="2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600" w:type="dxa"/>
            <w:vAlign w:val="bottom"/>
            <w:gridSpan w:val="3"/>
          </w:tcPr>
          <w:p>
            <w:pPr>
              <w:jc w:val="right"/>
              <w:ind w:right="80"/>
              <w:spacing w:after="0"/>
              <w:rPr>
                <w:sz w:val="20"/>
                <w:szCs w:val="20"/>
                <w:color w:val="auto"/>
              </w:rPr>
            </w:pPr>
            <w:r>
              <w:rPr>
                <w:rFonts w:ascii="Arial" w:cs="Arial" w:eastAsia="Arial" w:hAnsi="Arial"/>
                <w:sz w:val="18"/>
                <w:szCs w:val="18"/>
                <w:color w:val="auto"/>
              </w:rPr>
              <w:t>(4)</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(5)</w:t>
            </w:r>
          </w:p>
        </w:tc>
        <w:tc>
          <w:tcPr>
            <w:tcW w:w="1200" w:type="dxa"/>
            <w:vAlign w:val="bottom"/>
          </w:tcPr>
          <w:p>
            <w:pPr>
              <w:jc w:val="right"/>
              <w:spacing w:after="0"/>
              <w:rPr>
                <w:sz w:val="20"/>
                <w:szCs w:val="20"/>
                <w:color w:val="auto"/>
              </w:rPr>
            </w:pPr>
            <w:r>
              <w:rPr>
                <w:rFonts w:ascii="Arial" w:cs="Arial" w:eastAsia="Arial" w:hAnsi="Arial"/>
                <w:sz w:val="18"/>
                <w:szCs w:val="18"/>
                <w:color w:val="auto"/>
              </w:rPr>
              <w:t>16</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gridSpan w:val="2"/>
          </w:tcPr>
          <w:p>
            <w:pPr>
              <w:ind w:left="60"/>
              <w:spacing w:after="0"/>
              <w:rPr>
                <w:sz w:val="20"/>
                <w:szCs w:val="20"/>
                <w:color w:val="auto"/>
              </w:rPr>
            </w:pPr>
            <w:r>
              <w:rPr>
                <w:rFonts w:ascii="Arial" w:cs="Arial" w:eastAsia="Arial" w:hAnsi="Arial"/>
                <w:sz w:val="18"/>
                <w:szCs w:val="18"/>
                <w:color w:val="auto"/>
              </w:rPr>
              <w:t>F-57</w:t>
            </w:r>
          </w:p>
        </w:tc>
        <w:tc>
          <w:tcPr>
            <w:tcW w:w="9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9" w:right="239" w:bottom="1440" w:gutter="0" w:footer="0" w:header="0"/>
        </w:sectPr>
      </w:pPr>
    </w:p>
    <w:bookmarkStart w:id="179" w:name="page180"/>
    <w:bookmarkEnd w:id="17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40" w:hanging="316"/>
        <w:spacing w:after="0"/>
        <w:tabs>
          <w:tab w:leader="none" w:pos="540" w:val="left"/>
        </w:tabs>
        <w:numPr>
          <w:ilvl w:val="0"/>
          <w:numId w:val="17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5.6 Derivative financial instruments for hedging purposes (continued)</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 versa. The Bank also engages in certain foreign exchange trades to serve customers’ transaction needs and to manage foreign currency risk. All such positions are hedged with an offsetting contract for the same currency.</w:t>
      </w:r>
    </w:p>
    <w:p>
      <w:pPr>
        <w:spacing w:after="0" w:line="187"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credit and investment portfolio. 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spacing w:after="0" w:line="173"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maximum length of time over which the Bank has hedged its exposure to the variability in future cash flows on forecasted transactions is 6.19 years.</w:t>
      </w:r>
    </w:p>
    <w:p>
      <w:pPr>
        <w:spacing w:after="0" w:line="248"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Bank estimates that approximately $610 reported as losses in OCI as of December 31, 2017, related to foreign exchange forward contracts, are expected to be reclassified into interest income as an adjustment to yield of hedged loans during the twelve-month year ending December 31, 2018.</w:t>
      </w:r>
    </w:p>
    <w:p>
      <w:pPr>
        <w:spacing w:after="0" w:line="124"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estimates that approximately $645 of losses reported in OCI as of December 31, 2017, related to forward foreign exchange contracts are expected to be reclassified into interest expense as an adjustment to yield of hedged available-for-sale securities during the twelve-month year ending December 31, 2018.</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Types of Derivatives and Foreign Exchange Instruments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193" w:lineRule="exact"/>
        <w:rPr>
          <w:sz w:val="20"/>
          <w:szCs w:val="20"/>
          <w:color w:val="auto"/>
        </w:rPr>
      </w:pPr>
    </w:p>
    <w:p>
      <w:pPr>
        <w:ind w:left="340"/>
        <w:spacing w:after="0"/>
        <w:rPr>
          <w:sz w:val="20"/>
          <w:szCs w:val="20"/>
          <w:color w:val="auto"/>
        </w:rPr>
      </w:pPr>
      <w:r>
        <w:rPr>
          <w:rFonts w:ascii="Arial" w:cs="Arial" w:eastAsia="Arial" w:hAnsi="Arial"/>
          <w:sz w:val="16"/>
          <w:szCs w:val="16"/>
          <w:color w:val="auto"/>
        </w:rPr>
        <w:t>In addition to hedging derivative financial instruments, the Bank has derivative financial instruments held for trading purposes as disclosed in Note 5.1.</w:t>
      </w:r>
    </w:p>
    <w:p>
      <w:pPr>
        <w:spacing w:after="0" w:line="24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5.7 Offsetting of financial assets and liabilities</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88"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180" w:name="page181"/>
    <w:bookmarkEnd w:id="18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40" w:hanging="316"/>
        <w:spacing w:after="0"/>
        <w:tabs>
          <w:tab w:leader="none" w:pos="540" w:val="left"/>
        </w:tabs>
        <w:numPr>
          <w:ilvl w:val="0"/>
          <w:numId w:val="17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5.7 Offsetting of financial assets and liabilities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tables summarize financial assets and liabilities that have been offset in the consolidated statement of financial position or are subject to master netting agreements:</w:t>
      </w:r>
    </w:p>
    <w:p>
      <w:pPr>
        <w:spacing w:after="0" w:line="170" w:lineRule="exact"/>
        <w:rPr>
          <w:sz w:val="20"/>
          <w:szCs w:val="20"/>
          <w:color w:val="auto"/>
        </w:rPr>
      </w:pPr>
    </w:p>
    <w:p>
      <w:pPr>
        <w:ind w:left="980" w:hanging="324"/>
        <w:spacing w:after="0"/>
        <w:tabs>
          <w:tab w:leader="none" w:pos="980" w:val="left"/>
        </w:tabs>
        <w:numPr>
          <w:ilvl w:val="0"/>
          <w:numId w:val="180"/>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6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gridSpan w:val="3"/>
          </w:tcPr>
          <w:p>
            <w:pPr>
              <w:jc w:val="center"/>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00" w:type="dxa"/>
            <w:vAlign w:val="bottom"/>
            <w:tcBorders>
              <w:top w:val="single" w:sz="8" w:color="auto"/>
            </w:tcBorders>
          </w:tcPr>
          <w:p>
            <w:pPr>
              <w:spacing w:after="0"/>
              <w:rPr>
                <w:sz w:val="16"/>
                <w:szCs w:val="16"/>
                <w:color w:val="auto"/>
              </w:rPr>
            </w:pPr>
          </w:p>
        </w:tc>
        <w:tc>
          <w:tcPr>
            <w:tcW w:w="1440" w:type="dxa"/>
            <w:vAlign w:val="bottom"/>
            <w:tcBorders>
              <w:top w:val="single" w:sz="8" w:color="auto"/>
            </w:tcBorders>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400" w:type="dxa"/>
            <w:vAlign w:val="bottom"/>
            <w:tcBorders>
              <w:top w:val="single" w:sz="8" w:color="auto"/>
            </w:tcBorders>
            <w:gridSpan w:val="5"/>
          </w:tcPr>
          <w:p>
            <w:pPr>
              <w:ind w:left="100"/>
              <w:spacing w:after="0" w:line="191" w:lineRule="exact"/>
              <w:rPr>
                <w:sz w:val="20"/>
                <w:szCs w:val="20"/>
                <w:color w:val="auto"/>
              </w:rPr>
            </w:pPr>
            <w:r>
              <w:rPr>
                <w:rFonts w:ascii="Arial" w:cs="Arial" w:eastAsia="Arial" w:hAnsi="Arial"/>
                <w:sz w:val="18"/>
                <w:szCs w:val="18"/>
                <w:b w:val="1"/>
                <w:bCs w:val="1"/>
                <w:color w:val="auto"/>
                <w:w w:val="94"/>
              </w:rPr>
              <w:t>Gross amounts not offset in</w:t>
            </w:r>
          </w:p>
        </w:tc>
        <w:tc>
          <w:tcPr>
            <w:tcW w:w="8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offset in the</w:t>
            </w:r>
          </w:p>
        </w:tc>
        <w:tc>
          <w:tcPr>
            <w:tcW w:w="10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2"/>
              </w:rPr>
              <w:t>assets presented</w:t>
            </w:r>
          </w:p>
        </w:tc>
        <w:tc>
          <w:tcPr>
            <w:tcW w:w="100" w:type="dxa"/>
            <w:vAlign w:val="bottom"/>
          </w:tcPr>
          <w:p>
            <w:pPr>
              <w:spacing w:after="0"/>
              <w:rPr>
                <w:sz w:val="18"/>
                <w:szCs w:val="18"/>
                <w:color w:val="auto"/>
              </w:rPr>
            </w:pPr>
          </w:p>
        </w:tc>
        <w:tc>
          <w:tcPr>
            <w:tcW w:w="2300" w:type="dxa"/>
            <w:vAlign w:val="bottom"/>
            <w:gridSpan w:val="4"/>
          </w:tcPr>
          <w:p>
            <w:pPr>
              <w:ind w:left="20"/>
              <w:spacing w:after="0"/>
              <w:rPr>
                <w:sz w:val="20"/>
                <w:szCs w:val="20"/>
                <w:color w:val="auto"/>
              </w:rPr>
            </w:pPr>
            <w:r>
              <w:rPr>
                <w:rFonts w:ascii="Arial" w:cs="Arial" w:eastAsia="Arial" w:hAnsi="Arial"/>
                <w:sz w:val="18"/>
                <w:szCs w:val="18"/>
                <w:b w:val="1"/>
                <w:bCs w:val="1"/>
                <w:color w:val="auto"/>
                <w:w w:val="96"/>
              </w:rPr>
              <w:t>the consolidated statement</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20"/>
                <w:szCs w:val="20"/>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in the</w:t>
            </w:r>
          </w:p>
        </w:tc>
        <w:tc>
          <w:tcPr>
            <w:tcW w:w="100" w:type="dxa"/>
            <w:vAlign w:val="bottom"/>
          </w:tcPr>
          <w:p>
            <w:pPr>
              <w:spacing w:after="0"/>
              <w:rPr>
                <w:sz w:val="20"/>
                <w:szCs w:val="20"/>
                <w:color w:val="auto"/>
              </w:rPr>
            </w:pPr>
          </w:p>
        </w:tc>
        <w:tc>
          <w:tcPr>
            <w:tcW w:w="2300" w:type="dxa"/>
            <w:vAlign w:val="bottom"/>
            <w:gridSpan w:val="4"/>
          </w:tcPr>
          <w:p>
            <w:pPr>
              <w:ind w:left="280"/>
              <w:spacing w:after="0"/>
              <w:rPr>
                <w:sz w:val="20"/>
                <w:szCs w:val="20"/>
                <w:color w:val="auto"/>
              </w:rPr>
            </w:pPr>
            <w:r>
              <w:rPr>
                <w:rFonts w:ascii="Arial" w:cs="Arial" w:eastAsia="Arial" w:hAnsi="Arial"/>
                <w:sz w:val="18"/>
                <w:szCs w:val="18"/>
                <w:b w:val="1"/>
                <w:bCs w:val="1"/>
                <w:color w:val="auto"/>
              </w:rPr>
              <w:t>of financial position</w:t>
            </w: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6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20" w:type="dxa"/>
            <w:vAlign w:val="bottom"/>
            <w:gridSpan w:val="2"/>
          </w:tcPr>
          <w:p>
            <w:pPr>
              <w:jc w:val="center"/>
              <w:ind w:right="80"/>
              <w:spacing w:after="0" w:line="191" w:lineRule="exact"/>
              <w:rPr>
                <w:sz w:val="20"/>
                <w:szCs w:val="20"/>
                <w:color w:val="auto"/>
              </w:rPr>
            </w:pPr>
            <w:r>
              <w:rPr>
                <w:rFonts w:ascii="Arial" w:cs="Arial" w:eastAsia="Arial" w:hAnsi="Arial"/>
                <w:sz w:val="18"/>
                <w:szCs w:val="18"/>
                <w:b w:val="1"/>
                <w:bCs w:val="1"/>
                <w:color w:val="auto"/>
                <w:w w:val="84"/>
              </w:rPr>
              <w:t>Gross</w:t>
            </w:r>
          </w:p>
        </w:tc>
        <w:tc>
          <w:tcPr>
            <w:tcW w:w="140" w:type="dxa"/>
            <w:vAlign w:val="bottom"/>
          </w:tcPr>
          <w:p>
            <w:pPr>
              <w:spacing w:after="0"/>
              <w:rPr>
                <w:sz w:val="16"/>
                <w:szCs w:val="16"/>
                <w:color w:val="auto"/>
              </w:rPr>
            </w:pPr>
          </w:p>
        </w:tc>
        <w:tc>
          <w:tcPr>
            <w:tcW w:w="126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00" w:type="dxa"/>
            <w:vAlign w:val="bottom"/>
          </w:tcPr>
          <w:p>
            <w:pPr>
              <w:spacing w:after="0"/>
              <w:rPr>
                <w:sz w:val="16"/>
                <w:szCs w:val="16"/>
                <w:color w:val="auto"/>
              </w:rPr>
            </w:pPr>
          </w:p>
        </w:tc>
        <w:tc>
          <w:tcPr>
            <w:tcW w:w="144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16"/>
                <w:szCs w:val="16"/>
                <w:color w:val="auto"/>
              </w:rPr>
            </w:pPr>
          </w:p>
        </w:tc>
        <w:tc>
          <w:tcPr>
            <w:tcW w:w="9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7"/>
              </w:rPr>
              <w:t>amounts</w:t>
            </w:r>
          </w:p>
        </w:tc>
        <w:tc>
          <w:tcPr>
            <w:tcW w:w="140" w:type="dxa"/>
            <w:vAlign w:val="bottom"/>
          </w:tcPr>
          <w:p>
            <w:pPr>
              <w:spacing w:after="0"/>
              <w:rPr>
                <w:sz w:val="18"/>
                <w:szCs w:val="18"/>
                <w:color w:val="auto"/>
              </w:rPr>
            </w:pPr>
          </w:p>
        </w:tc>
        <w:tc>
          <w:tcPr>
            <w:tcW w:w="12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financial</w:t>
            </w:r>
          </w:p>
        </w:tc>
        <w:tc>
          <w:tcPr>
            <w:tcW w:w="10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00" w:type="dxa"/>
            <w:vAlign w:val="bottom"/>
          </w:tcPr>
          <w:p>
            <w:pPr>
              <w:spacing w:after="0"/>
              <w:rPr>
                <w:sz w:val="18"/>
                <w:szCs w:val="18"/>
                <w:color w:val="auto"/>
              </w:rPr>
            </w:pPr>
          </w:p>
        </w:tc>
        <w:tc>
          <w:tcPr>
            <w:tcW w:w="1160" w:type="dxa"/>
            <w:vAlign w:val="bottom"/>
            <w:gridSpan w:val="2"/>
          </w:tcPr>
          <w:p>
            <w:pPr>
              <w:ind w:left="80"/>
              <w:spacing w:after="0"/>
              <w:rPr>
                <w:sz w:val="20"/>
                <w:szCs w:val="20"/>
                <w:color w:val="auto"/>
              </w:rPr>
            </w:pPr>
            <w:r>
              <w:rPr>
                <w:rFonts w:ascii="Arial" w:cs="Arial" w:eastAsia="Arial" w:hAnsi="Arial"/>
                <w:sz w:val="18"/>
                <w:szCs w:val="18"/>
                <w:b w:val="1"/>
                <w:bCs w:val="1"/>
                <w:color w:val="auto"/>
              </w:rPr>
              <w:t>Financial</w:t>
            </w: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1"/>
              </w:rPr>
              <w:t>collateral</w:t>
            </w:r>
          </w:p>
        </w:tc>
        <w:tc>
          <w:tcPr>
            <w:tcW w:w="9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6"/>
              </w:rPr>
              <w:t>Net</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40" w:type="dxa"/>
            <w:vAlign w:val="bottom"/>
            <w:gridSpan w:val="2"/>
          </w:tcPr>
          <w:p>
            <w:pPr>
              <w:ind w:left="1380"/>
              <w:spacing w:after="0"/>
              <w:rPr>
                <w:sz w:val="20"/>
                <w:szCs w:val="20"/>
                <w:color w:val="auto"/>
              </w:rPr>
            </w:pPr>
            <w:r>
              <w:rPr>
                <w:rFonts w:ascii="Arial" w:cs="Arial" w:eastAsia="Arial" w:hAnsi="Arial"/>
                <w:sz w:val="18"/>
                <w:szCs w:val="18"/>
                <w:b w:val="1"/>
                <w:bCs w:val="1"/>
                <w:color w:val="auto"/>
              </w:rPr>
              <w:t>Description</w:t>
            </w:r>
          </w:p>
        </w:tc>
        <w:tc>
          <w:tcPr>
            <w:tcW w:w="9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78"/>
              </w:rPr>
              <w:t>assets</w:t>
            </w:r>
          </w:p>
        </w:tc>
        <w:tc>
          <w:tcPr>
            <w:tcW w:w="140" w:type="dxa"/>
            <w:vAlign w:val="bottom"/>
          </w:tcPr>
          <w:p>
            <w:pPr>
              <w:spacing w:after="0"/>
              <w:rPr>
                <w:sz w:val="20"/>
                <w:szCs w:val="20"/>
                <w:color w:val="auto"/>
              </w:rPr>
            </w:pPr>
          </w:p>
        </w:tc>
        <w:tc>
          <w:tcPr>
            <w:tcW w:w="12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position</w:t>
            </w:r>
          </w:p>
        </w:tc>
        <w:tc>
          <w:tcPr>
            <w:tcW w:w="154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9"/>
              </w:rPr>
              <w:t>financial position</w:t>
            </w:r>
          </w:p>
        </w:tc>
        <w:tc>
          <w:tcPr>
            <w:tcW w:w="100" w:type="dxa"/>
            <w:vAlign w:val="bottom"/>
          </w:tcPr>
          <w:p>
            <w:pPr>
              <w:spacing w:after="0"/>
              <w:rPr>
                <w:sz w:val="20"/>
                <w:szCs w:val="20"/>
                <w:color w:val="auto"/>
              </w:rPr>
            </w:pPr>
          </w:p>
        </w:tc>
        <w:tc>
          <w:tcPr>
            <w:tcW w:w="1160" w:type="dxa"/>
            <w:vAlign w:val="bottom"/>
            <w:gridSpan w:val="2"/>
          </w:tcPr>
          <w:p>
            <w:pPr>
              <w:spacing w:after="0"/>
              <w:rPr>
                <w:sz w:val="20"/>
                <w:szCs w:val="20"/>
                <w:color w:val="auto"/>
              </w:rPr>
            </w:pPr>
            <w:r>
              <w:rPr>
                <w:rFonts w:ascii="Arial" w:cs="Arial" w:eastAsia="Arial" w:hAnsi="Arial"/>
                <w:sz w:val="18"/>
                <w:szCs w:val="18"/>
                <w:b w:val="1"/>
                <w:bCs w:val="1"/>
                <w:color w:val="auto"/>
              </w:rPr>
              <w:t>instruments</w:t>
            </w:r>
          </w:p>
        </w:tc>
        <w:tc>
          <w:tcPr>
            <w:tcW w:w="11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received</w:t>
            </w:r>
          </w:p>
        </w:tc>
        <w:tc>
          <w:tcPr>
            <w:tcW w:w="9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Amount</w:t>
            </w:r>
          </w:p>
        </w:tc>
        <w:tc>
          <w:tcPr>
            <w:tcW w:w="14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6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Derivative financial instruments used for hedging</w:t>
            </w:r>
          </w:p>
        </w:tc>
        <w:tc>
          <w:tcPr>
            <w:tcW w:w="100" w:type="dxa"/>
            <w:vAlign w:val="bottom"/>
            <w:tcBorders>
              <w:top w:val="single" w:sz="8" w:color="CCEEFF"/>
            </w:tcBorders>
            <w:shd w:val="clear" w:color="auto" w:fill="CCEEFF"/>
          </w:tcPr>
          <w:p>
            <w:pPr>
              <w:spacing w:after="0"/>
              <w:rPr>
                <w:sz w:val="16"/>
                <w:szCs w:val="16"/>
                <w:color w:val="auto"/>
              </w:rPr>
            </w:pPr>
          </w:p>
        </w:tc>
        <w:tc>
          <w:tcPr>
            <w:tcW w:w="840" w:type="dxa"/>
            <w:vAlign w:val="bottom"/>
            <w:tcBorders>
              <w:top w:val="single" w:sz="8" w:color="auto"/>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9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8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244"/>
        </w:trPr>
        <w:tc>
          <w:tcPr>
            <w:tcW w:w="340" w:type="dxa"/>
            <w:vAlign w:val="bottom"/>
          </w:tcPr>
          <w:p>
            <w:pPr>
              <w:spacing w:after="0"/>
              <w:rPr>
                <w:sz w:val="21"/>
                <w:szCs w:val="21"/>
                <w:color w:val="auto"/>
              </w:rPr>
            </w:pPr>
          </w:p>
        </w:tc>
        <w:tc>
          <w:tcPr>
            <w:tcW w:w="374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 receivable – at fair value</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13,338</w:t>
            </w:r>
          </w:p>
        </w:tc>
        <w:tc>
          <w:tcPr>
            <w:tcW w:w="1400" w:type="dxa"/>
            <w:vAlign w:val="bottom"/>
            <w:gridSpan w:val="3"/>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54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13,338</w:t>
            </w:r>
          </w:p>
        </w:tc>
        <w:tc>
          <w:tcPr>
            <w:tcW w:w="1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(22,304)</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(8,966)</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Total</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40" w:type="dxa"/>
            <w:vAlign w:val="bottom"/>
            <w:tcBorders>
              <w:top w:val="single" w:sz="8" w:color="auto"/>
              <w:bottom w:val="single" w:sz="8" w:color="auto"/>
            </w:tcBorders>
          </w:tcPr>
          <w:p>
            <w:pPr>
              <w:ind w:left="1080"/>
              <w:spacing w:after="0"/>
              <w:rPr>
                <w:sz w:val="20"/>
                <w:szCs w:val="20"/>
                <w:color w:val="auto"/>
              </w:rPr>
            </w:pPr>
            <w:r>
              <w:rPr>
                <w:rFonts w:ascii="Arial" w:cs="Arial" w:eastAsia="Arial" w:hAnsi="Arial"/>
                <w:sz w:val="16"/>
                <w:szCs w:val="16"/>
                <w:b w:val="1"/>
                <w:bCs w:val="1"/>
                <w:color w:val="auto"/>
                <w:w w:val="74"/>
              </w:rPr>
              <w:t>-</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(22,304</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(8,966</w:t>
            </w:r>
          </w:p>
        </w:tc>
        <w:tc>
          <w:tcPr>
            <w:tcW w:w="10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940" w:type="dxa"/>
            <w:vAlign w:val="bottom"/>
            <w:tcBorders>
              <w:bottom w:val="single" w:sz="8" w:color="auto"/>
            </w:tcBorders>
            <w:gridSpan w:val="6"/>
          </w:tcPr>
          <w:p>
            <w:pPr>
              <w:jc w:val="right"/>
              <w:ind w:right="1400"/>
              <w:spacing w:after="0"/>
              <w:rPr>
                <w:sz w:val="20"/>
                <w:szCs w:val="20"/>
                <w:color w:val="auto"/>
              </w:rPr>
            </w:pPr>
            <w:r>
              <w:rPr>
                <w:rFonts w:ascii="Arial" w:cs="Arial" w:eastAsia="Arial" w:hAnsi="Arial"/>
                <w:sz w:val="18"/>
                <w:szCs w:val="18"/>
                <w:b w:val="1"/>
                <w:bCs w:val="1"/>
                <w:color w:val="auto"/>
                <w:w w:val="93"/>
              </w:rPr>
              <w:t>December 31, 2016</w:t>
            </w:r>
          </w:p>
        </w:tc>
        <w:tc>
          <w:tcPr>
            <w:tcW w:w="1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6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0" w:type="dxa"/>
            <w:vAlign w:val="bottom"/>
            <w:gridSpan w:val="3"/>
          </w:tcPr>
          <w:p>
            <w:pPr>
              <w:jc w:val="center"/>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00" w:type="dxa"/>
            <w:vAlign w:val="bottom"/>
          </w:tcPr>
          <w:p>
            <w:pPr>
              <w:spacing w:after="0"/>
              <w:rPr>
                <w:sz w:val="16"/>
                <w:szCs w:val="16"/>
                <w:color w:val="auto"/>
              </w:rPr>
            </w:pPr>
          </w:p>
        </w:tc>
        <w:tc>
          <w:tcPr>
            <w:tcW w:w="14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400" w:type="dxa"/>
            <w:vAlign w:val="bottom"/>
            <w:gridSpan w:val="5"/>
          </w:tcPr>
          <w:p>
            <w:pPr>
              <w:ind w:left="100"/>
              <w:spacing w:after="0" w:line="191" w:lineRule="exact"/>
              <w:rPr>
                <w:sz w:val="20"/>
                <w:szCs w:val="20"/>
                <w:color w:val="auto"/>
              </w:rPr>
            </w:pPr>
            <w:r>
              <w:rPr>
                <w:rFonts w:ascii="Arial" w:cs="Arial" w:eastAsia="Arial" w:hAnsi="Arial"/>
                <w:sz w:val="18"/>
                <w:szCs w:val="18"/>
                <w:b w:val="1"/>
                <w:bCs w:val="1"/>
                <w:color w:val="auto"/>
                <w:w w:val="94"/>
              </w:rPr>
              <w:t>Gross amounts not offset in</w:t>
            </w: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offset in the</w:t>
            </w:r>
          </w:p>
        </w:tc>
        <w:tc>
          <w:tcPr>
            <w:tcW w:w="10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2"/>
              </w:rPr>
              <w:t>assets presented</w:t>
            </w:r>
          </w:p>
        </w:tc>
        <w:tc>
          <w:tcPr>
            <w:tcW w:w="100" w:type="dxa"/>
            <w:vAlign w:val="bottom"/>
          </w:tcPr>
          <w:p>
            <w:pPr>
              <w:spacing w:after="0"/>
              <w:rPr>
                <w:sz w:val="18"/>
                <w:szCs w:val="18"/>
                <w:color w:val="auto"/>
              </w:rPr>
            </w:pPr>
          </w:p>
        </w:tc>
        <w:tc>
          <w:tcPr>
            <w:tcW w:w="2300" w:type="dxa"/>
            <w:vAlign w:val="bottom"/>
            <w:gridSpan w:val="4"/>
          </w:tcPr>
          <w:p>
            <w:pPr>
              <w:ind w:left="20"/>
              <w:spacing w:after="0"/>
              <w:rPr>
                <w:sz w:val="20"/>
                <w:szCs w:val="20"/>
                <w:color w:val="auto"/>
              </w:rPr>
            </w:pPr>
            <w:r>
              <w:rPr>
                <w:rFonts w:ascii="Arial" w:cs="Arial" w:eastAsia="Arial" w:hAnsi="Arial"/>
                <w:sz w:val="18"/>
                <w:szCs w:val="18"/>
                <w:b w:val="1"/>
                <w:bCs w:val="1"/>
                <w:color w:val="auto"/>
                <w:w w:val="96"/>
              </w:rPr>
              <w:t>the consolidated statement</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20"/>
                <w:szCs w:val="20"/>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in the</w:t>
            </w:r>
          </w:p>
        </w:tc>
        <w:tc>
          <w:tcPr>
            <w:tcW w:w="100" w:type="dxa"/>
            <w:vAlign w:val="bottom"/>
          </w:tcPr>
          <w:p>
            <w:pPr>
              <w:spacing w:after="0"/>
              <w:rPr>
                <w:sz w:val="20"/>
                <w:szCs w:val="20"/>
                <w:color w:val="auto"/>
              </w:rPr>
            </w:pPr>
          </w:p>
        </w:tc>
        <w:tc>
          <w:tcPr>
            <w:tcW w:w="2300" w:type="dxa"/>
            <w:vAlign w:val="bottom"/>
            <w:gridSpan w:val="4"/>
          </w:tcPr>
          <w:p>
            <w:pPr>
              <w:ind w:left="280"/>
              <w:spacing w:after="0"/>
              <w:rPr>
                <w:sz w:val="20"/>
                <w:szCs w:val="20"/>
                <w:color w:val="auto"/>
              </w:rPr>
            </w:pPr>
            <w:r>
              <w:rPr>
                <w:rFonts w:ascii="Arial" w:cs="Arial" w:eastAsia="Arial" w:hAnsi="Arial"/>
                <w:sz w:val="18"/>
                <w:szCs w:val="18"/>
                <w:b w:val="1"/>
                <w:bCs w:val="1"/>
                <w:color w:val="auto"/>
              </w:rPr>
              <w:t>of financial position</w:t>
            </w: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6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20" w:type="dxa"/>
            <w:vAlign w:val="bottom"/>
            <w:gridSpan w:val="2"/>
          </w:tcPr>
          <w:p>
            <w:pPr>
              <w:jc w:val="center"/>
              <w:ind w:right="80"/>
              <w:spacing w:after="0" w:line="191" w:lineRule="exact"/>
              <w:rPr>
                <w:sz w:val="20"/>
                <w:szCs w:val="20"/>
                <w:color w:val="auto"/>
              </w:rPr>
            </w:pPr>
            <w:r>
              <w:rPr>
                <w:rFonts w:ascii="Arial" w:cs="Arial" w:eastAsia="Arial" w:hAnsi="Arial"/>
                <w:sz w:val="18"/>
                <w:szCs w:val="18"/>
                <w:b w:val="1"/>
                <w:bCs w:val="1"/>
                <w:color w:val="auto"/>
                <w:w w:val="84"/>
              </w:rPr>
              <w:t>Gross</w:t>
            </w:r>
          </w:p>
        </w:tc>
        <w:tc>
          <w:tcPr>
            <w:tcW w:w="140" w:type="dxa"/>
            <w:vAlign w:val="bottom"/>
          </w:tcPr>
          <w:p>
            <w:pPr>
              <w:spacing w:after="0"/>
              <w:rPr>
                <w:sz w:val="16"/>
                <w:szCs w:val="16"/>
                <w:color w:val="auto"/>
              </w:rPr>
            </w:pPr>
          </w:p>
        </w:tc>
        <w:tc>
          <w:tcPr>
            <w:tcW w:w="126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00" w:type="dxa"/>
            <w:vAlign w:val="bottom"/>
          </w:tcPr>
          <w:p>
            <w:pPr>
              <w:spacing w:after="0"/>
              <w:rPr>
                <w:sz w:val="16"/>
                <w:szCs w:val="16"/>
                <w:color w:val="auto"/>
              </w:rPr>
            </w:pPr>
          </w:p>
        </w:tc>
        <w:tc>
          <w:tcPr>
            <w:tcW w:w="144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16"/>
                <w:szCs w:val="16"/>
                <w:color w:val="auto"/>
              </w:rPr>
            </w:pPr>
          </w:p>
        </w:tc>
        <w:tc>
          <w:tcPr>
            <w:tcW w:w="9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7"/>
              </w:rPr>
              <w:t>amounts</w:t>
            </w:r>
          </w:p>
        </w:tc>
        <w:tc>
          <w:tcPr>
            <w:tcW w:w="140" w:type="dxa"/>
            <w:vAlign w:val="bottom"/>
          </w:tcPr>
          <w:p>
            <w:pPr>
              <w:spacing w:after="0"/>
              <w:rPr>
                <w:sz w:val="18"/>
                <w:szCs w:val="18"/>
                <w:color w:val="auto"/>
              </w:rPr>
            </w:pPr>
          </w:p>
        </w:tc>
        <w:tc>
          <w:tcPr>
            <w:tcW w:w="12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financial</w:t>
            </w:r>
          </w:p>
        </w:tc>
        <w:tc>
          <w:tcPr>
            <w:tcW w:w="10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00" w:type="dxa"/>
            <w:vAlign w:val="bottom"/>
          </w:tcPr>
          <w:p>
            <w:pPr>
              <w:spacing w:after="0"/>
              <w:rPr>
                <w:sz w:val="18"/>
                <w:szCs w:val="18"/>
                <w:color w:val="auto"/>
              </w:rPr>
            </w:pPr>
          </w:p>
        </w:tc>
        <w:tc>
          <w:tcPr>
            <w:tcW w:w="1160" w:type="dxa"/>
            <w:vAlign w:val="bottom"/>
            <w:gridSpan w:val="2"/>
          </w:tcPr>
          <w:p>
            <w:pPr>
              <w:ind w:left="80"/>
              <w:spacing w:after="0"/>
              <w:rPr>
                <w:sz w:val="20"/>
                <w:szCs w:val="20"/>
                <w:color w:val="auto"/>
              </w:rPr>
            </w:pPr>
            <w:r>
              <w:rPr>
                <w:rFonts w:ascii="Arial" w:cs="Arial" w:eastAsia="Arial" w:hAnsi="Arial"/>
                <w:sz w:val="18"/>
                <w:szCs w:val="18"/>
                <w:b w:val="1"/>
                <w:bCs w:val="1"/>
                <w:color w:val="auto"/>
              </w:rPr>
              <w:t>Financial</w:t>
            </w: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1"/>
              </w:rPr>
              <w:t>collateral</w:t>
            </w:r>
          </w:p>
        </w:tc>
        <w:tc>
          <w:tcPr>
            <w:tcW w:w="9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6"/>
              </w:rPr>
              <w:t>Net</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40" w:type="dxa"/>
            <w:vAlign w:val="bottom"/>
            <w:gridSpan w:val="2"/>
          </w:tcPr>
          <w:p>
            <w:pPr>
              <w:ind w:left="1380"/>
              <w:spacing w:after="0"/>
              <w:rPr>
                <w:sz w:val="20"/>
                <w:szCs w:val="20"/>
                <w:color w:val="auto"/>
              </w:rPr>
            </w:pPr>
            <w:r>
              <w:rPr>
                <w:rFonts w:ascii="Arial" w:cs="Arial" w:eastAsia="Arial" w:hAnsi="Arial"/>
                <w:sz w:val="18"/>
                <w:szCs w:val="18"/>
                <w:b w:val="1"/>
                <w:bCs w:val="1"/>
                <w:color w:val="auto"/>
              </w:rPr>
              <w:t>Description</w:t>
            </w:r>
          </w:p>
        </w:tc>
        <w:tc>
          <w:tcPr>
            <w:tcW w:w="9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78"/>
              </w:rPr>
              <w:t>assets</w:t>
            </w:r>
          </w:p>
        </w:tc>
        <w:tc>
          <w:tcPr>
            <w:tcW w:w="140" w:type="dxa"/>
            <w:vAlign w:val="bottom"/>
          </w:tcPr>
          <w:p>
            <w:pPr>
              <w:spacing w:after="0"/>
              <w:rPr>
                <w:sz w:val="20"/>
                <w:szCs w:val="20"/>
                <w:color w:val="auto"/>
              </w:rPr>
            </w:pPr>
          </w:p>
        </w:tc>
        <w:tc>
          <w:tcPr>
            <w:tcW w:w="12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position</w:t>
            </w:r>
          </w:p>
        </w:tc>
        <w:tc>
          <w:tcPr>
            <w:tcW w:w="154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9"/>
              </w:rPr>
              <w:t>financial position</w:t>
            </w:r>
          </w:p>
        </w:tc>
        <w:tc>
          <w:tcPr>
            <w:tcW w:w="100" w:type="dxa"/>
            <w:vAlign w:val="bottom"/>
          </w:tcPr>
          <w:p>
            <w:pPr>
              <w:spacing w:after="0"/>
              <w:rPr>
                <w:sz w:val="20"/>
                <w:szCs w:val="20"/>
                <w:color w:val="auto"/>
              </w:rPr>
            </w:pPr>
          </w:p>
        </w:tc>
        <w:tc>
          <w:tcPr>
            <w:tcW w:w="1160" w:type="dxa"/>
            <w:vAlign w:val="bottom"/>
            <w:gridSpan w:val="2"/>
          </w:tcPr>
          <w:p>
            <w:pPr>
              <w:spacing w:after="0"/>
              <w:rPr>
                <w:sz w:val="20"/>
                <w:szCs w:val="20"/>
                <w:color w:val="auto"/>
              </w:rPr>
            </w:pPr>
            <w:r>
              <w:rPr>
                <w:rFonts w:ascii="Arial" w:cs="Arial" w:eastAsia="Arial" w:hAnsi="Arial"/>
                <w:sz w:val="18"/>
                <w:szCs w:val="18"/>
                <w:b w:val="1"/>
                <w:bCs w:val="1"/>
                <w:color w:val="auto"/>
              </w:rPr>
              <w:t>instruments</w:t>
            </w:r>
          </w:p>
        </w:tc>
        <w:tc>
          <w:tcPr>
            <w:tcW w:w="11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received</w:t>
            </w:r>
          </w:p>
        </w:tc>
        <w:tc>
          <w:tcPr>
            <w:tcW w:w="9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Amount</w:t>
            </w:r>
          </w:p>
        </w:tc>
        <w:tc>
          <w:tcPr>
            <w:tcW w:w="14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6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Derivative financial instruments used for hedging</w:t>
            </w:r>
          </w:p>
        </w:tc>
        <w:tc>
          <w:tcPr>
            <w:tcW w:w="100" w:type="dxa"/>
            <w:vAlign w:val="bottom"/>
            <w:tcBorders>
              <w:top w:val="single" w:sz="8" w:color="CCEEFF"/>
            </w:tcBorders>
            <w:shd w:val="clear" w:color="auto" w:fill="CCEEFF"/>
          </w:tcPr>
          <w:p>
            <w:pPr>
              <w:spacing w:after="0"/>
              <w:rPr>
                <w:sz w:val="16"/>
                <w:szCs w:val="16"/>
                <w:color w:val="auto"/>
              </w:rPr>
            </w:pPr>
          </w:p>
        </w:tc>
        <w:tc>
          <w:tcPr>
            <w:tcW w:w="840" w:type="dxa"/>
            <w:vAlign w:val="bottom"/>
            <w:tcBorders>
              <w:top w:val="single" w:sz="8" w:color="auto"/>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9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8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244"/>
        </w:trPr>
        <w:tc>
          <w:tcPr>
            <w:tcW w:w="340" w:type="dxa"/>
            <w:vAlign w:val="bottom"/>
          </w:tcPr>
          <w:p>
            <w:pPr>
              <w:spacing w:after="0"/>
              <w:rPr>
                <w:sz w:val="21"/>
                <w:szCs w:val="21"/>
                <w:color w:val="auto"/>
              </w:rPr>
            </w:pPr>
          </w:p>
        </w:tc>
        <w:tc>
          <w:tcPr>
            <w:tcW w:w="374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 receivable – at fair value</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9,352</w:t>
            </w:r>
          </w:p>
        </w:tc>
        <w:tc>
          <w:tcPr>
            <w:tcW w:w="1400" w:type="dxa"/>
            <w:vAlign w:val="bottom"/>
            <w:gridSpan w:val="3"/>
            <w:shd w:val="clear" w:color="auto" w:fill="CCEEFF"/>
          </w:tcPr>
          <w:p>
            <w:pPr>
              <w:ind w:left="1220"/>
              <w:spacing w:after="0"/>
              <w:rPr>
                <w:sz w:val="20"/>
                <w:szCs w:val="20"/>
                <w:color w:val="auto"/>
              </w:rPr>
            </w:pPr>
            <w:r>
              <w:rPr>
                <w:rFonts w:ascii="Arial" w:cs="Arial" w:eastAsia="Arial" w:hAnsi="Arial"/>
                <w:sz w:val="18"/>
                <w:szCs w:val="18"/>
                <w:color w:val="auto"/>
              </w:rPr>
              <w:t>-</w:t>
            </w:r>
          </w:p>
        </w:tc>
        <w:tc>
          <w:tcPr>
            <w:tcW w:w="154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9,352</w:t>
            </w:r>
          </w:p>
        </w:tc>
        <w:tc>
          <w:tcPr>
            <w:tcW w:w="1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9,352</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3740" w:type="dxa"/>
            <w:vAlign w:val="bottom"/>
            <w:gridSpan w:val="2"/>
          </w:tcPr>
          <w:p>
            <w:pPr>
              <w:spacing w:after="0"/>
              <w:rPr>
                <w:sz w:val="20"/>
                <w:szCs w:val="20"/>
                <w:color w:val="auto"/>
              </w:rPr>
            </w:pPr>
            <w:r>
              <w:rPr>
                <w:rFonts w:ascii="Arial" w:cs="Arial" w:eastAsia="Arial" w:hAnsi="Arial"/>
                <w:sz w:val="18"/>
                <w:szCs w:val="18"/>
                <w:color w:val="auto"/>
              </w:rPr>
              <w:t>Total</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40" w:type="dxa"/>
            <w:vAlign w:val="bottom"/>
            <w:tcBorders>
              <w:top w:val="single" w:sz="8" w:color="auto"/>
              <w:bottom w:val="single" w:sz="8" w:color="auto"/>
            </w:tcBorders>
          </w:tcPr>
          <w:p>
            <w:pPr>
              <w:ind w:left="1080"/>
              <w:spacing w:after="0"/>
              <w:rPr>
                <w:sz w:val="20"/>
                <w:szCs w:val="20"/>
                <w:color w:val="auto"/>
              </w:rPr>
            </w:pPr>
            <w:r>
              <w:rPr>
                <w:rFonts w:ascii="Arial" w:cs="Arial" w:eastAsia="Arial" w:hAnsi="Arial"/>
                <w:sz w:val="16"/>
                <w:szCs w:val="16"/>
                <w:b w:val="1"/>
                <w:bCs w:val="1"/>
                <w:color w:val="auto"/>
                <w:w w:val="74"/>
              </w:rPr>
              <w:t>-</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Borders>
              <w:bottom w:val="single" w:sz="8" w:color="auto"/>
            </w:tcBorders>
          </w:tcPr>
          <w:p>
            <w:pPr>
              <w:spacing w:after="0"/>
              <w:rPr>
                <w:sz w:val="24"/>
                <w:szCs w:val="24"/>
                <w:color w:val="auto"/>
              </w:rPr>
            </w:pPr>
          </w:p>
        </w:tc>
        <w:tc>
          <w:tcPr>
            <w:tcW w:w="3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gridSpan w:val="2"/>
          </w:tcPr>
          <w:p>
            <w:pPr>
              <w:jc w:val="center"/>
              <w:ind w:right="80"/>
              <w:spacing w:after="0"/>
              <w:rPr>
                <w:sz w:val="20"/>
                <w:szCs w:val="20"/>
                <w:color w:val="auto"/>
              </w:rPr>
            </w:pPr>
            <w:r>
              <w:rPr>
                <w:rFonts w:ascii="Arial" w:cs="Arial" w:eastAsia="Arial" w:hAnsi="Arial"/>
                <w:sz w:val="18"/>
                <w:szCs w:val="18"/>
                <w:color w:val="auto"/>
                <w:w w:val="91"/>
              </w:rPr>
              <w:t>F-59</w:t>
            </w:r>
          </w:p>
        </w:tc>
        <w:tc>
          <w:tcPr>
            <w:tcW w:w="1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8" w:right="239" w:bottom="1440" w:gutter="0" w:footer="0" w:header="0"/>
        </w:sectPr>
      </w:pPr>
    </w:p>
    <w:bookmarkStart w:id="181" w:name="page182"/>
    <w:bookmarkEnd w:id="18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40" w:hanging="316"/>
        <w:spacing w:after="0"/>
        <w:tabs>
          <w:tab w:leader="none" w:pos="540" w:val="left"/>
        </w:tabs>
        <w:numPr>
          <w:ilvl w:val="0"/>
          <w:numId w:val="18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5.7 Offsetting of financial assets and liabilities (continued)</w:t>
      </w:r>
    </w:p>
    <w:p>
      <w:pPr>
        <w:spacing w:after="0" w:line="229" w:lineRule="exact"/>
        <w:rPr>
          <w:sz w:val="20"/>
          <w:szCs w:val="20"/>
          <w:color w:val="auto"/>
        </w:rPr>
      </w:pPr>
    </w:p>
    <w:p>
      <w:pPr>
        <w:ind w:left="980" w:hanging="324"/>
        <w:spacing w:after="0"/>
        <w:tabs>
          <w:tab w:leader="none" w:pos="980" w:val="left"/>
        </w:tabs>
        <w:numPr>
          <w:ilvl w:val="0"/>
          <w:numId w:val="182"/>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 (continued)</w:t>
      </w:r>
    </w:p>
    <w:p>
      <w:pPr>
        <w:spacing w:after="0" w:line="225" w:lineRule="exact"/>
        <w:rPr>
          <w:sz w:val="20"/>
          <w:szCs w:val="20"/>
          <w:color w:val="auto"/>
        </w:rPr>
      </w:pPr>
    </w:p>
    <w:p>
      <w:pPr>
        <w:ind w:left="60" w:firstLine="277"/>
        <w:spacing w:after="0" w:line="277" w:lineRule="auto"/>
        <w:rPr>
          <w:sz w:val="20"/>
          <w:szCs w:val="20"/>
          <w:color w:val="auto"/>
        </w:rPr>
      </w:pPr>
      <w:r>
        <w:rPr>
          <w:rFonts w:ascii="Arial" w:cs="Arial" w:eastAsia="Arial" w:hAnsi="Arial"/>
          <w:sz w:val="18"/>
          <w:szCs w:val="18"/>
          <w:color w:val="auto"/>
        </w:rPr>
        <w:t>The following table presents the reconciliation of assets that have been offset or are subject to master netting agreements to individual line items in the consolidated statement of financial position:</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62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220" w:type="dxa"/>
            <w:vAlign w:val="bottom"/>
            <w:gridSpan w:val="5"/>
          </w:tcPr>
          <w:p>
            <w:pPr>
              <w:ind w:left="140"/>
              <w:spacing w:after="0"/>
              <w:rPr>
                <w:sz w:val="20"/>
                <w:szCs w:val="20"/>
                <w:color w:val="auto"/>
              </w:rPr>
            </w:pPr>
            <w:r>
              <w:rPr>
                <w:rFonts w:ascii="Arial" w:cs="Arial" w:eastAsia="Arial" w:hAnsi="Arial"/>
                <w:sz w:val="18"/>
                <w:szCs w:val="18"/>
                <w:b w:val="1"/>
                <w:bCs w:val="1"/>
                <w:color w:val="auto"/>
              </w:rPr>
              <w:t>December 31, 2017</w:t>
            </w:r>
          </w:p>
        </w:tc>
      </w:tr>
      <w:tr>
        <w:trPr>
          <w:trHeight w:val="191"/>
        </w:trPr>
        <w:tc>
          <w:tcPr>
            <w:tcW w:w="62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54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6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r>
      <w:tr>
        <w:trPr>
          <w:trHeight w:val="216"/>
        </w:trPr>
        <w:tc>
          <w:tcPr>
            <w:tcW w:w="6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6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Gross amounts</w:t>
            </w:r>
          </w:p>
        </w:tc>
        <w:tc>
          <w:tcPr>
            <w:tcW w:w="15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r>
      <w:tr>
        <w:trPr>
          <w:trHeight w:val="234"/>
        </w:trPr>
        <w:tc>
          <w:tcPr>
            <w:tcW w:w="6240" w:type="dxa"/>
            <w:vAlign w:val="bottom"/>
            <w:gridSpan w:val="2"/>
          </w:tcPr>
          <w:p>
            <w:pPr>
              <w:ind w:left="2680"/>
              <w:spacing w:after="0"/>
              <w:rPr>
                <w:sz w:val="20"/>
                <w:szCs w:val="20"/>
                <w:color w:val="auto"/>
              </w:rPr>
            </w:pPr>
            <w:r>
              <w:rPr>
                <w:rFonts w:ascii="Arial" w:cs="Arial" w:eastAsia="Arial" w:hAnsi="Arial"/>
                <w:sz w:val="18"/>
                <w:szCs w:val="18"/>
                <w:b w:val="1"/>
                <w:bCs w:val="1"/>
                <w:color w:val="auto"/>
              </w:rPr>
              <w:t>Description</w:t>
            </w: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3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79"/>
              </w:rPr>
              <w:t>of assets</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r>
      <w:tr>
        <w:trPr>
          <w:trHeight w:val="223"/>
        </w:trPr>
        <w:tc>
          <w:tcPr>
            <w:tcW w:w="624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 – at fair value</w:t>
            </w:r>
          </w:p>
        </w:tc>
        <w:tc>
          <w:tcPr>
            <w:tcW w:w="8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13,338</w:t>
            </w:r>
          </w:p>
        </w:tc>
        <w:tc>
          <w:tcPr>
            <w:tcW w:w="22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13,338</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r>
      <w:tr>
        <w:trPr>
          <w:trHeight w:val="223"/>
        </w:trPr>
        <w:tc>
          <w:tcPr>
            <w:tcW w:w="6240" w:type="dxa"/>
            <w:vAlign w:val="bottom"/>
            <w:gridSpan w:val="2"/>
          </w:tcPr>
          <w:p>
            <w:pPr>
              <w:spacing w:after="0"/>
              <w:rPr>
                <w:sz w:val="20"/>
                <w:szCs w:val="20"/>
                <w:color w:val="auto"/>
              </w:rPr>
            </w:pPr>
            <w:r>
              <w:rPr>
                <w:rFonts w:ascii="Arial" w:cs="Arial" w:eastAsia="Arial" w:hAnsi="Arial"/>
                <w:sz w:val="18"/>
                <w:szCs w:val="18"/>
                <w:color w:val="auto"/>
              </w:rPr>
              <w:t>Total</w:t>
            </w: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6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6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220" w:type="dxa"/>
            <w:vAlign w:val="bottom"/>
            <w:gridSpan w:val="5"/>
          </w:tcPr>
          <w:p>
            <w:pPr>
              <w:ind w:left="120"/>
              <w:spacing w:after="0"/>
              <w:rPr>
                <w:sz w:val="20"/>
                <w:szCs w:val="20"/>
                <w:color w:val="auto"/>
              </w:rPr>
            </w:pPr>
            <w:r>
              <w:rPr>
                <w:rFonts w:ascii="Arial" w:cs="Arial" w:eastAsia="Arial" w:hAnsi="Arial"/>
                <w:sz w:val="18"/>
                <w:szCs w:val="18"/>
                <w:b w:val="1"/>
                <w:bCs w:val="1"/>
                <w:color w:val="auto"/>
              </w:rPr>
              <w:t>December 31, 2016</w:t>
            </w:r>
          </w:p>
        </w:tc>
      </w:tr>
      <w:tr>
        <w:trPr>
          <w:trHeight w:val="191"/>
        </w:trPr>
        <w:tc>
          <w:tcPr>
            <w:tcW w:w="62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54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gridSpan w:val="2"/>
          </w:tcPr>
          <w:p>
            <w:pPr>
              <w:spacing w:after="0"/>
              <w:rPr>
                <w:sz w:val="16"/>
                <w:szCs w:val="16"/>
                <w:color w:val="auto"/>
              </w:rPr>
            </w:pPr>
          </w:p>
        </w:tc>
      </w:tr>
      <w:tr>
        <w:trPr>
          <w:trHeight w:val="216"/>
        </w:trPr>
        <w:tc>
          <w:tcPr>
            <w:tcW w:w="6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r>
      <w:tr>
        <w:trPr>
          <w:trHeight w:val="216"/>
        </w:trPr>
        <w:tc>
          <w:tcPr>
            <w:tcW w:w="6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6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6"/>
              </w:rPr>
              <w:t>Gross amounts</w:t>
            </w:r>
          </w:p>
        </w:tc>
        <w:tc>
          <w:tcPr>
            <w:tcW w:w="15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r>
      <w:tr>
        <w:trPr>
          <w:trHeight w:val="234"/>
        </w:trPr>
        <w:tc>
          <w:tcPr>
            <w:tcW w:w="6240" w:type="dxa"/>
            <w:vAlign w:val="bottom"/>
            <w:gridSpan w:val="2"/>
          </w:tcPr>
          <w:p>
            <w:pPr>
              <w:ind w:left="2660"/>
              <w:spacing w:after="0"/>
              <w:rPr>
                <w:sz w:val="20"/>
                <w:szCs w:val="20"/>
                <w:color w:val="auto"/>
              </w:rPr>
            </w:pPr>
            <w:r>
              <w:rPr>
                <w:rFonts w:ascii="Arial" w:cs="Arial" w:eastAsia="Arial" w:hAnsi="Arial"/>
                <w:sz w:val="18"/>
                <w:szCs w:val="18"/>
                <w:b w:val="1"/>
                <w:bCs w:val="1"/>
                <w:color w:val="auto"/>
              </w:rPr>
              <w:t>Description</w:t>
            </w: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1"/>
              </w:rPr>
              <w:t>of assets</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6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r>
      <w:tr>
        <w:trPr>
          <w:trHeight w:val="223"/>
        </w:trPr>
        <w:tc>
          <w:tcPr>
            <w:tcW w:w="62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 – at fair value</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9,352</w:t>
            </w:r>
          </w:p>
        </w:tc>
        <w:tc>
          <w:tcPr>
            <w:tcW w:w="22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9,352</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r>
      <w:tr>
        <w:trPr>
          <w:trHeight w:val="223"/>
        </w:trPr>
        <w:tc>
          <w:tcPr>
            <w:tcW w:w="6240" w:type="dxa"/>
            <w:vAlign w:val="bottom"/>
            <w:gridSpan w:val="2"/>
          </w:tcPr>
          <w:p>
            <w:pPr>
              <w:spacing w:after="0"/>
              <w:rPr>
                <w:sz w:val="20"/>
                <w:szCs w:val="20"/>
                <w:color w:val="auto"/>
              </w:rPr>
            </w:pPr>
            <w:r>
              <w:rPr>
                <w:rFonts w:ascii="Arial" w:cs="Arial" w:eastAsia="Arial" w:hAnsi="Arial"/>
                <w:sz w:val="18"/>
                <w:szCs w:val="18"/>
                <w:color w:val="auto"/>
              </w:rPr>
              <w:t>Total</w:t>
            </w:r>
          </w:p>
        </w:tc>
        <w:tc>
          <w:tcPr>
            <w:tcW w:w="80" w:type="dxa"/>
            <w:vAlign w:val="bottom"/>
          </w:tcPr>
          <w:p>
            <w:pPr>
              <w:spacing w:after="0"/>
              <w:rPr>
                <w:sz w:val="19"/>
                <w:szCs w:val="19"/>
                <w:color w:val="auto"/>
              </w:rPr>
            </w:pPr>
          </w:p>
        </w:tc>
        <w:tc>
          <w:tcPr>
            <w:tcW w:w="11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9,352</w:t>
            </w:r>
          </w:p>
        </w:tc>
        <w:tc>
          <w:tcPr>
            <w:tcW w:w="22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6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980" w:hanging="324"/>
        <w:spacing w:after="0"/>
        <w:tabs>
          <w:tab w:leader="none" w:pos="980" w:val="left"/>
        </w:tabs>
        <w:numPr>
          <w:ilvl w:val="0"/>
          <w:numId w:val="183"/>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w:t>
      </w:r>
    </w:p>
    <w:p>
      <w:pPr>
        <w:spacing w:after="0" w:line="221" w:lineRule="exact"/>
        <w:rPr>
          <w:rFonts w:ascii="Arial" w:cs="Arial" w:eastAsia="Arial" w:hAnsi="Arial"/>
          <w:sz w:val="18"/>
          <w:szCs w:val="18"/>
          <w:color w:val="auto"/>
        </w:rPr>
      </w:pPr>
    </w:p>
    <w:p>
      <w:pPr>
        <w:ind w:left="5080"/>
        <w:spacing w:after="0"/>
        <w:rPr>
          <w:rFonts w:ascii="Arial" w:cs="Arial" w:eastAsia="Arial" w:hAnsi="Arial"/>
          <w:sz w:val="18"/>
          <w:szCs w:val="18"/>
          <w:color w:val="auto"/>
        </w:rPr>
      </w:pPr>
      <w:r>
        <w:rPr>
          <w:rFonts w:ascii="Arial" w:cs="Arial" w:eastAsia="Arial" w:hAnsi="Arial"/>
          <w:sz w:val="18"/>
          <w:szCs w:val="18"/>
          <w:b w:val="1"/>
          <w:bCs w:val="1"/>
          <w:color w:val="auto"/>
        </w:rPr>
        <w:t>December 31, 2017</w:t>
      </w:r>
    </w:p>
    <w:p>
      <w:pPr>
        <w:sectPr>
          <w:pgSz w:w="11900" w:h="16838" w:orient="portrait"/>
          <w:cols w:equalWidth="0" w:num="1">
            <w:col w:w="11420"/>
          </w:cols>
          <w:pgMar w:left="240" w:top="689"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1980"/>
        <w:spacing w:after="0"/>
        <w:rPr>
          <w:sz w:val="20"/>
          <w:szCs w:val="20"/>
          <w:color w:val="auto"/>
        </w:rPr>
      </w:pPr>
      <w:r>
        <w:rPr>
          <w:rFonts w:ascii="Arial" w:cs="Arial" w:eastAsia="Arial" w:hAnsi="Arial"/>
          <w:sz w:val="18"/>
          <w:szCs w:val="18"/>
          <w:b w:val="1"/>
          <w:bCs w:val="1"/>
          <w:color w:val="auto"/>
        </w:rPr>
        <w:t>Description</w:t>
      </w:r>
    </w:p>
    <w:p>
      <w:pPr>
        <w:spacing w:after="0" w:line="27" w:lineRule="exact"/>
        <w:rPr>
          <w:sz w:val="20"/>
          <w:szCs w:val="20"/>
          <w:color w:val="auto"/>
        </w:rPr>
      </w:pPr>
    </w:p>
    <w:p>
      <w:pPr>
        <w:ind w:left="440" w:hanging="98"/>
        <w:spacing w:after="0" w:line="258" w:lineRule="auto"/>
        <w:rPr>
          <w:sz w:val="20"/>
          <w:szCs w:val="20"/>
          <w:color w:val="auto"/>
        </w:rPr>
      </w:pPr>
      <w:r>
        <w:rPr>
          <w:rFonts w:ascii="Arial" w:cs="Arial" w:eastAsia="Arial" w:hAnsi="Arial"/>
          <w:sz w:val="18"/>
          <w:szCs w:val="18"/>
          <w:color w:val="auto"/>
        </w:rPr>
        <w:t>Derivative financial instruments used for hedging – payable – at fair value</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1"/>
        </w:trPr>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Net amount</w:t>
            </w:r>
          </w:p>
        </w:tc>
        <w:tc>
          <w:tcPr>
            <w:tcW w:w="120" w:type="dxa"/>
            <w:vAlign w:val="bottom"/>
          </w:tcPr>
          <w:p>
            <w:pPr>
              <w:spacing w:after="0"/>
              <w:rPr>
                <w:sz w:val="18"/>
                <w:szCs w:val="18"/>
                <w:color w:val="auto"/>
              </w:rPr>
            </w:pPr>
          </w:p>
        </w:tc>
        <w:tc>
          <w:tcPr>
            <w:tcW w:w="222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7"/>
              </w:rPr>
              <w:t>Gross amounts not offset</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Gross</w:t>
            </w:r>
          </w:p>
        </w:tc>
        <w:tc>
          <w:tcPr>
            <w:tcW w:w="1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of liabilities</w:t>
            </w:r>
          </w:p>
        </w:tc>
        <w:tc>
          <w:tcPr>
            <w:tcW w:w="120" w:type="dxa"/>
            <w:vAlign w:val="bottom"/>
          </w:tcPr>
          <w:p>
            <w:pPr>
              <w:spacing w:after="0"/>
              <w:rPr>
                <w:sz w:val="18"/>
                <w:szCs w:val="18"/>
                <w:color w:val="auto"/>
              </w:rPr>
            </w:pPr>
          </w:p>
        </w:tc>
        <w:tc>
          <w:tcPr>
            <w:tcW w:w="222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7"/>
              </w:rPr>
              <w:t>in the consolidated</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120" w:type="dxa"/>
            <w:vAlign w:val="bottom"/>
          </w:tcPr>
          <w:p>
            <w:pPr>
              <w:spacing w:after="0"/>
              <w:rPr>
                <w:sz w:val="18"/>
                <w:szCs w:val="18"/>
                <w:color w:val="auto"/>
              </w:rPr>
            </w:pPr>
          </w:p>
        </w:tc>
        <w:tc>
          <w:tcPr>
            <w:tcW w:w="222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9"/>
              </w:rPr>
              <w:t>statement of financial</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34"/>
        </w:trPr>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0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1"/>
              </w:rPr>
              <w:t>in the</w:t>
            </w:r>
          </w:p>
        </w:tc>
        <w:tc>
          <w:tcPr>
            <w:tcW w:w="120" w:type="dxa"/>
            <w:vAlign w:val="bottom"/>
          </w:tcPr>
          <w:p>
            <w:pPr>
              <w:spacing w:after="0"/>
              <w:rPr>
                <w:sz w:val="20"/>
                <w:szCs w:val="20"/>
                <w:color w:val="auto"/>
              </w:rPr>
            </w:pPr>
          </w:p>
        </w:tc>
        <w:tc>
          <w:tcPr>
            <w:tcW w:w="222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5"/>
              </w:rPr>
              <w:t>position</w:t>
            </w:r>
          </w:p>
        </w:tc>
        <w:tc>
          <w:tcPr>
            <w:tcW w:w="8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r>
      <w:tr>
        <w:trPr>
          <w:trHeight w:val="178"/>
        </w:trPr>
        <w:tc>
          <w:tcPr>
            <w:tcW w:w="1080" w:type="dxa"/>
            <w:vAlign w:val="bottom"/>
            <w:gridSpan w:val="2"/>
          </w:tcPr>
          <w:p>
            <w:pPr>
              <w:jc w:val="center"/>
              <w:ind w:right="280"/>
              <w:spacing w:after="0" w:line="178" w:lineRule="exact"/>
              <w:rPr>
                <w:sz w:val="20"/>
                <w:szCs w:val="20"/>
                <w:color w:val="auto"/>
              </w:rPr>
            </w:pPr>
            <w:r>
              <w:rPr>
                <w:rFonts w:ascii="Arial" w:cs="Arial" w:eastAsia="Arial" w:hAnsi="Arial"/>
                <w:sz w:val="18"/>
                <w:szCs w:val="18"/>
                <w:b w:val="1"/>
                <w:bCs w:val="1"/>
                <w:color w:val="auto"/>
                <w:w w:val="84"/>
              </w:rPr>
              <w:t>Gross</w:t>
            </w:r>
          </w:p>
        </w:tc>
        <w:tc>
          <w:tcPr>
            <w:tcW w:w="1200" w:type="dxa"/>
            <w:vAlign w:val="bottom"/>
            <w:gridSpan w:val="2"/>
          </w:tcPr>
          <w:p>
            <w:pPr>
              <w:jc w:val="center"/>
              <w:ind w:right="200"/>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080" w:type="dxa"/>
            <w:vAlign w:val="bottom"/>
            <w:gridSpan w:val="2"/>
          </w:tcPr>
          <w:p>
            <w:pPr>
              <w:jc w:val="center"/>
              <w:ind w:right="80"/>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20" w:type="dxa"/>
            <w:vAlign w:val="bottom"/>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86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0" w:type="dxa"/>
            <w:vAlign w:val="bottom"/>
          </w:tcPr>
          <w:p>
            <w:pPr>
              <w:spacing w:after="0"/>
              <w:rPr>
                <w:sz w:val="15"/>
                <w:szCs w:val="15"/>
                <w:color w:val="auto"/>
              </w:rPr>
            </w:pPr>
          </w:p>
        </w:tc>
      </w:tr>
      <w:tr>
        <w:trPr>
          <w:trHeight w:val="216"/>
        </w:trPr>
        <w:tc>
          <w:tcPr>
            <w:tcW w:w="10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Cash</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108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of</w:t>
            </w:r>
          </w:p>
        </w:tc>
        <w:tc>
          <w:tcPr>
            <w:tcW w:w="1200" w:type="dxa"/>
            <w:vAlign w:val="bottom"/>
            <w:gridSpan w:val="2"/>
          </w:tcPr>
          <w:p>
            <w:pPr>
              <w:ind w:left="180"/>
              <w:spacing w:after="0"/>
              <w:rPr>
                <w:sz w:val="20"/>
                <w:szCs w:val="20"/>
                <w:color w:val="auto"/>
              </w:rPr>
            </w:pPr>
            <w:r>
              <w:rPr>
                <w:rFonts w:ascii="Arial" w:cs="Arial" w:eastAsia="Arial" w:hAnsi="Arial"/>
                <w:sz w:val="18"/>
                <w:szCs w:val="18"/>
                <w:b w:val="1"/>
                <w:bCs w:val="1"/>
                <w:color w:val="auto"/>
              </w:rPr>
              <w:t>financial</w:t>
            </w:r>
          </w:p>
        </w:tc>
        <w:tc>
          <w:tcPr>
            <w:tcW w:w="10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3"/>
              </w:rPr>
              <w:t>financial</w:t>
            </w:r>
          </w:p>
        </w:tc>
        <w:tc>
          <w:tcPr>
            <w:tcW w:w="120" w:type="dxa"/>
            <w:vAlign w:val="bottom"/>
          </w:tcPr>
          <w:p>
            <w:pPr>
              <w:spacing w:after="0"/>
              <w:rPr>
                <w:sz w:val="18"/>
                <w:szCs w:val="18"/>
                <w:color w:val="auto"/>
              </w:rPr>
            </w:pPr>
          </w:p>
        </w:tc>
        <w:tc>
          <w:tcPr>
            <w:tcW w:w="1140" w:type="dxa"/>
            <w:vAlign w:val="bottom"/>
            <w:gridSpan w:val="2"/>
          </w:tcPr>
          <w:p>
            <w:pPr>
              <w:ind w:left="100"/>
              <w:spacing w:after="0"/>
              <w:rPr>
                <w:sz w:val="20"/>
                <w:szCs w:val="20"/>
                <w:color w:val="auto"/>
              </w:rPr>
            </w:pPr>
            <w:r>
              <w:rPr>
                <w:rFonts w:ascii="Arial" w:cs="Arial" w:eastAsia="Arial" w:hAnsi="Arial"/>
                <w:sz w:val="18"/>
                <w:szCs w:val="18"/>
                <w:b w:val="1"/>
                <w:bCs w:val="1"/>
                <w:color w:val="auto"/>
              </w:rPr>
              <w:t>Financial</w:t>
            </w: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collateral</w:t>
            </w:r>
          </w:p>
        </w:tc>
        <w:tc>
          <w:tcPr>
            <w:tcW w:w="920" w:type="dxa"/>
            <w:vAlign w:val="bottom"/>
            <w:gridSpan w:val="3"/>
          </w:tcPr>
          <w:p>
            <w:pPr>
              <w:jc w:val="right"/>
              <w:ind w:right="340"/>
              <w:spacing w:after="0"/>
              <w:rPr>
                <w:sz w:val="20"/>
                <w:szCs w:val="20"/>
                <w:color w:val="auto"/>
              </w:rPr>
            </w:pPr>
            <w:r>
              <w:rPr>
                <w:rFonts w:ascii="Arial" w:cs="Arial" w:eastAsia="Arial" w:hAnsi="Arial"/>
                <w:sz w:val="18"/>
                <w:szCs w:val="18"/>
                <w:b w:val="1"/>
                <w:bCs w:val="1"/>
                <w:color w:val="auto"/>
              </w:rPr>
              <w:t>Net</w:t>
            </w:r>
          </w:p>
        </w:tc>
      </w:tr>
      <w:tr>
        <w:trPr>
          <w:trHeight w:val="234"/>
        </w:trPr>
        <w:tc>
          <w:tcPr>
            <w:tcW w:w="860" w:type="dxa"/>
            <w:vAlign w:val="bottom"/>
          </w:tcPr>
          <w:p>
            <w:pPr>
              <w:jc w:val="center"/>
              <w:spacing w:after="0"/>
              <w:rPr>
                <w:sz w:val="20"/>
                <w:szCs w:val="20"/>
                <w:color w:val="auto"/>
              </w:rPr>
            </w:pPr>
            <w:r>
              <w:rPr>
                <w:rFonts w:ascii="Arial" w:cs="Arial" w:eastAsia="Arial" w:hAnsi="Arial"/>
                <w:sz w:val="18"/>
                <w:szCs w:val="18"/>
                <w:b w:val="1"/>
                <w:bCs w:val="1"/>
                <w:color w:val="auto"/>
                <w:w w:val="90"/>
              </w:rPr>
              <w:t>liabilities</w:t>
            </w:r>
          </w:p>
        </w:tc>
        <w:tc>
          <w:tcPr>
            <w:tcW w:w="220" w:type="dxa"/>
            <w:vAlign w:val="bottom"/>
          </w:tcPr>
          <w:p>
            <w:pPr>
              <w:spacing w:after="0"/>
              <w:rPr>
                <w:sz w:val="20"/>
                <w:szCs w:val="20"/>
                <w:color w:val="auto"/>
              </w:rPr>
            </w:pPr>
          </w:p>
        </w:tc>
        <w:tc>
          <w:tcPr>
            <w:tcW w:w="1000" w:type="dxa"/>
            <w:vAlign w:val="bottom"/>
          </w:tcPr>
          <w:p>
            <w:pPr>
              <w:jc w:val="right"/>
              <w:ind w:right="90"/>
              <w:spacing w:after="0"/>
              <w:rPr>
                <w:sz w:val="20"/>
                <w:szCs w:val="20"/>
                <w:color w:val="auto"/>
              </w:rPr>
            </w:pPr>
            <w:r>
              <w:rPr>
                <w:rFonts w:ascii="Arial" w:cs="Arial" w:eastAsia="Arial" w:hAnsi="Arial"/>
                <w:sz w:val="18"/>
                <w:szCs w:val="18"/>
                <w:b w:val="1"/>
                <w:bCs w:val="1"/>
                <w:color w:val="auto"/>
              </w:rPr>
              <w:t>position</w:t>
            </w:r>
          </w:p>
        </w:tc>
        <w:tc>
          <w:tcPr>
            <w:tcW w:w="200" w:type="dxa"/>
            <w:vAlign w:val="bottom"/>
          </w:tcPr>
          <w:p>
            <w:pPr>
              <w:spacing w:after="0"/>
              <w:rPr>
                <w:sz w:val="20"/>
                <w:szCs w:val="20"/>
                <w:color w:val="auto"/>
              </w:rPr>
            </w:pPr>
          </w:p>
        </w:tc>
        <w:tc>
          <w:tcPr>
            <w:tcW w:w="980" w:type="dxa"/>
            <w:vAlign w:val="bottom"/>
          </w:tcPr>
          <w:p>
            <w:pPr>
              <w:jc w:val="center"/>
              <w:spacing w:after="0"/>
              <w:rPr>
                <w:sz w:val="20"/>
                <w:szCs w:val="20"/>
                <w:color w:val="auto"/>
              </w:rPr>
            </w:pPr>
            <w:r>
              <w:rPr>
                <w:rFonts w:ascii="Arial" w:cs="Arial" w:eastAsia="Arial" w:hAnsi="Arial"/>
                <w:sz w:val="18"/>
                <w:szCs w:val="18"/>
                <w:b w:val="1"/>
                <w:bCs w:val="1"/>
                <w:color w:val="auto"/>
                <w:w w:val="85"/>
              </w:rPr>
              <w:t>position</w:t>
            </w:r>
          </w:p>
        </w:tc>
        <w:tc>
          <w:tcPr>
            <w:tcW w:w="100" w:type="dxa"/>
            <w:vAlign w:val="bottom"/>
          </w:tcPr>
          <w:p>
            <w:pPr>
              <w:spacing w:after="0"/>
              <w:rPr>
                <w:sz w:val="20"/>
                <w:szCs w:val="20"/>
                <w:color w:val="auto"/>
              </w:rPr>
            </w:pPr>
          </w:p>
        </w:tc>
        <w:tc>
          <w:tcPr>
            <w:tcW w:w="126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8"/>
              </w:rPr>
              <w:t>instruments</w:t>
            </w:r>
          </w:p>
        </w:tc>
        <w:tc>
          <w:tcPr>
            <w:tcW w:w="10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pledged</w:t>
            </w:r>
          </w:p>
        </w:tc>
        <w:tc>
          <w:tcPr>
            <w:tcW w:w="920" w:type="dxa"/>
            <w:vAlign w:val="bottom"/>
            <w:gridSpan w:val="3"/>
          </w:tcPr>
          <w:p>
            <w:pPr>
              <w:jc w:val="right"/>
              <w:ind w:right="140"/>
              <w:spacing w:after="0"/>
              <w:rPr>
                <w:sz w:val="20"/>
                <w:szCs w:val="20"/>
                <w:color w:val="auto"/>
              </w:rPr>
            </w:pPr>
            <w:r>
              <w:rPr>
                <w:rFonts w:ascii="Arial" w:cs="Arial" w:eastAsia="Arial" w:hAnsi="Arial"/>
                <w:sz w:val="18"/>
                <w:szCs w:val="18"/>
                <w:b w:val="1"/>
                <w:bCs w:val="1"/>
                <w:color w:val="auto"/>
              </w:rPr>
              <w:t>Amount</w:t>
            </w:r>
          </w:p>
        </w:tc>
      </w:tr>
      <w:tr>
        <w:trPr>
          <w:trHeight w:val="20"/>
        </w:trPr>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r>
      <w:tr>
        <w:trPr>
          <w:trHeight w:val="439"/>
        </w:trPr>
        <w:tc>
          <w:tcPr>
            <w:tcW w:w="860" w:type="dxa"/>
            <w:vAlign w:val="bottom"/>
          </w:tcPr>
          <w:p>
            <w:pPr>
              <w:jc w:val="right"/>
              <w:spacing w:after="0"/>
              <w:rPr>
                <w:sz w:val="20"/>
                <w:szCs w:val="20"/>
                <w:color w:val="auto"/>
              </w:rPr>
            </w:pPr>
            <w:r>
              <w:rPr>
                <w:rFonts w:ascii="Arial" w:cs="Arial" w:eastAsia="Arial" w:hAnsi="Arial"/>
                <w:sz w:val="18"/>
                <w:szCs w:val="18"/>
                <w:color w:val="auto"/>
              </w:rPr>
              <w:t>34,943</w:t>
            </w:r>
          </w:p>
        </w:tc>
        <w:tc>
          <w:tcPr>
            <w:tcW w:w="220" w:type="dxa"/>
            <w:vAlign w:val="bottom"/>
          </w:tcPr>
          <w:p>
            <w:pPr>
              <w:spacing w:after="0"/>
              <w:rPr>
                <w:sz w:val="24"/>
                <w:szCs w:val="24"/>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4"/>
                <w:szCs w:val="24"/>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34,943</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8"/>
                <w:szCs w:val="18"/>
                <w:color w:val="auto"/>
              </w:rPr>
              <w:t>(50,241)</w:t>
            </w:r>
          </w:p>
        </w:tc>
        <w:tc>
          <w:tcPr>
            <w:tcW w:w="920" w:type="dxa"/>
            <w:vAlign w:val="bottom"/>
            <w:gridSpan w:val="3"/>
          </w:tcPr>
          <w:p>
            <w:pPr>
              <w:jc w:val="right"/>
              <w:spacing w:after="0"/>
              <w:rPr>
                <w:sz w:val="20"/>
                <w:szCs w:val="20"/>
                <w:color w:val="auto"/>
              </w:rPr>
            </w:pPr>
            <w:r>
              <w:rPr>
                <w:rFonts w:ascii="Arial" w:cs="Arial" w:eastAsia="Arial" w:hAnsi="Arial"/>
                <w:sz w:val="18"/>
                <w:szCs w:val="18"/>
                <w:color w:val="auto"/>
              </w:rPr>
              <w:t>(15,298)</w:t>
            </w:r>
          </w:p>
        </w:tc>
      </w:tr>
      <w:tr>
        <w:trPr>
          <w:trHeight w:val="223"/>
        </w:trPr>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(50,241</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8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(15,298</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-2722245</wp:posOffset>
            </wp:positionH>
            <wp:positionV relativeFrom="paragraph">
              <wp:posOffset>-471170</wp:posOffset>
            </wp:positionV>
            <wp:extent cx="6955155" cy="291465"/>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88">
                      <a:extLst>
                        <a:ext uri="{28A0092B-C50C-407E-A947-70E740481C1C}"/>
                      </a:extLst>
                    </a:blip>
                    <a:srcRect/>
                    <a:stretch>
                      <a:fillRect/>
                    </a:stretch>
                  </pic:blipFill>
                  <pic:spPr bwMode="auto">
                    <a:xfrm>
                      <a:off x="0" y="0"/>
                      <a:ext cx="6955155" cy="291465"/>
                    </a:xfrm>
                    <a:prstGeom prst="rect">
                      <a:avLst/>
                    </a:prstGeom>
                    <a:noFill/>
                  </pic:spPr>
                </pic:pic>
              </a:graphicData>
            </a:graphic>
          </wp:anchor>
        </w:drawing>
        <w:drawing>
          <wp:anchor simplePos="0" relativeHeight="251657728" behindDoc="1" locked="0" layoutInCell="0" allowOverlap="1">
            <wp:simplePos x="0" y="0"/>
            <wp:positionH relativeFrom="column">
              <wp:posOffset>-2722245</wp:posOffset>
            </wp:positionH>
            <wp:positionV relativeFrom="paragraph">
              <wp:posOffset>-1577340</wp:posOffset>
            </wp:positionV>
            <wp:extent cx="6955155" cy="889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89">
                      <a:extLst>
                        <a:ext uri="{28A0092B-C50C-407E-A947-70E740481C1C}"/>
                      </a:extLst>
                    </a:blip>
                    <a:srcRect/>
                    <a:stretch>
                      <a:fillRect/>
                    </a:stretch>
                  </pic:blipFill>
                  <pic:spPr bwMode="auto">
                    <a:xfrm>
                      <a:off x="0" y="0"/>
                      <a:ext cx="6955155" cy="88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040" w:space="580"/>
            <w:col w:w="6800"/>
          </w:cols>
          <w:pgMar w:left="240" w:top="689"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F-60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type w:val="continuous"/>
        </w:sectPr>
      </w:pPr>
    </w:p>
    <w:bookmarkStart w:id="182" w:name="page183"/>
    <w:bookmarkEnd w:id="18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40" w:hanging="316"/>
        <w:spacing w:after="0"/>
        <w:tabs>
          <w:tab w:leader="none" w:pos="540" w:val="left"/>
        </w:tabs>
        <w:numPr>
          <w:ilvl w:val="0"/>
          <w:numId w:val="18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5.7 Offsetting of financial assets and liabilities (continued)</w:t>
      </w:r>
    </w:p>
    <w:p>
      <w:pPr>
        <w:spacing w:after="0" w:line="229" w:lineRule="exact"/>
        <w:rPr>
          <w:sz w:val="20"/>
          <w:szCs w:val="20"/>
          <w:color w:val="auto"/>
        </w:rPr>
      </w:pPr>
    </w:p>
    <w:p>
      <w:pPr>
        <w:ind w:left="980" w:hanging="324"/>
        <w:spacing w:after="0"/>
        <w:tabs>
          <w:tab w:leader="none" w:pos="980" w:val="left"/>
        </w:tabs>
        <w:numPr>
          <w:ilvl w:val="0"/>
          <w:numId w:val="185"/>
        </w:numPr>
        <w:rPr>
          <w:rFonts w:ascii="Arial" w:cs="Arial" w:eastAsia="Arial" w:hAnsi="Arial"/>
          <w:sz w:val="16"/>
          <w:szCs w:val="16"/>
          <w:color w:val="auto"/>
        </w:rPr>
      </w:pPr>
      <w:r>
        <w:rPr>
          <w:rFonts w:ascii="Arial" w:cs="Arial" w:eastAsia="Arial" w:hAnsi="Arial"/>
          <w:sz w:val="16"/>
          <w:szCs w:val="16"/>
          <w:u w:val="single" w:color="auto"/>
          <w:color w:val="auto"/>
        </w:rPr>
        <w:t>Financial liabilities and derivative financial instruments – liabilities (continued)</w:t>
      </w:r>
    </w:p>
    <w:p>
      <w:pPr>
        <w:spacing w:after="0" w:line="244" w:lineRule="exact"/>
        <w:rPr>
          <w:rFonts w:ascii="Arial" w:cs="Arial" w:eastAsia="Arial" w:hAnsi="Arial"/>
          <w:sz w:val="16"/>
          <w:szCs w:val="16"/>
          <w:color w:val="auto"/>
        </w:rPr>
      </w:pPr>
    </w:p>
    <w:p>
      <w:pPr>
        <w:ind w:left="5080"/>
        <w:spacing w:after="0"/>
        <w:rPr>
          <w:rFonts w:ascii="Arial" w:cs="Arial" w:eastAsia="Arial" w:hAnsi="Arial"/>
          <w:sz w:val="16"/>
          <w:szCs w:val="16"/>
          <w:color w:val="auto"/>
        </w:rPr>
      </w:pPr>
      <w:r>
        <w:rPr>
          <w:rFonts w:ascii="Arial" w:cs="Arial" w:eastAsia="Arial" w:hAnsi="Arial"/>
          <w:sz w:val="18"/>
          <w:szCs w:val="18"/>
          <w:b w:val="1"/>
          <w:bCs w:val="1"/>
          <w:color w:val="auto"/>
        </w:rPr>
        <w:t>December 31, 2016</w:t>
      </w:r>
    </w:p>
    <w:p>
      <w:pPr>
        <w:sectPr>
          <w:pgSz w:w="11900" w:h="16838" w:orient="portrait"/>
          <w:cols w:equalWidth="0" w:num="1">
            <w:col w:w="11420"/>
          </w:cols>
          <w:pgMar w:left="240" w:top="689"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1980"/>
        <w:spacing w:after="0"/>
        <w:rPr>
          <w:sz w:val="20"/>
          <w:szCs w:val="20"/>
          <w:color w:val="auto"/>
        </w:rPr>
      </w:pPr>
      <w:r>
        <w:rPr>
          <w:rFonts w:ascii="Arial" w:cs="Arial" w:eastAsia="Arial" w:hAnsi="Arial"/>
          <w:sz w:val="18"/>
          <w:szCs w:val="18"/>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2649855" cy="889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91">
                      <a:extLst>
                        <a:ext uri="{28A0092B-C50C-407E-A947-70E740481C1C}"/>
                      </a:extLst>
                    </a:blip>
                    <a:srcRect/>
                    <a:stretch>
                      <a:fillRect/>
                    </a:stretch>
                  </pic:blipFill>
                  <pic:spPr bwMode="auto">
                    <a:xfrm>
                      <a:off x="0" y="0"/>
                      <a:ext cx="2649855" cy="8890"/>
                    </a:xfrm>
                    <a:prstGeom prst="rect">
                      <a:avLst/>
                    </a:prstGeom>
                    <a:noFill/>
                  </pic:spPr>
                </pic:pic>
              </a:graphicData>
            </a:graphic>
          </wp:anchor>
        </w:drawing>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Financial liabilities at FVTPL</w:t>
      </w:r>
    </w:p>
    <w:p>
      <w:pPr>
        <w:spacing w:after="0" w:line="23" w:lineRule="exact"/>
        <w:rPr>
          <w:sz w:val="20"/>
          <w:szCs w:val="20"/>
          <w:color w:val="auto"/>
        </w:rPr>
      </w:pPr>
    </w:p>
    <w:p>
      <w:pPr>
        <w:ind w:left="500" w:hanging="161"/>
        <w:spacing w:after="0" w:line="250" w:lineRule="auto"/>
        <w:rPr>
          <w:sz w:val="20"/>
          <w:szCs w:val="20"/>
          <w:color w:val="auto"/>
        </w:rPr>
      </w:pPr>
      <w:r>
        <w:rPr>
          <w:rFonts w:ascii="Arial" w:cs="Arial" w:eastAsia="Arial" w:hAnsi="Arial"/>
          <w:sz w:val="18"/>
          <w:szCs w:val="18"/>
          <w:color w:val="auto"/>
        </w:rPr>
        <w:t>Derivative financial instruments used for hedging – payable – at fair value</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1"/>
        </w:trPr>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Net amount</w:t>
            </w:r>
          </w:p>
        </w:tc>
        <w:tc>
          <w:tcPr>
            <w:tcW w:w="120" w:type="dxa"/>
            <w:vAlign w:val="bottom"/>
          </w:tcPr>
          <w:p>
            <w:pPr>
              <w:spacing w:after="0"/>
              <w:rPr>
                <w:sz w:val="18"/>
                <w:szCs w:val="18"/>
                <w:color w:val="auto"/>
              </w:rPr>
            </w:pPr>
          </w:p>
        </w:tc>
        <w:tc>
          <w:tcPr>
            <w:tcW w:w="222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7"/>
              </w:rPr>
              <w:t>Gross amounts not offset</w:t>
            </w:r>
          </w:p>
        </w:tc>
        <w:tc>
          <w:tcPr>
            <w:tcW w:w="860" w:type="dxa"/>
            <w:vAlign w:val="bottom"/>
          </w:tcPr>
          <w:p>
            <w:pPr>
              <w:spacing w:after="0"/>
              <w:rPr>
                <w:sz w:val="18"/>
                <w:szCs w:val="18"/>
                <w:color w:val="auto"/>
              </w:rPr>
            </w:pPr>
          </w:p>
        </w:tc>
      </w:tr>
      <w:tr>
        <w:trPr>
          <w:trHeight w:val="216"/>
        </w:trPr>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Gross</w:t>
            </w:r>
          </w:p>
        </w:tc>
        <w:tc>
          <w:tcPr>
            <w:tcW w:w="1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of liabilities</w:t>
            </w:r>
          </w:p>
        </w:tc>
        <w:tc>
          <w:tcPr>
            <w:tcW w:w="120" w:type="dxa"/>
            <w:vAlign w:val="bottom"/>
          </w:tcPr>
          <w:p>
            <w:pPr>
              <w:spacing w:after="0"/>
              <w:rPr>
                <w:sz w:val="18"/>
                <w:szCs w:val="18"/>
                <w:color w:val="auto"/>
              </w:rPr>
            </w:pPr>
          </w:p>
        </w:tc>
        <w:tc>
          <w:tcPr>
            <w:tcW w:w="222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7"/>
              </w:rPr>
              <w:t>in the consolidated</w:t>
            </w:r>
          </w:p>
        </w:tc>
        <w:tc>
          <w:tcPr>
            <w:tcW w:w="860" w:type="dxa"/>
            <w:vAlign w:val="bottom"/>
          </w:tcPr>
          <w:p>
            <w:pPr>
              <w:spacing w:after="0"/>
              <w:rPr>
                <w:sz w:val="18"/>
                <w:szCs w:val="18"/>
                <w:color w:val="auto"/>
              </w:rPr>
            </w:pPr>
          </w:p>
        </w:tc>
      </w:tr>
      <w:tr>
        <w:trPr>
          <w:trHeight w:val="216"/>
        </w:trPr>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120" w:type="dxa"/>
            <w:vAlign w:val="bottom"/>
          </w:tcPr>
          <w:p>
            <w:pPr>
              <w:spacing w:after="0"/>
              <w:rPr>
                <w:sz w:val="18"/>
                <w:szCs w:val="18"/>
                <w:color w:val="auto"/>
              </w:rPr>
            </w:pPr>
          </w:p>
        </w:tc>
        <w:tc>
          <w:tcPr>
            <w:tcW w:w="222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9"/>
              </w:rPr>
              <w:t>statement of financial</w:t>
            </w:r>
          </w:p>
        </w:tc>
        <w:tc>
          <w:tcPr>
            <w:tcW w:w="860" w:type="dxa"/>
            <w:vAlign w:val="bottom"/>
          </w:tcPr>
          <w:p>
            <w:pPr>
              <w:spacing w:after="0"/>
              <w:rPr>
                <w:sz w:val="18"/>
                <w:szCs w:val="18"/>
                <w:color w:val="auto"/>
              </w:rPr>
            </w:pPr>
          </w:p>
        </w:tc>
      </w:tr>
      <w:tr>
        <w:trPr>
          <w:trHeight w:val="234"/>
        </w:trPr>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0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1"/>
              </w:rPr>
              <w:t>in the</w:t>
            </w:r>
          </w:p>
        </w:tc>
        <w:tc>
          <w:tcPr>
            <w:tcW w:w="120" w:type="dxa"/>
            <w:vAlign w:val="bottom"/>
          </w:tcPr>
          <w:p>
            <w:pPr>
              <w:spacing w:after="0"/>
              <w:rPr>
                <w:sz w:val="20"/>
                <w:szCs w:val="20"/>
                <w:color w:val="auto"/>
              </w:rPr>
            </w:pPr>
          </w:p>
        </w:tc>
        <w:tc>
          <w:tcPr>
            <w:tcW w:w="222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5"/>
              </w:rPr>
              <w:t>position</w:t>
            </w:r>
          </w:p>
        </w:tc>
        <w:tc>
          <w:tcPr>
            <w:tcW w:w="860" w:type="dxa"/>
            <w:vAlign w:val="bottom"/>
          </w:tcPr>
          <w:p>
            <w:pPr>
              <w:spacing w:after="0"/>
              <w:rPr>
                <w:sz w:val="20"/>
                <w:szCs w:val="20"/>
                <w:color w:val="auto"/>
              </w:rPr>
            </w:pPr>
          </w:p>
        </w:tc>
      </w:tr>
      <w:tr>
        <w:trPr>
          <w:trHeight w:val="178"/>
        </w:trPr>
        <w:tc>
          <w:tcPr>
            <w:tcW w:w="1080" w:type="dxa"/>
            <w:vAlign w:val="bottom"/>
            <w:gridSpan w:val="2"/>
          </w:tcPr>
          <w:p>
            <w:pPr>
              <w:jc w:val="center"/>
              <w:ind w:right="280"/>
              <w:spacing w:after="0" w:line="178" w:lineRule="exact"/>
              <w:rPr>
                <w:sz w:val="20"/>
                <w:szCs w:val="20"/>
                <w:color w:val="auto"/>
              </w:rPr>
            </w:pPr>
            <w:r>
              <w:rPr>
                <w:rFonts w:ascii="Arial" w:cs="Arial" w:eastAsia="Arial" w:hAnsi="Arial"/>
                <w:sz w:val="18"/>
                <w:szCs w:val="18"/>
                <w:b w:val="1"/>
                <w:bCs w:val="1"/>
                <w:color w:val="auto"/>
                <w:w w:val="84"/>
              </w:rPr>
              <w:t>Gross</w:t>
            </w:r>
          </w:p>
        </w:tc>
        <w:tc>
          <w:tcPr>
            <w:tcW w:w="1200" w:type="dxa"/>
            <w:vAlign w:val="bottom"/>
            <w:gridSpan w:val="2"/>
          </w:tcPr>
          <w:p>
            <w:pPr>
              <w:jc w:val="center"/>
              <w:ind w:right="200"/>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080" w:type="dxa"/>
            <w:vAlign w:val="bottom"/>
            <w:gridSpan w:val="2"/>
          </w:tcPr>
          <w:p>
            <w:pPr>
              <w:jc w:val="center"/>
              <w:ind w:right="80"/>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20" w:type="dxa"/>
            <w:vAlign w:val="bottom"/>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86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r>
      <w:tr>
        <w:trPr>
          <w:trHeight w:val="216"/>
        </w:trPr>
        <w:tc>
          <w:tcPr>
            <w:tcW w:w="10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Cash</w:t>
            </w:r>
          </w:p>
        </w:tc>
        <w:tc>
          <w:tcPr>
            <w:tcW w:w="860" w:type="dxa"/>
            <w:vAlign w:val="bottom"/>
          </w:tcPr>
          <w:p>
            <w:pPr>
              <w:spacing w:after="0"/>
              <w:rPr>
                <w:sz w:val="18"/>
                <w:szCs w:val="18"/>
                <w:color w:val="auto"/>
              </w:rPr>
            </w:pPr>
          </w:p>
        </w:tc>
      </w:tr>
      <w:tr>
        <w:trPr>
          <w:trHeight w:val="216"/>
        </w:trPr>
        <w:tc>
          <w:tcPr>
            <w:tcW w:w="108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of</w:t>
            </w:r>
          </w:p>
        </w:tc>
        <w:tc>
          <w:tcPr>
            <w:tcW w:w="1200" w:type="dxa"/>
            <w:vAlign w:val="bottom"/>
            <w:gridSpan w:val="2"/>
          </w:tcPr>
          <w:p>
            <w:pPr>
              <w:ind w:left="180"/>
              <w:spacing w:after="0"/>
              <w:rPr>
                <w:sz w:val="20"/>
                <w:szCs w:val="20"/>
                <w:color w:val="auto"/>
              </w:rPr>
            </w:pPr>
            <w:r>
              <w:rPr>
                <w:rFonts w:ascii="Arial" w:cs="Arial" w:eastAsia="Arial" w:hAnsi="Arial"/>
                <w:sz w:val="18"/>
                <w:szCs w:val="18"/>
                <w:b w:val="1"/>
                <w:bCs w:val="1"/>
                <w:color w:val="auto"/>
              </w:rPr>
              <w:t>financial</w:t>
            </w:r>
          </w:p>
        </w:tc>
        <w:tc>
          <w:tcPr>
            <w:tcW w:w="10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3"/>
              </w:rPr>
              <w:t>financial</w:t>
            </w:r>
          </w:p>
        </w:tc>
        <w:tc>
          <w:tcPr>
            <w:tcW w:w="120" w:type="dxa"/>
            <w:vAlign w:val="bottom"/>
          </w:tcPr>
          <w:p>
            <w:pPr>
              <w:spacing w:after="0"/>
              <w:rPr>
                <w:sz w:val="18"/>
                <w:szCs w:val="18"/>
                <w:color w:val="auto"/>
              </w:rPr>
            </w:pPr>
          </w:p>
        </w:tc>
        <w:tc>
          <w:tcPr>
            <w:tcW w:w="1140" w:type="dxa"/>
            <w:vAlign w:val="bottom"/>
            <w:gridSpan w:val="2"/>
          </w:tcPr>
          <w:p>
            <w:pPr>
              <w:ind w:left="100"/>
              <w:spacing w:after="0"/>
              <w:rPr>
                <w:sz w:val="20"/>
                <w:szCs w:val="20"/>
                <w:color w:val="auto"/>
              </w:rPr>
            </w:pPr>
            <w:r>
              <w:rPr>
                <w:rFonts w:ascii="Arial" w:cs="Arial" w:eastAsia="Arial" w:hAnsi="Arial"/>
                <w:sz w:val="18"/>
                <w:szCs w:val="18"/>
                <w:b w:val="1"/>
                <w:bCs w:val="1"/>
                <w:color w:val="auto"/>
              </w:rPr>
              <w:t>Financial</w:t>
            </w: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collateral</w:t>
            </w:r>
          </w:p>
        </w:tc>
        <w:tc>
          <w:tcPr>
            <w:tcW w:w="860" w:type="dxa"/>
            <w:vAlign w:val="bottom"/>
          </w:tcPr>
          <w:p>
            <w:pPr>
              <w:jc w:val="right"/>
              <w:ind w:right="230"/>
              <w:spacing w:after="0"/>
              <w:rPr>
                <w:sz w:val="20"/>
                <w:szCs w:val="20"/>
                <w:color w:val="auto"/>
              </w:rPr>
            </w:pPr>
            <w:r>
              <w:rPr>
                <w:rFonts w:ascii="Arial" w:cs="Arial" w:eastAsia="Arial" w:hAnsi="Arial"/>
                <w:sz w:val="18"/>
                <w:szCs w:val="18"/>
                <w:b w:val="1"/>
                <w:bCs w:val="1"/>
                <w:color w:val="auto"/>
              </w:rPr>
              <w:t>Net</w:t>
            </w:r>
          </w:p>
        </w:tc>
      </w:tr>
      <w:tr>
        <w:trPr>
          <w:trHeight w:val="234"/>
        </w:trPr>
        <w:tc>
          <w:tcPr>
            <w:tcW w:w="860" w:type="dxa"/>
            <w:vAlign w:val="bottom"/>
          </w:tcPr>
          <w:p>
            <w:pPr>
              <w:jc w:val="center"/>
              <w:spacing w:after="0"/>
              <w:rPr>
                <w:sz w:val="20"/>
                <w:szCs w:val="20"/>
                <w:color w:val="auto"/>
              </w:rPr>
            </w:pPr>
            <w:r>
              <w:rPr>
                <w:rFonts w:ascii="Arial" w:cs="Arial" w:eastAsia="Arial" w:hAnsi="Arial"/>
                <w:sz w:val="18"/>
                <w:szCs w:val="18"/>
                <w:b w:val="1"/>
                <w:bCs w:val="1"/>
                <w:color w:val="auto"/>
                <w:w w:val="90"/>
              </w:rPr>
              <w:t>liabilities</w:t>
            </w:r>
          </w:p>
        </w:tc>
        <w:tc>
          <w:tcPr>
            <w:tcW w:w="220" w:type="dxa"/>
            <w:vAlign w:val="bottom"/>
          </w:tcPr>
          <w:p>
            <w:pPr>
              <w:spacing w:after="0"/>
              <w:rPr>
                <w:sz w:val="20"/>
                <w:szCs w:val="20"/>
                <w:color w:val="auto"/>
              </w:rPr>
            </w:pPr>
          </w:p>
        </w:tc>
        <w:tc>
          <w:tcPr>
            <w:tcW w:w="1000" w:type="dxa"/>
            <w:vAlign w:val="bottom"/>
          </w:tcPr>
          <w:p>
            <w:pPr>
              <w:jc w:val="right"/>
              <w:ind w:right="90"/>
              <w:spacing w:after="0"/>
              <w:rPr>
                <w:sz w:val="20"/>
                <w:szCs w:val="20"/>
                <w:color w:val="auto"/>
              </w:rPr>
            </w:pPr>
            <w:r>
              <w:rPr>
                <w:rFonts w:ascii="Arial" w:cs="Arial" w:eastAsia="Arial" w:hAnsi="Arial"/>
                <w:sz w:val="18"/>
                <w:szCs w:val="18"/>
                <w:b w:val="1"/>
                <w:bCs w:val="1"/>
                <w:color w:val="auto"/>
              </w:rPr>
              <w:t>position</w:t>
            </w:r>
          </w:p>
        </w:tc>
        <w:tc>
          <w:tcPr>
            <w:tcW w:w="200" w:type="dxa"/>
            <w:vAlign w:val="bottom"/>
          </w:tcPr>
          <w:p>
            <w:pPr>
              <w:spacing w:after="0"/>
              <w:rPr>
                <w:sz w:val="20"/>
                <w:szCs w:val="20"/>
                <w:color w:val="auto"/>
              </w:rPr>
            </w:pPr>
          </w:p>
        </w:tc>
        <w:tc>
          <w:tcPr>
            <w:tcW w:w="980" w:type="dxa"/>
            <w:vAlign w:val="bottom"/>
          </w:tcPr>
          <w:p>
            <w:pPr>
              <w:jc w:val="center"/>
              <w:spacing w:after="0"/>
              <w:rPr>
                <w:sz w:val="20"/>
                <w:szCs w:val="20"/>
                <w:color w:val="auto"/>
              </w:rPr>
            </w:pPr>
            <w:r>
              <w:rPr>
                <w:rFonts w:ascii="Arial" w:cs="Arial" w:eastAsia="Arial" w:hAnsi="Arial"/>
                <w:sz w:val="18"/>
                <w:szCs w:val="18"/>
                <w:b w:val="1"/>
                <w:bCs w:val="1"/>
                <w:color w:val="auto"/>
                <w:w w:val="85"/>
              </w:rPr>
              <w:t>position</w:t>
            </w:r>
          </w:p>
        </w:tc>
        <w:tc>
          <w:tcPr>
            <w:tcW w:w="100" w:type="dxa"/>
            <w:vAlign w:val="bottom"/>
          </w:tcPr>
          <w:p>
            <w:pPr>
              <w:spacing w:after="0"/>
              <w:rPr>
                <w:sz w:val="20"/>
                <w:szCs w:val="20"/>
                <w:color w:val="auto"/>
              </w:rPr>
            </w:pPr>
          </w:p>
        </w:tc>
        <w:tc>
          <w:tcPr>
            <w:tcW w:w="126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8"/>
              </w:rPr>
              <w:t>instruments</w:t>
            </w:r>
          </w:p>
        </w:tc>
        <w:tc>
          <w:tcPr>
            <w:tcW w:w="10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pledged</w:t>
            </w:r>
          </w:p>
        </w:tc>
        <w:tc>
          <w:tcPr>
            <w:tcW w:w="860" w:type="dxa"/>
            <w:vAlign w:val="bottom"/>
          </w:tcPr>
          <w:p>
            <w:pPr>
              <w:jc w:val="right"/>
              <w:ind w:right="30"/>
              <w:spacing w:after="0"/>
              <w:rPr>
                <w:sz w:val="20"/>
                <w:szCs w:val="20"/>
                <w:color w:val="auto"/>
              </w:rPr>
            </w:pPr>
            <w:r>
              <w:rPr>
                <w:rFonts w:ascii="Arial" w:cs="Arial" w:eastAsia="Arial" w:hAnsi="Arial"/>
                <w:sz w:val="18"/>
                <w:szCs w:val="18"/>
                <w:b w:val="1"/>
                <w:bCs w:val="1"/>
                <w:color w:val="auto"/>
              </w:rPr>
              <w:t>Amount</w:t>
            </w:r>
          </w:p>
        </w:tc>
      </w:tr>
      <w:tr>
        <w:trPr>
          <w:trHeight w:val="20"/>
        </w:trPr>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r>
      <w:tr>
        <w:trPr>
          <w:trHeight w:val="426"/>
        </w:trPr>
        <w:tc>
          <w:tcPr>
            <w:tcW w:w="860" w:type="dxa"/>
            <w:vAlign w:val="bottom"/>
          </w:tcPr>
          <w:p>
            <w:pPr>
              <w:jc w:val="right"/>
              <w:spacing w:after="0"/>
              <w:rPr>
                <w:sz w:val="20"/>
                <w:szCs w:val="20"/>
                <w:color w:val="auto"/>
              </w:rPr>
            </w:pPr>
            <w:r>
              <w:rPr>
                <w:rFonts w:ascii="Arial" w:cs="Arial" w:eastAsia="Arial" w:hAnsi="Arial"/>
                <w:sz w:val="18"/>
                <w:szCs w:val="18"/>
                <w:color w:val="auto"/>
              </w:rPr>
              <w:t>24</w:t>
            </w:r>
          </w:p>
        </w:tc>
        <w:tc>
          <w:tcPr>
            <w:tcW w:w="220" w:type="dxa"/>
            <w:vAlign w:val="bottom"/>
          </w:tcPr>
          <w:p>
            <w:pPr>
              <w:spacing w:after="0"/>
              <w:rPr>
                <w:sz w:val="24"/>
                <w:szCs w:val="24"/>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4"/>
                <w:szCs w:val="24"/>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24</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24</w:t>
            </w:r>
          </w:p>
        </w:tc>
      </w:tr>
      <w:tr>
        <w:trPr>
          <w:trHeight w:val="446"/>
        </w:trPr>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59,686</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59,686</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8"/>
                <w:szCs w:val="18"/>
                <w:color w:val="auto"/>
              </w:rPr>
              <w:t>(59,012)</w:t>
            </w:r>
          </w:p>
        </w:tc>
        <w:tc>
          <w:tcPr>
            <w:tcW w:w="860" w:type="dxa"/>
            <w:vAlign w:val="bottom"/>
          </w:tcPr>
          <w:p>
            <w:pPr>
              <w:jc w:val="right"/>
              <w:spacing w:after="0"/>
              <w:rPr>
                <w:sz w:val="20"/>
                <w:szCs w:val="20"/>
                <w:color w:val="auto"/>
              </w:rPr>
            </w:pPr>
            <w:r>
              <w:rPr>
                <w:rFonts w:ascii="Arial" w:cs="Arial" w:eastAsia="Arial" w:hAnsi="Arial"/>
                <w:sz w:val="18"/>
                <w:szCs w:val="18"/>
                <w:color w:val="auto"/>
              </w:rPr>
              <w:t>674</w:t>
            </w:r>
          </w:p>
        </w:tc>
      </w:tr>
      <w:tr>
        <w:trPr>
          <w:trHeight w:val="223"/>
        </w:trPr>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59,710</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59,710</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(59,012</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698</w:t>
            </w:r>
          </w:p>
        </w:tc>
      </w:tr>
      <w:tr>
        <w:trPr>
          <w:trHeight w:val="20"/>
        </w:trPr>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-2722245</wp:posOffset>
            </wp:positionH>
            <wp:positionV relativeFrom="paragraph">
              <wp:posOffset>-599440</wp:posOffset>
            </wp:positionV>
            <wp:extent cx="6955155" cy="13716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2">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-2722245</wp:posOffset>
            </wp:positionH>
            <wp:positionV relativeFrom="paragraph">
              <wp:posOffset>-179705</wp:posOffset>
            </wp:positionV>
            <wp:extent cx="6886575" cy="163195"/>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3">
                      <a:extLst>
                        <a:ext uri="{28A0092B-C50C-407E-A947-70E740481C1C}"/>
                      </a:extLst>
                    </a:blip>
                    <a:srcRect/>
                    <a:stretch>
                      <a:fillRect/>
                    </a:stretch>
                  </pic:blipFill>
                  <pic:spPr bwMode="auto">
                    <a:xfrm>
                      <a:off x="0" y="0"/>
                      <a:ext cx="6886575" cy="163195"/>
                    </a:xfrm>
                    <a:prstGeom prst="rect">
                      <a:avLst/>
                    </a:prstGeom>
                    <a:noFill/>
                  </pic:spPr>
                </pic:pic>
              </a:graphicData>
            </a:graphic>
          </wp:anchor>
        </w:drawing>
        <w:drawing>
          <wp:anchor simplePos="0" relativeHeight="251657728" behindDoc="1" locked="0" layoutInCell="0" allowOverlap="1">
            <wp:simplePos x="0" y="0"/>
            <wp:positionH relativeFrom="column">
              <wp:posOffset>-2722245</wp:posOffset>
            </wp:positionH>
            <wp:positionV relativeFrom="paragraph">
              <wp:posOffset>-1851660</wp:posOffset>
            </wp:positionV>
            <wp:extent cx="6955155" cy="889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4">
                      <a:extLst>
                        <a:ext uri="{28A0092B-C50C-407E-A947-70E740481C1C}"/>
                      </a:extLst>
                    </a:blip>
                    <a:srcRect/>
                    <a:stretch>
                      <a:fillRect/>
                    </a:stretch>
                  </pic:blipFill>
                  <pic:spPr bwMode="auto">
                    <a:xfrm>
                      <a:off x="0" y="0"/>
                      <a:ext cx="6955155" cy="88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040" w:space="580"/>
            <w:col w:w="6800"/>
          </w:cols>
          <w:pgMar w:left="240" w:top="689" w:right="239" w:bottom="1440" w:gutter="0" w:footer="0" w:header="0"/>
          <w:type w:val="continuous"/>
        </w:sectPr>
      </w:pPr>
    </w:p>
    <w:p>
      <w:pPr>
        <w:spacing w:after="0" w:line="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reconciliation of liabilities that have been offset or are subject to master netting agreements to individual line items in the consolidated statement of financial position:</w:t>
      </w:r>
    </w:p>
    <w:p>
      <w:pPr>
        <w:sectPr>
          <w:pgSz w:w="11900" w:h="16838" w:orient="portrait"/>
          <w:cols w:equalWidth="0" w:num="1">
            <w:col w:w="11420"/>
          </w:cols>
          <w:pgMar w:left="240" w:top="689" w:right="23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ind w:left="1000"/>
        <w:spacing w:after="0"/>
        <w:rPr>
          <w:sz w:val="20"/>
          <w:szCs w:val="20"/>
          <w:color w:val="auto"/>
        </w:rPr>
      </w:pPr>
      <w:r>
        <w:rPr>
          <w:rFonts w:ascii="Arial" w:cs="Arial" w:eastAsia="Arial" w:hAnsi="Arial"/>
          <w:sz w:val="18"/>
          <w:szCs w:val="18"/>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4004945" cy="889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95">
                      <a:extLst>
                        <a:ext uri="{28A0092B-C50C-407E-A947-70E740481C1C}"/>
                      </a:extLst>
                    </a:blip>
                    <a:srcRect/>
                    <a:stretch>
                      <a:fillRect/>
                    </a:stretch>
                  </pic:blipFill>
                  <pic:spPr bwMode="auto">
                    <a:xfrm>
                      <a:off x="0" y="0"/>
                      <a:ext cx="4004945" cy="8890"/>
                    </a:xfrm>
                    <a:prstGeom prst="rect">
                      <a:avLst/>
                    </a:prstGeom>
                    <a:noFill/>
                  </pic:spPr>
                </pic:pic>
              </a:graphicData>
            </a:graphic>
          </wp:anchor>
        </w:drawing>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Derivative financial instruments: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3716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96">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3" w:lineRule="exact"/>
        <w:rPr>
          <w:sz w:val="20"/>
          <w:szCs w:val="20"/>
          <w:color w:val="auto"/>
        </w:rPr>
      </w:pPr>
    </w:p>
    <w:p>
      <w:pPr>
        <w:ind w:left="340" w:right="300"/>
        <w:spacing w:after="0" w:line="276" w:lineRule="auto"/>
        <w:rPr>
          <w:sz w:val="20"/>
          <w:szCs w:val="20"/>
          <w:color w:val="auto"/>
        </w:rPr>
      </w:pPr>
      <w:r>
        <w:rPr>
          <w:rFonts w:ascii="Arial" w:cs="Arial" w:eastAsia="Arial" w:hAnsi="Arial"/>
          <w:sz w:val="18"/>
          <w:szCs w:val="18"/>
          <w:color w:val="auto"/>
        </w:rPr>
        <w:t>Derivative financial instruments used for hedging – payable – at fair value Total derivative financial instruments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-155575</wp:posOffset>
            </wp:positionV>
            <wp:extent cx="6955155" cy="163195"/>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97">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ind w:left="960"/>
        <w:spacing w:after="0"/>
        <w:rPr>
          <w:sz w:val="20"/>
          <w:szCs w:val="20"/>
          <w:color w:val="auto"/>
        </w:rPr>
      </w:pPr>
      <w:r>
        <w:rPr>
          <w:rFonts w:ascii="Arial" w:cs="Arial" w:eastAsia="Arial" w:hAnsi="Arial"/>
          <w:sz w:val="18"/>
          <w:szCs w:val="18"/>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3978910" cy="889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8">
                      <a:extLst>
                        <a:ext uri="{28A0092B-C50C-407E-A947-70E740481C1C}"/>
                      </a:extLst>
                    </a:blip>
                    <a:srcRect/>
                    <a:stretch>
                      <a:fillRect/>
                    </a:stretch>
                  </pic:blipFill>
                  <pic:spPr bwMode="auto">
                    <a:xfrm>
                      <a:off x="0" y="0"/>
                      <a:ext cx="3978910" cy="8890"/>
                    </a:xfrm>
                    <a:prstGeom prst="rect">
                      <a:avLst/>
                    </a:prstGeom>
                    <a:noFill/>
                  </pic:spPr>
                </pic:pic>
              </a:graphicData>
            </a:graphic>
          </wp:anchor>
        </w:drawing>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Derivative financial instruments: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3716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99">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Financial liabilities at FVTPL</w:t>
      </w:r>
    </w:p>
    <w:p>
      <w:pPr>
        <w:spacing w:after="0" w:line="9" w:lineRule="exact"/>
        <w:rPr>
          <w:sz w:val="20"/>
          <w:szCs w:val="20"/>
          <w:color w:val="auto"/>
        </w:rPr>
      </w:pPr>
    </w:p>
    <w:p>
      <w:pPr>
        <w:ind w:left="340" w:right="300"/>
        <w:spacing w:after="0" w:line="276" w:lineRule="auto"/>
        <w:rPr>
          <w:sz w:val="20"/>
          <w:szCs w:val="20"/>
          <w:color w:val="auto"/>
        </w:rPr>
      </w:pPr>
      <w:r>
        <w:rPr>
          <w:rFonts w:ascii="Arial" w:cs="Arial" w:eastAsia="Arial" w:hAnsi="Arial"/>
          <w:sz w:val="18"/>
          <w:szCs w:val="18"/>
          <w:color w:val="auto"/>
        </w:rPr>
        <w:t>Derivative financial instruments used for hedging – payable – at fair value Total derivative financial instruments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-301625</wp:posOffset>
            </wp:positionV>
            <wp:extent cx="6955155" cy="14605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00">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19" w:lineRule="exact"/>
        <w:rPr>
          <w:sz w:val="20"/>
          <w:szCs w:val="20"/>
          <w:color w:val="auto"/>
        </w:rPr>
      </w:pPr>
    </w:p>
    <w:p>
      <w:pPr>
        <w:jc w:val="right"/>
        <w:ind w:right="80"/>
        <w:spacing w:after="0"/>
        <w:rPr>
          <w:sz w:val="20"/>
          <w:szCs w:val="20"/>
          <w:color w:val="auto"/>
        </w:rPr>
      </w:pPr>
      <w:r>
        <w:rPr>
          <w:rFonts w:ascii="Arial" w:cs="Arial" w:eastAsia="Arial" w:hAnsi="Arial"/>
          <w:sz w:val="18"/>
          <w:szCs w:val="18"/>
          <w:color w:val="auto"/>
        </w:rPr>
        <w:t>F-61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1540"/>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40" w:type="dxa"/>
            <w:vAlign w:val="bottom"/>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1520" w:type="dxa"/>
            <w:vAlign w:val="bottom"/>
            <w:tcBorders>
              <w:top w:val="single" w:sz="8" w:color="auto"/>
            </w:tcBorders>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w w:val="90"/>
              </w:rPr>
              <w:t>Gross amounts</w:t>
            </w:r>
          </w:p>
        </w:tc>
        <w:tc>
          <w:tcPr>
            <w:tcW w:w="2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0" w:type="dxa"/>
            <w:vAlign w:val="bottom"/>
          </w:tcPr>
          <w:p>
            <w:pPr>
              <w:spacing w:after="0"/>
              <w:rPr>
                <w:sz w:val="16"/>
                <w:szCs w:val="16"/>
                <w:color w:val="auto"/>
              </w:rPr>
            </w:pPr>
          </w:p>
        </w:tc>
      </w:tr>
      <w:tr>
        <w:trPr>
          <w:trHeight w:val="216"/>
        </w:trPr>
        <w:tc>
          <w:tcPr>
            <w:tcW w:w="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5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offset in the</w:t>
            </w:r>
          </w:p>
        </w:tc>
        <w:tc>
          <w:tcPr>
            <w:tcW w:w="1520" w:type="dxa"/>
            <w:vAlign w:val="bottom"/>
            <w:gridSpan w:val="3"/>
          </w:tcPr>
          <w:p>
            <w:pPr>
              <w:jc w:val="center"/>
              <w:spacing w:after="0"/>
              <w:rPr>
                <w:sz w:val="20"/>
                <w:szCs w:val="20"/>
                <w:color w:val="auto"/>
              </w:rPr>
            </w:pPr>
            <w:r>
              <w:rPr>
                <w:rFonts w:ascii="Arial" w:cs="Arial" w:eastAsia="Arial" w:hAnsi="Arial"/>
                <w:sz w:val="18"/>
                <w:szCs w:val="18"/>
                <w:b w:val="1"/>
                <w:bCs w:val="1"/>
                <w:color w:val="auto"/>
                <w:w w:val="88"/>
              </w:rPr>
              <w:t>liabilities presented</w:t>
            </w:r>
          </w:p>
        </w:tc>
      </w:tr>
      <w:tr>
        <w:trPr>
          <w:trHeight w:val="216"/>
        </w:trPr>
        <w:tc>
          <w:tcPr>
            <w:tcW w:w="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5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20" w:type="dxa"/>
            <w:vAlign w:val="bottom"/>
          </w:tcPr>
          <w:p>
            <w:pPr>
              <w:spacing w:after="0"/>
              <w:rPr>
                <w:sz w:val="18"/>
                <w:szCs w:val="18"/>
                <w:color w:val="auto"/>
              </w:rPr>
            </w:pPr>
          </w:p>
        </w:tc>
        <w:tc>
          <w:tcPr>
            <w:tcW w:w="15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40" w:type="dxa"/>
            <w:vAlign w:val="bottom"/>
          </w:tcPr>
          <w:p>
            <w:pPr>
              <w:spacing w:after="0"/>
              <w:rPr>
                <w:sz w:val="18"/>
                <w:szCs w:val="18"/>
                <w:color w:val="auto"/>
              </w:rPr>
            </w:pPr>
          </w:p>
        </w:tc>
        <w:tc>
          <w:tcPr>
            <w:tcW w:w="1380" w:type="dxa"/>
            <w:vAlign w:val="bottom"/>
            <w:gridSpan w:val="3"/>
          </w:tcPr>
          <w:p>
            <w:pPr>
              <w:ind w:left="20"/>
              <w:spacing w:after="0"/>
              <w:rPr>
                <w:sz w:val="20"/>
                <w:szCs w:val="20"/>
                <w:color w:val="auto"/>
              </w:rPr>
            </w:pPr>
            <w:r>
              <w:rPr>
                <w:rFonts w:ascii="Arial" w:cs="Arial" w:eastAsia="Arial" w:hAnsi="Arial"/>
                <w:sz w:val="18"/>
                <w:szCs w:val="18"/>
                <w:b w:val="1"/>
                <w:bCs w:val="1"/>
                <w:color w:val="auto"/>
              </w:rPr>
              <w:t>Gross amounts</w:t>
            </w:r>
          </w:p>
        </w:tc>
        <w:tc>
          <w:tcPr>
            <w:tcW w:w="40" w:type="dxa"/>
            <w:vAlign w:val="bottom"/>
          </w:tcPr>
          <w:p>
            <w:pPr>
              <w:spacing w:after="0"/>
              <w:rPr>
                <w:sz w:val="18"/>
                <w:szCs w:val="18"/>
                <w:color w:val="auto"/>
              </w:rPr>
            </w:pPr>
          </w:p>
        </w:tc>
        <w:tc>
          <w:tcPr>
            <w:tcW w:w="15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statement of</w:t>
            </w:r>
          </w:p>
        </w:tc>
        <w:tc>
          <w:tcPr>
            <w:tcW w:w="20" w:type="dxa"/>
            <w:vAlign w:val="bottom"/>
          </w:tcPr>
          <w:p>
            <w:pPr>
              <w:spacing w:after="0"/>
              <w:rPr>
                <w:sz w:val="18"/>
                <w:szCs w:val="18"/>
                <w:color w:val="auto"/>
              </w:rPr>
            </w:pPr>
          </w:p>
        </w:tc>
        <w:tc>
          <w:tcPr>
            <w:tcW w:w="150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statement of</w:t>
            </w:r>
          </w:p>
        </w:tc>
      </w:tr>
      <w:tr>
        <w:trPr>
          <w:trHeight w:val="234"/>
        </w:trPr>
        <w:tc>
          <w:tcPr>
            <w:tcW w:w="40" w:type="dxa"/>
            <w:vAlign w:val="bottom"/>
          </w:tcPr>
          <w:p>
            <w:pPr>
              <w:spacing w:after="0"/>
              <w:rPr>
                <w:sz w:val="20"/>
                <w:szCs w:val="20"/>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of liabilities</w:t>
            </w:r>
          </w:p>
        </w:tc>
        <w:tc>
          <w:tcPr>
            <w:tcW w:w="180" w:type="dxa"/>
            <w:vAlign w:val="bottom"/>
          </w:tcPr>
          <w:p>
            <w:pPr>
              <w:spacing w:after="0"/>
              <w:rPr>
                <w:sz w:val="20"/>
                <w:szCs w:val="20"/>
                <w:color w:val="auto"/>
              </w:rPr>
            </w:pPr>
          </w:p>
        </w:tc>
        <w:tc>
          <w:tcPr>
            <w:tcW w:w="1560" w:type="dxa"/>
            <w:vAlign w:val="bottom"/>
            <w:gridSpan w:val="3"/>
          </w:tcPr>
          <w:p>
            <w:pPr>
              <w:jc w:val="right"/>
              <w:ind w:right="200"/>
              <w:spacing w:after="0"/>
              <w:rPr>
                <w:sz w:val="20"/>
                <w:szCs w:val="20"/>
                <w:color w:val="auto"/>
              </w:rPr>
            </w:pPr>
            <w:r>
              <w:rPr>
                <w:rFonts w:ascii="Arial" w:cs="Arial" w:eastAsia="Arial" w:hAnsi="Arial"/>
                <w:sz w:val="18"/>
                <w:szCs w:val="18"/>
                <w:b w:val="1"/>
                <w:bCs w:val="1"/>
                <w:color w:val="auto"/>
                <w:w w:val="90"/>
              </w:rPr>
              <w:t>financial position</w:t>
            </w:r>
          </w:p>
        </w:tc>
        <w:tc>
          <w:tcPr>
            <w:tcW w:w="20" w:type="dxa"/>
            <w:vAlign w:val="bottom"/>
          </w:tcPr>
          <w:p>
            <w:pPr>
              <w:spacing w:after="0"/>
              <w:rPr>
                <w:sz w:val="20"/>
                <w:szCs w:val="20"/>
                <w:color w:val="auto"/>
              </w:rPr>
            </w:pPr>
          </w:p>
        </w:tc>
        <w:tc>
          <w:tcPr>
            <w:tcW w:w="15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financial position</w:t>
            </w:r>
          </w:p>
        </w:tc>
      </w:tr>
      <w:tr>
        <w:trPr>
          <w:trHeight w:val="655"/>
        </w:trPr>
        <w:tc>
          <w:tcPr>
            <w:tcW w:w="40" w:type="dxa"/>
            <w:vAlign w:val="bottom"/>
          </w:tcPr>
          <w:p>
            <w:pPr>
              <w:spacing w:after="0"/>
              <w:rPr>
                <w:sz w:val="24"/>
                <w:szCs w:val="24"/>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34,943</w:t>
            </w: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34,943</w:t>
            </w:r>
          </w:p>
        </w:tc>
        <w:tc>
          <w:tcPr>
            <w:tcW w:w="20" w:type="dxa"/>
            <w:vAlign w:val="bottom"/>
            <w:tcBorders>
              <w:bottom w:val="single" w:sz="8" w:color="auto"/>
            </w:tcBorders>
          </w:tcPr>
          <w:p>
            <w:pPr>
              <w:spacing w:after="0"/>
              <w:rPr>
                <w:sz w:val="24"/>
                <w:szCs w:val="24"/>
                <w:color w:val="auto"/>
              </w:rPr>
            </w:pPr>
          </w:p>
        </w:tc>
      </w:tr>
      <w:tr>
        <w:trPr>
          <w:trHeight w:val="223"/>
        </w:trPr>
        <w:tc>
          <w:tcPr>
            <w:tcW w:w="40" w:type="dxa"/>
            <w:vAlign w:val="bottom"/>
          </w:tcPr>
          <w:p>
            <w:pPr>
              <w:spacing w:after="0"/>
              <w:rPr>
                <w:sz w:val="19"/>
                <w:szCs w:val="19"/>
                <w:color w:val="auto"/>
              </w:rPr>
            </w:pPr>
          </w:p>
        </w:tc>
        <w:tc>
          <w:tcPr>
            <w:tcW w:w="12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34,943</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20" w:type="dxa"/>
            <w:vAlign w:val="bottom"/>
          </w:tcPr>
          <w:p>
            <w:pPr>
              <w:spacing w:after="0"/>
              <w:rPr>
                <w:sz w:val="19"/>
                <w:szCs w:val="19"/>
                <w:color w:val="auto"/>
              </w:rPr>
            </w:pPr>
          </w:p>
        </w:tc>
      </w:tr>
      <w:tr>
        <w:trPr>
          <w:trHeight w:val="20"/>
        </w:trPr>
        <w:tc>
          <w:tcPr>
            <w:tcW w:w="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6"/>
        </w:trPr>
        <w:tc>
          <w:tcPr>
            <w:tcW w:w="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w w:val="91"/>
              </w:rPr>
              <w:t>December 31, 2016</w:t>
            </w:r>
          </w:p>
        </w:tc>
        <w:tc>
          <w:tcPr>
            <w:tcW w:w="2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191"/>
        </w:trPr>
        <w:tc>
          <w:tcPr>
            <w:tcW w:w="4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520" w:type="dxa"/>
            <w:vAlign w:val="bottom"/>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20" w:type="dxa"/>
            <w:vAlign w:val="bottom"/>
          </w:tcPr>
          <w:p>
            <w:pPr>
              <w:spacing w:after="0"/>
              <w:rPr>
                <w:sz w:val="16"/>
                <w:szCs w:val="16"/>
                <w:color w:val="auto"/>
              </w:rPr>
            </w:pPr>
          </w:p>
        </w:tc>
        <w:tc>
          <w:tcPr>
            <w:tcW w:w="14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0" w:type="dxa"/>
            <w:vAlign w:val="bottom"/>
          </w:tcPr>
          <w:p>
            <w:pPr>
              <w:spacing w:after="0"/>
              <w:rPr>
                <w:sz w:val="16"/>
                <w:szCs w:val="16"/>
                <w:color w:val="auto"/>
              </w:rPr>
            </w:pPr>
          </w:p>
        </w:tc>
      </w:tr>
      <w:tr>
        <w:trPr>
          <w:trHeight w:val="216"/>
        </w:trPr>
        <w:tc>
          <w:tcPr>
            <w:tcW w:w="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5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offset in the</w:t>
            </w:r>
          </w:p>
        </w:tc>
        <w:tc>
          <w:tcPr>
            <w:tcW w:w="1520" w:type="dxa"/>
            <w:vAlign w:val="bottom"/>
            <w:gridSpan w:val="3"/>
          </w:tcPr>
          <w:p>
            <w:pPr>
              <w:jc w:val="center"/>
              <w:spacing w:after="0"/>
              <w:rPr>
                <w:sz w:val="20"/>
                <w:szCs w:val="20"/>
                <w:color w:val="auto"/>
              </w:rPr>
            </w:pPr>
            <w:r>
              <w:rPr>
                <w:rFonts w:ascii="Arial" w:cs="Arial" w:eastAsia="Arial" w:hAnsi="Arial"/>
                <w:sz w:val="18"/>
                <w:szCs w:val="18"/>
                <w:b w:val="1"/>
                <w:bCs w:val="1"/>
                <w:color w:val="auto"/>
                <w:w w:val="88"/>
              </w:rPr>
              <w:t>liabilities presented</w:t>
            </w:r>
          </w:p>
        </w:tc>
      </w:tr>
      <w:tr>
        <w:trPr>
          <w:trHeight w:val="216"/>
        </w:trPr>
        <w:tc>
          <w:tcPr>
            <w:tcW w:w="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5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6"/>
              </w:rPr>
              <w:t>consolidated</w:t>
            </w:r>
          </w:p>
        </w:tc>
        <w:tc>
          <w:tcPr>
            <w:tcW w:w="20" w:type="dxa"/>
            <w:vAlign w:val="bottom"/>
          </w:tcPr>
          <w:p>
            <w:pPr>
              <w:spacing w:after="0"/>
              <w:rPr>
                <w:sz w:val="18"/>
                <w:szCs w:val="18"/>
                <w:color w:val="auto"/>
              </w:rPr>
            </w:pPr>
          </w:p>
        </w:tc>
        <w:tc>
          <w:tcPr>
            <w:tcW w:w="15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1420" w:type="dxa"/>
            <w:vAlign w:val="bottom"/>
            <w:gridSpan w:val="4"/>
          </w:tcPr>
          <w:p>
            <w:pPr>
              <w:ind w:left="20"/>
              <w:spacing w:after="0"/>
              <w:rPr>
                <w:sz w:val="20"/>
                <w:szCs w:val="20"/>
                <w:color w:val="auto"/>
              </w:rPr>
            </w:pPr>
            <w:r>
              <w:rPr>
                <w:rFonts w:ascii="Arial" w:cs="Arial" w:eastAsia="Arial" w:hAnsi="Arial"/>
                <w:sz w:val="18"/>
                <w:szCs w:val="18"/>
                <w:b w:val="1"/>
                <w:bCs w:val="1"/>
                <w:color w:val="auto"/>
              </w:rPr>
              <w:t>Gross amounts</w:t>
            </w:r>
          </w:p>
        </w:tc>
        <w:tc>
          <w:tcPr>
            <w:tcW w:w="40" w:type="dxa"/>
            <w:vAlign w:val="bottom"/>
          </w:tcPr>
          <w:p>
            <w:pPr>
              <w:spacing w:after="0"/>
              <w:rPr>
                <w:sz w:val="18"/>
                <w:szCs w:val="18"/>
                <w:color w:val="auto"/>
              </w:rPr>
            </w:pPr>
          </w:p>
        </w:tc>
        <w:tc>
          <w:tcPr>
            <w:tcW w:w="15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statement of</w:t>
            </w:r>
          </w:p>
        </w:tc>
        <w:tc>
          <w:tcPr>
            <w:tcW w:w="20" w:type="dxa"/>
            <w:vAlign w:val="bottom"/>
          </w:tcPr>
          <w:p>
            <w:pPr>
              <w:spacing w:after="0"/>
              <w:rPr>
                <w:sz w:val="18"/>
                <w:szCs w:val="18"/>
                <w:color w:val="auto"/>
              </w:rPr>
            </w:pPr>
          </w:p>
        </w:tc>
        <w:tc>
          <w:tcPr>
            <w:tcW w:w="150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statement of</w:t>
            </w:r>
          </w:p>
        </w:tc>
      </w:tr>
      <w:tr>
        <w:trPr>
          <w:trHeight w:val="234"/>
        </w:trPr>
        <w:tc>
          <w:tcPr>
            <w:tcW w:w="40" w:type="dxa"/>
            <w:vAlign w:val="bottom"/>
          </w:tcPr>
          <w:p>
            <w:pPr>
              <w:spacing w:after="0"/>
              <w:rPr>
                <w:sz w:val="20"/>
                <w:szCs w:val="20"/>
                <w:color w:val="auto"/>
              </w:rPr>
            </w:pPr>
          </w:p>
        </w:tc>
        <w:tc>
          <w:tcPr>
            <w:tcW w:w="1160" w:type="dxa"/>
            <w:vAlign w:val="bottom"/>
          </w:tcPr>
          <w:p>
            <w:pPr>
              <w:jc w:val="right"/>
              <w:ind w:right="70"/>
              <w:spacing w:after="0"/>
              <w:rPr>
                <w:sz w:val="20"/>
                <w:szCs w:val="20"/>
                <w:color w:val="auto"/>
              </w:rPr>
            </w:pPr>
            <w:r>
              <w:rPr>
                <w:rFonts w:ascii="Arial" w:cs="Arial" w:eastAsia="Arial" w:hAnsi="Arial"/>
                <w:sz w:val="18"/>
                <w:szCs w:val="18"/>
                <w:b w:val="1"/>
                <w:bCs w:val="1"/>
                <w:color w:val="auto"/>
                <w:w w:val="98"/>
              </w:rPr>
              <w:t>of liabilities</w:t>
            </w:r>
          </w:p>
        </w:tc>
        <w:tc>
          <w:tcPr>
            <w:tcW w:w="220" w:type="dxa"/>
            <w:vAlign w:val="bottom"/>
            <w:gridSpan w:val="2"/>
          </w:tcPr>
          <w:p>
            <w:pPr>
              <w:spacing w:after="0"/>
              <w:rPr>
                <w:sz w:val="20"/>
                <w:szCs w:val="20"/>
                <w:color w:val="auto"/>
              </w:rPr>
            </w:pPr>
          </w:p>
        </w:tc>
        <w:tc>
          <w:tcPr>
            <w:tcW w:w="40" w:type="dxa"/>
            <w:vAlign w:val="bottom"/>
          </w:tcPr>
          <w:p>
            <w:pPr>
              <w:spacing w:after="0"/>
              <w:rPr>
                <w:sz w:val="20"/>
                <w:szCs w:val="20"/>
                <w:color w:val="auto"/>
              </w:rPr>
            </w:pPr>
          </w:p>
        </w:tc>
        <w:tc>
          <w:tcPr>
            <w:tcW w:w="152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87"/>
              </w:rPr>
              <w:t>financial position</w:t>
            </w:r>
          </w:p>
        </w:tc>
        <w:tc>
          <w:tcPr>
            <w:tcW w:w="20" w:type="dxa"/>
            <w:vAlign w:val="bottom"/>
          </w:tcPr>
          <w:p>
            <w:pPr>
              <w:spacing w:after="0"/>
              <w:rPr>
                <w:sz w:val="20"/>
                <w:szCs w:val="20"/>
                <w:color w:val="auto"/>
              </w:rPr>
            </w:pPr>
          </w:p>
        </w:tc>
        <w:tc>
          <w:tcPr>
            <w:tcW w:w="150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financial position</w:t>
            </w:r>
          </w:p>
        </w:tc>
      </w:tr>
      <w:tr>
        <w:trPr>
          <w:trHeight w:val="637"/>
        </w:trPr>
        <w:tc>
          <w:tcPr>
            <w:tcW w:w="120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rPr>
              <w:t>24</w:t>
            </w: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6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24</w:t>
            </w:r>
          </w:p>
        </w:tc>
        <w:tc>
          <w:tcPr>
            <w:tcW w:w="20" w:type="dxa"/>
            <w:vAlign w:val="bottom"/>
          </w:tcPr>
          <w:p>
            <w:pPr>
              <w:spacing w:after="0"/>
              <w:rPr>
                <w:sz w:val="24"/>
                <w:szCs w:val="24"/>
                <w:color w:val="auto"/>
              </w:rPr>
            </w:pPr>
          </w:p>
        </w:tc>
      </w:tr>
      <w:tr>
        <w:trPr>
          <w:trHeight w:val="234"/>
        </w:trPr>
        <w:tc>
          <w:tcPr>
            <w:tcW w:w="1240" w:type="dxa"/>
            <w:vAlign w:val="bottom"/>
            <w:gridSpan w:val="3"/>
          </w:tcPr>
          <w:p>
            <w:pPr>
              <w:jc w:val="right"/>
              <w:ind w:right="40"/>
              <w:spacing w:after="0"/>
              <w:rPr>
                <w:sz w:val="20"/>
                <w:szCs w:val="20"/>
                <w:color w:val="auto"/>
              </w:rPr>
            </w:pPr>
            <w:r>
              <w:rPr>
                <w:rFonts w:ascii="Arial" w:cs="Arial" w:eastAsia="Arial" w:hAnsi="Arial"/>
                <w:sz w:val="18"/>
                <w:szCs w:val="18"/>
                <w:color w:val="auto"/>
              </w:rPr>
              <w:t>59,686</w:t>
            </w:r>
          </w:p>
        </w:tc>
        <w:tc>
          <w:tcPr>
            <w:tcW w:w="180" w:type="dxa"/>
            <w:vAlign w:val="bottom"/>
          </w:tcPr>
          <w:p>
            <w:pPr>
              <w:spacing w:after="0"/>
              <w:rPr>
                <w:sz w:val="20"/>
                <w:szCs w:val="20"/>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20"/>
                <w:szCs w:val="20"/>
                <w:color w:val="auto"/>
              </w:rPr>
            </w:pP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59,686</w:t>
            </w:r>
          </w:p>
        </w:tc>
        <w:tc>
          <w:tcPr>
            <w:tcW w:w="20" w:type="dxa"/>
            <w:vAlign w:val="bottom"/>
          </w:tcPr>
          <w:p>
            <w:pPr>
              <w:spacing w:after="0"/>
              <w:rPr>
                <w:sz w:val="20"/>
                <w:szCs w:val="20"/>
                <w:color w:val="auto"/>
              </w:rPr>
            </w:pPr>
          </w:p>
        </w:tc>
      </w:tr>
      <w:tr>
        <w:trPr>
          <w:trHeight w:val="223"/>
        </w:trPr>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59,710</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3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59,710</w:t>
            </w:r>
          </w:p>
        </w:tc>
        <w:tc>
          <w:tcPr>
            <w:tcW w:w="20" w:type="dxa"/>
            <w:vAlign w:val="bottom"/>
            <w:tcBorders>
              <w:top w:val="single" w:sz="8" w:color="auto"/>
              <w:bottom w:val="single" w:sz="8" w:color="auto"/>
            </w:tcBorders>
          </w:tcPr>
          <w:p>
            <w:pPr>
              <w:spacing w:after="0"/>
              <w:rPr>
                <w:sz w:val="19"/>
                <w:szCs w:val="19"/>
                <w:color w:val="auto"/>
              </w:rPr>
            </w:pPr>
          </w:p>
        </w:tc>
      </w:tr>
      <w:tr>
        <w:trPr>
          <w:trHeight w:val="20"/>
        </w:trPr>
        <w:tc>
          <w:tcPr>
            <w:tcW w:w="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ectPr>
          <w:pgSz w:w="11900" w:h="16838" w:orient="portrait"/>
          <w:cols w:equalWidth="0" w:num="2">
            <w:col w:w="5980" w:space="720"/>
            <w:col w:w="4720"/>
          </w:cols>
          <w:pgMar w:left="240" w:top="689" w:right="239" w:bottom="1440" w:gutter="0" w:footer="0" w:header="0"/>
          <w:type w:val="continuous"/>
        </w:sectPr>
      </w:pPr>
    </w:p>
    <w:bookmarkStart w:id="183" w:name="page184"/>
    <w:bookmarkEnd w:id="18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460" w:hanging="317"/>
        <w:spacing w:after="0"/>
        <w:tabs>
          <w:tab w:leader="none" w:pos="460" w:val="left"/>
        </w:tabs>
        <w:numPr>
          <w:ilvl w:val="0"/>
          <w:numId w:val="186"/>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In the normal course of business, to meet the financing needs of its customers, the Bank is party to loans commitments and financial guarantees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ectPr>
          <w:pgSz w:w="11900" w:h="16838" w:orient="portrait"/>
          <w:cols w:equalWidth="0" w:num="1">
            <w:col w:w="11420"/>
          </w:cols>
          <w:pgMar w:left="240" w:top="688" w:right="239" w:bottom="1440" w:gutter="0" w:footer="0" w:header="0"/>
        </w:sectPr>
      </w:pPr>
    </w:p>
    <w:p>
      <w:pPr>
        <w:spacing w:after="0" w:line="18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Bank’s outstanding loans commitments and financial guarantees contracts are as follows:</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Confirmed letters of credit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6955155" cy="14605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2">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Stand-by letters of credit and guaranteed – Commercial risk</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Credit commitments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4605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ind w:left="50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220" w:type="dxa"/>
            <w:vAlign w:val="bottom"/>
            <w:gridSpan w:val="2"/>
          </w:tcPr>
          <w:p>
            <w:pPr>
              <w:ind w:left="80"/>
              <w:spacing w:after="0"/>
              <w:rPr>
                <w:sz w:val="20"/>
                <w:szCs w:val="20"/>
                <w:color w:val="auto"/>
              </w:rPr>
            </w:pPr>
            <w:r>
              <w:rPr>
                <w:rFonts w:ascii="Arial" w:cs="Arial" w:eastAsia="Arial" w:hAnsi="Arial"/>
                <w:sz w:val="18"/>
                <w:szCs w:val="18"/>
                <w:b w:val="1"/>
                <w:bCs w:val="1"/>
                <w:color w:val="auto"/>
                <w:w w:val="95"/>
              </w:rPr>
              <w:t>December 31,</w:t>
            </w:r>
          </w:p>
        </w:tc>
      </w:tr>
      <w:tr>
        <w:trPr>
          <w:trHeight w:val="234"/>
        </w:trPr>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 w:type="dxa"/>
            <w:vAlign w:val="bottom"/>
          </w:tcPr>
          <w:p>
            <w:pPr>
              <w:spacing w:after="0"/>
              <w:rPr>
                <w:sz w:val="20"/>
                <w:szCs w:val="20"/>
                <w:color w:val="auto"/>
              </w:rPr>
            </w:pPr>
          </w:p>
        </w:tc>
      </w:tr>
      <w:tr>
        <w:trPr>
          <w:trHeight w:val="195"/>
        </w:trPr>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273,449</w:t>
            </w:r>
          </w:p>
        </w:tc>
        <w:tc>
          <w:tcPr>
            <w:tcW w:w="220" w:type="dxa"/>
            <w:vAlign w:val="bottom"/>
          </w:tcPr>
          <w:p>
            <w:pPr>
              <w:spacing w:after="0"/>
              <w:rPr>
                <w:sz w:val="16"/>
                <w:szCs w:val="16"/>
                <w:color w:val="auto"/>
              </w:rPr>
            </w:pPr>
          </w:p>
        </w:tc>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216,608</w:t>
            </w:r>
          </w:p>
        </w:tc>
        <w:tc>
          <w:tcPr>
            <w:tcW w:w="20" w:type="dxa"/>
            <w:vAlign w:val="bottom"/>
          </w:tcPr>
          <w:p>
            <w:pPr>
              <w:spacing w:after="0"/>
              <w:rPr>
                <w:sz w:val="16"/>
                <w:szCs w:val="16"/>
                <w:color w:val="auto"/>
              </w:rPr>
            </w:pPr>
          </w:p>
        </w:tc>
      </w:tr>
      <w:tr>
        <w:trPr>
          <w:trHeight w:val="230"/>
        </w:trPr>
        <w:tc>
          <w:tcPr>
            <w:tcW w:w="1200" w:type="dxa"/>
            <w:vAlign w:val="bottom"/>
          </w:tcPr>
          <w:p>
            <w:pPr>
              <w:jc w:val="right"/>
              <w:spacing w:after="0"/>
              <w:rPr>
                <w:sz w:val="20"/>
                <w:szCs w:val="20"/>
                <w:color w:val="auto"/>
              </w:rPr>
            </w:pPr>
            <w:r>
              <w:rPr>
                <w:rFonts w:ascii="Arial" w:cs="Arial" w:eastAsia="Arial" w:hAnsi="Arial"/>
                <w:sz w:val="18"/>
                <w:szCs w:val="18"/>
                <w:color w:val="auto"/>
              </w:rPr>
              <w:t>168,976</w:t>
            </w:r>
          </w:p>
        </w:tc>
        <w:tc>
          <w:tcPr>
            <w:tcW w:w="220" w:type="dxa"/>
            <w:vAlign w:val="bottom"/>
          </w:tcPr>
          <w:p>
            <w:pPr>
              <w:spacing w:after="0"/>
              <w:rPr>
                <w:sz w:val="19"/>
                <w:szCs w:val="19"/>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176,177</w:t>
            </w:r>
          </w:p>
        </w:tc>
      </w:tr>
      <w:tr>
        <w:trPr>
          <w:trHeight w:val="230"/>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45,578</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10,250</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488,003</w:t>
            </w:r>
          </w:p>
        </w:tc>
        <w:tc>
          <w:tcPr>
            <w:tcW w:w="220" w:type="dxa"/>
            <w:vAlign w:val="bottom"/>
          </w:tcPr>
          <w:p>
            <w:pPr>
              <w:spacing w:after="0"/>
              <w:rPr>
                <w:sz w:val="19"/>
                <w:szCs w:val="19"/>
                <w:color w:val="auto"/>
              </w:rPr>
            </w:pPr>
          </w:p>
        </w:tc>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403,035</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840" w:space="720"/>
            <w:col w:w="2860"/>
          </w:cols>
          <w:pgMar w:left="240" w:top="688" w:right="239" w:bottom="1440" w:gutter="0" w:footer="0" w:header="0"/>
          <w:type w:val="continuous"/>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loans commitments and financial guarantees contracts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gridSpan w:val="2"/>
          </w:tcPr>
          <w:p>
            <w:pPr>
              <w:spacing w:after="0"/>
              <w:rPr>
                <w:sz w:val="20"/>
                <w:szCs w:val="20"/>
                <w:color w:val="auto"/>
              </w:rPr>
            </w:pPr>
            <w:r>
              <w:rPr>
                <w:rFonts w:ascii="Arial" w:cs="Arial" w:eastAsia="Arial" w:hAnsi="Arial"/>
                <w:sz w:val="18"/>
                <w:szCs w:val="18"/>
                <w:b w:val="1"/>
                <w:bCs w:val="1"/>
                <w:color w:val="auto"/>
              </w:rPr>
              <w:t>Maturities</w:t>
            </w:r>
          </w:p>
        </w:tc>
        <w:tc>
          <w:tcPr>
            <w:tcW w:w="12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2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r>
      <w:tr>
        <w:trPr>
          <w:trHeight w:val="210"/>
        </w:trPr>
        <w:tc>
          <w:tcPr>
            <w:tcW w:w="81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year</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457,168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399,257</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220" w:type="dxa"/>
            <w:vAlign w:val="bottom"/>
            <w:gridSpan w:val="2"/>
          </w:tcPr>
          <w:p>
            <w:pPr>
              <w:spacing w:after="0"/>
              <w:rPr>
                <w:sz w:val="20"/>
                <w:szCs w:val="20"/>
                <w:color w:val="auto"/>
              </w:rPr>
            </w:pPr>
            <w:r>
              <w:rPr>
                <w:rFonts w:ascii="Arial" w:cs="Arial" w:eastAsia="Arial" w:hAnsi="Arial"/>
                <w:sz w:val="18"/>
                <w:szCs w:val="18"/>
                <w:color w:val="auto"/>
              </w:rPr>
              <w:t>From 1 to 2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82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From 2 to 5 years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3,200</w:t>
            </w:r>
          </w:p>
        </w:tc>
      </w:tr>
      <w:tr>
        <w:trPr>
          <w:trHeight w:val="230"/>
        </w:trPr>
        <w:tc>
          <w:tcPr>
            <w:tcW w:w="822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578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578</w:t>
            </w:r>
          </w:p>
        </w:tc>
      </w:tr>
      <w:tr>
        <w:trPr>
          <w:trHeight w:val="223"/>
        </w:trPr>
        <w:tc>
          <w:tcPr>
            <w:tcW w:w="8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403,035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Loans commitments and financial guarantees contracts classified by issuer’s credit quality indicators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220" w:type="dxa"/>
            <w:vAlign w:val="bottom"/>
            <w:vMerge w:val="restart"/>
          </w:tcPr>
          <w:p>
            <w:pPr>
              <w:jc w:val="center"/>
              <w:ind w:right="30"/>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822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220" w:type="dxa"/>
            <w:vAlign w:val="bottom"/>
            <w:shd w:val="clear" w:color="auto" w:fill="CCEEFF"/>
          </w:tcPr>
          <w:p>
            <w:pPr>
              <w:jc w:val="center"/>
              <w:ind w:right="10"/>
              <w:spacing w:after="0"/>
              <w:rPr>
                <w:sz w:val="20"/>
                <w:szCs w:val="20"/>
                <w:color w:val="auto"/>
              </w:rPr>
            </w:pPr>
            <w:r>
              <w:rPr>
                <w:rFonts w:ascii="Arial" w:cs="Arial" w:eastAsia="Arial" w:hAnsi="Arial"/>
                <w:sz w:val="18"/>
                <w:szCs w:val="18"/>
                <w:color w:val="auto"/>
                <w:w w:val="92"/>
              </w:rPr>
              <w:t>1-4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151,934</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145,255</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220" w:type="dxa"/>
            <w:vAlign w:val="bottom"/>
          </w:tcPr>
          <w:p>
            <w:pPr>
              <w:jc w:val="center"/>
              <w:ind w:right="10"/>
              <w:spacing w:after="0"/>
              <w:rPr>
                <w:sz w:val="20"/>
                <w:szCs w:val="20"/>
                <w:color w:val="auto"/>
              </w:rPr>
            </w:pPr>
            <w:r>
              <w:rPr>
                <w:rFonts w:ascii="Arial" w:cs="Arial" w:eastAsia="Arial" w:hAnsi="Arial"/>
                <w:sz w:val="18"/>
                <w:szCs w:val="18"/>
                <w:color w:val="auto"/>
                <w:w w:val="92"/>
              </w:rPr>
              <w:t>5-6</w:t>
            </w:r>
          </w:p>
        </w:tc>
        <w:tc>
          <w:tcPr>
            <w:tcW w:w="1200" w:type="dxa"/>
            <w:vAlign w:val="bottom"/>
          </w:tcPr>
          <w:p>
            <w:pPr>
              <w:jc w:val="right"/>
              <w:spacing w:after="0"/>
              <w:rPr>
                <w:sz w:val="20"/>
                <w:szCs w:val="20"/>
                <w:color w:val="auto"/>
              </w:rPr>
            </w:pPr>
            <w:r>
              <w:rPr>
                <w:rFonts w:ascii="Arial" w:cs="Arial" w:eastAsia="Arial" w:hAnsi="Arial"/>
                <w:sz w:val="18"/>
                <w:szCs w:val="18"/>
                <w:color w:val="auto"/>
              </w:rPr>
              <w:t>336,069</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193,368</w:t>
            </w:r>
          </w:p>
        </w:tc>
        <w:tc>
          <w:tcPr>
            <w:tcW w:w="0" w:type="dxa"/>
            <w:vAlign w:val="bottom"/>
          </w:tcPr>
          <w:p>
            <w:pPr>
              <w:spacing w:after="0"/>
              <w:rPr>
                <w:sz w:val="1"/>
                <w:szCs w:val="1"/>
                <w:color w:val="auto"/>
              </w:rPr>
            </w:pPr>
          </w:p>
        </w:tc>
      </w:tr>
      <w:tr>
        <w:trPr>
          <w:trHeight w:val="216"/>
        </w:trPr>
        <w:tc>
          <w:tcPr>
            <w:tcW w:w="822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99"/>
              </w:rPr>
              <w:t>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64,412</w:t>
            </w:r>
          </w:p>
        </w:tc>
        <w:tc>
          <w:tcPr>
            <w:tcW w:w="0" w:type="dxa"/>
            <w:vAlign w:val="bottom"/>
          </w:tcPr>
          <w:p>
            <w:pPr>
              <w:spacing w:after="0"/>
              <w:rPr>
                <w:sz w:val="1"/>
                <w:szCs w:val="1"/>
                <w:color w:val="auto"/>
              </w:rPr>
            </w:pPr>
          </w:p>
        </w:tc>
      </w:tr>
      <w:tr>
        <w:trPr>
          <w:trHeight w:val="216"/>
        </w:trPr>
        <w:tc>
          <w:tcPr>
            <w:tcW w:w="8220" w:type="dxa"/>
            <w:vAlign w:val="bottom"/>
          </w:tcPr>
          <w:p>
            <w:pPr>
              <w:jc w:val="center"/>
              <w:ind w:right="30"/>
              <w:spacing w:after="0"/>
              <w:rPr>
                <w:sz w:val="20"/>
                <w:szCs w:val="20"/>
                <w:color w:val="auto"/>
              </w:rPr>
            </w:pPr>
            <w:r>
              <w:rPr>
                <w:rFonts w:ascii="Arial" w:cs="Arial" w:eastAsia="Arial" w:hAnsi="Arial"/>
                <w:sz w:val="18"/>
                <w:szCs w:val="18"/>
                <w:color w:val="auto"/>
                <w:w w:val="99"/>
              </w:rPr>
              <w:t>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22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99"/>
              </w:rPr>
              <w:t>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220" w:type="dxa"/>
            <w:vAlign w:val="bottom"/>
            <w:tcBorders>
              <w:bottom w:val="single" w:sz="8" w:color="CCEEFF"/>
            </w:tcBorders>
          </w:tcPr>
          <w:p>
            <w:pPr>
              <w:jc w:val="center"/>
              <w:ind w:right="30"/>
              <w:spacing w:after="0"/>
              <w:rPr>
                <w:sz w:val="20"/>
                <w:szCs w:val="20"/>
                <w:color w:val="auto"/>
              </w:rPr>
            </w:pPr>
            <w:r>
              <w:rPr>
                <w:rFonts w:ascii="Arial" w:cs="Arial" w:eastAsia="Arial" w:hAnsi="Arial"/>
                <w:sz w:val="18"/>
                <w:szCs w:val="18"/>
                <w:color w:val="auto"/>
                <w:w w:val="89"/>
              </w:rPr>
              <w:t>10</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220" w:type="dxa"/>
            <w:vAlign w:val="bottom"/>
            <w:tcBorders>
              <w:bottom w:val="single" w:sz="8" w:color="CCEEFF"/>
            </w:tcBorders>
            <w:shd w:val="clear" w:color="auto" w:fill="CCEEFF"/>
          </w:tcPr>
          <w:p>
            <w:pPr>
              <w:jc w:val="center"/>
              <w:ind w:right="30"/>
              <w:spacing w:after="0"/>
              <w:rPr>
                <w:sz w:val="20"/>
                <w:szCs w:val="20"/>
                <w:color w:val="auto"/>
              </w:rPr>
            </w:pPr>
            <w:r>
              <w:rPr>
                <w:rFonts w:ascii="Arial" w:cs="Arial" w:eastAsia="Arial" w:hAnsi="Arial"/>
                <w:sz w:val="18"/>
                <w:szCs w:val="18"/>
                <w:color w:val="auto"/>
                <w:w w:val="94"/>
              </w:rPr>
              <w:t>Total</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403,035</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jc w:val="center"/>
        <w:ind w:left="5560" w:right="3440" w:hanging="2473"/>
        <w:spacing w:after="0" w:line="368" w:lineRule="auto"/>
        <w:tabs>
          <w:tab w:leader="none" w:pos="3346" w:val="left"/>
        </w:tabs>
        <w:numPr>
          <w:ilvl w:val="0"/>
          <w:numId w:val="187"/>
        </w:numPr>
        <w:rPr>
          <w:rFonts w:ascii="Arial" w:cs="Arial" w:eastAsia="Arial" w:hAnsi="Arial"/>
          <w:sz w:val="30"/>
          <w:szCs w:val="30"/>
          <w:color w:val="auto"/>
          <w:vertAlign w:val="superscript"/>
        </w:rPr>
      </w:pPr>
      <w:r>
        <w:rPr>
          <w:rFonts w:ascii="Arial" w:cs="Arial" w:eastAsia="Arial" w:hAnsi="Arial"/>
          <w:sz w:val="18"/>
          <w:szCs w:val="18"/>
          <w:color w:val="auto"/>
        </w:rPr>
        <w:t>Current ratings as of December 31, 2017 and 2016, respectively. F-62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-116205</wp:posOffset>
            </wp:positionV>
            <wp:extent cx="7246620" cy="889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type w:val="continuous"/>
        </w:sectPr>
      </w:pPr>
    </w:p>
    <w:bookmarkStart w:id="184" w:name="page185"/>
    <w:bookmarkEnd w:id="18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440" w:hanging="324"/>
        <w:spacing w:after="0"/>
        <w:tabs>
          <w:tab w:leader="none" w:pos="440" w:val="left"/>
        </w:tabs>
        <w:numPr>
          <w:ilvl w:val="0"/>
          <w:numId w:val="188"/>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breakdown of the Bank’s loans commitments and financial guarantees contracts exposure by country risk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220" w:type="dxa"/>
            <w:vAlign w:val="bottom"/>
          </w:tcPr>
          <w:p>
            <w:pPr>
              <w:spacing w:after="0"/>
              <w:rPr>
                <w:sz w:val="18"/>
                <w:szCs w:val="18"/>
                <w:color w:val="auto"/>
              </w:rPr>
            </w:pPr>
          </w:p>
        </w:tc>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r>
      <w:tr>
        <w:trPr>
          <w:trHeight w:val="210"/>
        </w:trPr>
        <w:tc>
          <w:tcPr>
            <w:tcW w:w="8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1200" w:type="dxa"/>
            <w:vAlign w:val="bottom"/>
          </w:tcPr>
          <w:p>
            <w:pPr>
              <w:jc w:val="right"/>
              <w:spacing w:after="0"/>
              <w:rPr>
                <w:sz w:val="20"/>
                <w:szCs w:val="20"/>
                <w:color w:val="auto"/>
              </w:rPr>
            </w:pPr>
            <w:r>
              <w:rPr>
                <w:rFonts w:ascii="Arial" w:cs="Arial" w:eastAsia="Arial" w:hAnsi="Arial"/>
                <w:sz w:val="18"/>
                <w:szCs w:val="18"/>
                <w:color w:val="auto"/>
              </w:rPr>
              <w:t>7,546</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Brazil</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Canada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Chile</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15,000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91,020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78,815</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19,848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2,250</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26,787</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Ecuador</w:t>
            </w:r>
          </w:p>
        </w:tc>
        <w:tc>
          <w:tcPr>
            <w:tcW w:w="1200" w:type="dxa"/>
            <w:vAlign w:val="bottom"/>
          </w:tcPr>
          <w:p>
            <w:pPr>
              <w:jc w:val="right"/>
              <w:spacing w:after="0"/>
              <w:rPr>
                <w:sz w:val="20"/>
                <w:szCs w:val="20"/>
                <w:color w:val="auto"/>
              </w:rPr>
            </w:pPr>
            <w:r>
              <w:rPr>
                <w:rFonts w:ascii="Arial" w:cs="Arial" w:eastAsia="Arial" w:hAnsi="Arial"/>
                <w:sz w:val="18"/>
                <w:szCs w:val="18"/>
                <w:color w:val="auto"/>
              </w:rPr>
              <w:t>252,800</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172,522</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1,305</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1200" w:type="dxa"/>
            <w:vAlign w:val="bottom"/>
          </w:tcPr>
          <w:p>
            <w:pPr>
              <w:jc w:val="right"/>
              <w:spacing w:after="0"/>
              <w:rPr>
                <w:sz w:val="20"/>
                <w:szCs w:val="20"/>
                <w:color w:val="auto"/>
              </w:rPr>
            </w:pPr>
            <w:r>
              <w:rPr>
                <w:rFonts w:ascii="Arial" w:cs="Arial" w:eastAsia="Arial" w:hAnsi="Arial"/>
                <w:sz w:val="18"/>
                <w:szCs w:val="18"/>
                <w:color w:val="auto"/>
              </w:rPr>
              <w:t>11,788</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7,000</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890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35,643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11,118</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31,260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39,756</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Paraguay</w:t>
            </w:r>
          </w:p>
        </w:tc>
        <w:tc>
          <w:tcPr>
            <w:tcW w:w="1200" w:type="dxa"/>
            <w:vAlign w:val="bottom"/>
          </w:tcPr>
          <w:p>
            <w:pPr>
              <w:jc w:val="right"/>
              <w:spacing w:after="0"/>
              <w:rPr>
                <w:sz w:val="20"/>
                <w:szCs w:val="20"/>
                <w:color w:val="auto"/>
              </w:rPr>
            </w:pPr>
            <w:r>
              <w:rPr>
                <w:rFonts w:ascii="Arial" w:cs="Arial" w:eastAsia="Arial" w:hAnsi="Arial"/>
                <w:sz w:val="18"/>
                <w:szCs w:val="18"/>
                <w:color w:val="auto"/>
              </w:rPr>
              <w:t>22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17,618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42,764</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Switzerland</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1,000</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Kingdom</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100" w:type="dxa"/>
            <w:vAlign w:val="bottom"/>
            <w:shd w:val="clear" w:color="auto" w:fill="CCEEFF"/>
          </w:tcPr>
          <w:p>
            <w:pPr>
              <w:spacing w:after="0"/>
              <w:rPr>
                <w:sz w:val="18"/>
                <w:szCs w:val="18"/>
                <w:color w:val="auto"/>
              </w:rPr>
            </w:pPr>
          </w:p>
        </w:tc>
      </w:tr>
      <w:tr>
        <w:trPr>
          <w:trHeight w:val="230"/>
        </w:trPr>
        <w:tc>
          <w:tcPr>
            <w:tcW w:w="8220" w:type="dxa"/>
            <w:vAlign w:val="bottom"/>
          </w:tcPr>
          <w:p>
            <w:pPr>
              <w:ind w:left="160"/>
              <w:spacing w:after="0"/>
              <w:rPr>
                <w:sz w:val="20"/>
                <w:szCs w:val="20"/>
                <w:color w:val="auto"/>
              </w:rPr>
            </w:pPr>
            <w:r>
              <w:rPr>
                <w:rFonts w:ascii="Arial" w:cs="Arial" w:eastAsia="Arial" w:hAnsi="Arial"/>
                <w:sz w:val="18"/>
                <w:szCs w:val="18"/>
                <w:color w:val="auto"/>
              </w:rPr>
              <w:t>Uruguay</w:t>
            </w:r>
          </w:p>
        </w:tc>
        <w:tc>
          <w:tcPr>
            <w:tcW w:w="1200" w:type="dxa"/>
            <w:vAlign w:val="bottom"/>
          </w:tcPr>
          <w:p>
            <w:pPr>
              <w:jc w:val="right"/>
              <w:spacing w:after="0"/>
              <w:rPr>
                <w:sz w:val="20"/>
                <w:szCs w:val="20"/>
                <w:color w:val="auto"/>
              </w:rPr>
            </w:pPr>
            <w:r>
              <w:rPr>
                <w:rFonts w:ascii="Arial" w:cs="Arial" w:eastAsia="Arial" w:hAnsi="Arial"/>
                <w:sz w:val="18"/>
                <w:szCs w:val="18"/>
                <w:color w:val="auto"/>
              </w:rPr>
              <w:t>3,176</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18,128</w:t>
            </w:r>
          </w:p>
        </w:tc>
      </w:tr>
      <w:tr>
        <w:trPr>
          <w:trHeight w:val="223"/>
        </w:trPr>
        <w:tc>
          <w:tcPr>
            <w:tcW w:w="8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403,035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Letters of credit and guarantees</w:t>
      </w:r>
    </w:p>
    <w:p>
      <w:pPr>
        <w:spacing w:after="0" w:line="225"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The Bank, on behalf of its client’s base, advises and confirms letters of credit to facilitate foreign trade transactions. When confirming letters of credit, the Bank adds its own unqualified assurance that the issuing bank will pay and that if the issuing bank does not honor drafts drawn on the letter of credit, the Bank will. The Bank provides stand-by letters of credit and guarantees, which are issued on behalf of institutional clients in connection with financing between its clients and third parties. The Bank applies the same credit policies used in its lending process, and once issued the commitment is irrevocable and remains valid until its expiration. Credit risk arises from the Bank's obligation to make payment in the event of a client’s contractual default to a third party. Risks associated with stand-by letters of credit and guarantees are included in the evaluation of the Bank’s overall credit risk.</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0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185" w:name="page186"/>
    <w:bookmarkEnd w:id="18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440" w:hanging="324"/>
        <w:spacing w:after="0"/>
        <w:tabs>
          <w:tab w:leader="none" w:pos="440" w:val="left"/>
        </w:tabs>
        <w:numPr>
          <w:ilvl w:val="0"/>
          <w:numId w:val="189"/>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allowances for credit losses related to loans commitments and financial guarantees contracts are as follows:</w:t>
      </w:r>
    </w:p>
    <w:p>
      <w:pPr>
        <w:spacing w:after="0" w:line="394"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4,633</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5,776</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853</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799</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Instruments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(971)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(971)</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Changes due to instruments recognized as of December 31, 2016:</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854</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1,241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1,241</w:t>
            </w: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5,487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6,845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72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2015</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2,914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2,510</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5,424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(646)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693</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47</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(748)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1,756</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1,008</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Instruments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(2,631)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(326)</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(2,957)</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Changes due to instruments recognized as of December 31, 2015:</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(4,025)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2,123</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(1,902)</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2,254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2,254</w:t>
            </w: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4,633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14" w:lineRule="exact"/>
        <w:rPr>
          <w:sz w:val="20"/>
          <w:szCs w:val="20"/>
          <w:color w:val="auto"/>
        </w:rPr>
      </w:pPr>
    </w:p>
    <w:p>
      <w:pPr>
        <w:ind w:left="1060" w:hanging="323"/>
        <w:spacing w:after="0"/>
        <w:tabs>
          <w:tab w:leader="none" w:pos="1060" w:val="left"/>
        </w:tabs>
        <w:numPr>
          <w:ilvl w:val="0"/>
          <w:numId w:val="190"/>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90"/>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90"/>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reserve for expected credit losses on loans commitments and financial guarantees contracts reflects the Bank’s Management estimate of expected credit losses items such as: confirmed letters of credit, stand-by letters of credit, guarantees and credit commitments.</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186" w:name="page187"/>
    <w:bookmarkEnd w:id="18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620" w:hanging="315"/>
        <w:spacing w:after="0"/>
        <w:tabs>
          <w:tab w:leader="none" w:pos="620" w:val="left"/>
        </w:tabs>
        <w:numPr>
          <w:ilvl w:val="0"/>
          <w:numId w:val="191"/>
        </w:numPr>
        <w:rPr>
          <w:rFonts w:ascii="Arial" w:cs="Arial" w:eastAsia="Arial" w:hAnsi="Arial"/>
          <w:sz w:val="18"/>
          <w:szCs w:val="18"/>
          <w:b w:val="1"/>
          <w:bCs w:val="1"/>
          <w:color w:val="auto"/>
        </w:rPr>
      </w:pPr>
      <w:r>
        <w:rPr>
          <w:rFonts w:ascii="Arial" w:cs="Arial" w:eastAsia="Arial" w:hAnsi="Arial"/>
          <w:sz w:val="18"/>
          <w:szCs w:val="18"/>
          <w:b w:val="1"/>
          <w:bCs w:val="1"/>
          <w:color w:val="auto"/>
        </w:rPr>
        <w:t>Property and equipment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breakdown of cost, accumulated depreciation, additions and disposals for property and equipment is as follows:</w:t>
      </w:r>
    </w:p>
    <w:p>
      <w:pPr>
        <w:spacing w:after="0" w:line="200" w:lineRule="exact"/>
        <w:rPr>
          <w:sz w:val="20"/>
          <w:szCs w:val="20"/>
          <w:color w:val="auto"/>
        </w:rPr>
      </w:pPr>
    </w:p>
    <w:p>
      <w:pPr>
        <w:spacing w:after="0" w:line="237"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39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6"/>
              </w:rPr>
              <w:t>Furniture</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940" w:type="dxa"/>
            <w:vAlign w:val="bottom"/>
          </w:tcPr>
          <w:p>
            <w:pPr>
              <w:spacing w:after="0"/>
              <w:rPr>
                <w:sz w:val="18"/>
                <w:szCs w:val="18"/>
                <w:color w:val="auto"/>
              </w:rPr>
            </w:pPr>
          </w:p>
        </w:tc>
        <w:tc>
          <w:tcPr>
            <w:tcW w:w="1440" w:type="dxa"/>
            <w:vAlign w:val="bottom"/>
            <w:gridSpan w:val="2"/>
          </w:tcPr>
          <w:p>
            <w:pPr>
              <w:jc w:val="right"/>
              <w:ind w:right="720"/>
              <w:spacing w:after="0"/>
              <w:rPr>
                <w:sz w:val="20"/>
                <w:szCs w:val="20"/>
                <w:color w:val="auto"/>
              </w:rPr>
            </w:pPr>
            <w:r>
              <w:rPr>
                <w:rFonts w:ascii="Arial" w:cs="Arial" w:eastAsia="Arial" w:hAnsi="Arial"/>
                <w:sz w:val="18"/>
                <w:szCs w:val="18"/>
                <w:b w:val="1"/>
                <w:bCs w:val="1"/>
                <w:color w:val="auto"/>
              </w:rPr>
              <w:t>IT</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and</w:t>
            </w:r>
          </w:p>
        </w:tc>
        <w:tc>
          <w:tcPr>
            <w:tcW w:w="14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Leasehold</w:t>
            </w:r>
          </w:p>
        </w:tc>
        <w:tc>
          <w:tcPr>
            <w:tcW w:w="142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Other</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940" w:type="dxa"/>
            <w:vAlign w:val="bottom"/>
          </w:tcPr>
          <w:p>
            <w:pPr>
              <w:spacing w:after="0"/>
              <w:rPr>
                <w:sz w:val="20"/>
                <w:szCs w:val="20"/>
                <w:color w:val="auto"/>
              </w:rPr>
            </w:pPr>
          </w:p>
        </w:tc>
        <w:tc>
          <w:tcPr>
            <w:tcW w:w="144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equipment</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fixtures</w:t>
            </w:r>
          </w:p>
        </w:tc>
        <w:tc>
          <w:tcPr>
            <w:tcW w:w="14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7"/>
              </w:rPr>
              <w:t>improvement</w:t>
            </w:r>
          </w:p>
        </w:tc>
        <w:tc>
          <w:tcPr>
            <w:tcW w:w="14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equipment</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3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Cost:</w:t>
            </w: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940" w:type="dxa"/>
            <w:vAlign w:val="bottom"/>
          </w:tcPr>
          <w:p>
            <w:pPr>
              <w:spacing w:after="0"/>
              <w:rPr>
                <w:sz w:val="20"/>
                <w:szCs w:val="20"/>
                <w:color w:val="auto"/>
              </w:rPr>
            </w:pPr>
            <w:r>
              <w:rPr>
                <w:rFonts w:ascii="Arial" w:cs="Arial" w:eastAsia="Arial" w:hAnsi="Arial"/>
                <w:sz w:val="18"/>
                <w:szCs w:val="18"/>
                <w:b w:val="1"/>
                <w:bCs w:val="1"/>
                <w:color w:val="auto"/>
              </w:rPr>
              <w:t>Balance as of January 1, 2015</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3,136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2,147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7,458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460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13,201</w:t>
            </w:r>
          </w:p>
        </w:tc>
      </w:tr>
      <w:tr>
        <w:trPr>
          <w:trHeight w:val="216"/>
        </w:trPr>
        <w:tc>
          <w:tcPr>
            <w:tcW w:w="3940" w:type="dxa"/>
            <w:vAlign w:val="bottom"/>
            <w:shd w:val="clear" w:color="auto" w:fill="CCEEFF"/>
          </w:tcPr>
          <w:p>
            <w:pPr>
              <w:spacing w:after="0"/>
              <w:rPr>
                <w:sz w:val="20"/>
                <w:szCs w:val="20"/>
                <w:color w:val="auto"/>
              </w:rPr>
            </w:pPr>
            <w:r>
              <w:rPr>
                <w:rFonts w:ascii="Arial" w:cs="Arial" w:eastAsia="Arial" w:hAnsi="Arial"/>
                <w:sz w:val="18"/>
                <w:szCs w:val="18"/>
                <w:color w:val="auto"/>
              </w:rPr>
              <w:t>Additions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615</w:t>
            </w:r>
          </w:p>
        </w:tc>
      </w:tr>
      <w:tr>
        <w:trPr>
          <w:trHeight w:val="230"/>
        </w:trPr>
        <w:tc>
          <w:tcPr>
            <w:tcW w:w="3940" w:type="dxa"/>
            <w:vAlign w:val="bottom"/>
          </w:tcPr>
          <w:p>
            <w:pPr>
              <w:spacing w:after="0"/>
              <w:rPr>
                <w:sz w:val="20"/>
                <w:szCs w:val="20"/>
                <w:color w:val="auto"/>
              </w:rPr>
            </w:pPr>
            <w:r>
              <w:rPr>
                <w:rFonts w:ascii="Arial" w:cs="Arial" w:eastAsia="Arial" w:hAnsi="Arial"/>
                <w:sz w:val="18"/>
                <w:szCs w:val="18"/>
                <w:color w:val="auto"/>
              </w:rPr>
              <w:t>Disposals</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(138)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(175)</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(225)</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(41)</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(579)</w:t>
            </w:r>
          </w:p>
        </w:tc>
      </w:tr>
      <w:tr>
        <w:trPr>
          <w:trHeight w:val="210"/>
        </w:trPr>
        <w:tc>
          <w:tcPr>
            <w:tcW w:w="3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2015</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3,366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2,002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7,412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13,237</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940" w:type="dxa"/>
            <w:vAlign w:val="bottom"/>
          </w:tcPr>
          <w:p>
            <w:pPr>
              <w:spacing w:after="0"/>
              <w:rPr>
                <w:sz w:val="20"/>
                <w:szCs w:val="20"/>
                <w:color w:val="auto"/>
              </w:rPr>
            </w:pPr>
            <w:r>
              <w:rPr>
                <w:rFonts w:ascii="Arial" w:cs="Arial" w:eastAsia="Arial" w:hAnsi="Arial"/>
                <w:sz w:val="18"/>
                <w:szCs w:val="18"/>
                <w:color w:val="auto"/>
              </w:rPr>
              <w:t>Additions</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1,436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2,137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3,973</w:t>
            </w:r>
          </w:p>
        </w:tc>
      </w:tr>
      <w:tr>
        <w:trPr>
          <w:trHeight w:val="230"/>
        </w:trPr>
        <w:tc>
          <w:tcPr>
            <w:tcW w:w="3940" w:type="dxa"/>
            <w:vAlign w:val="bottom"/>
            <w:shd w:val="clear" w:color="auto" w:fill="CCEEFF"/>
          </w:tcPr>
          <w:p>
            <w:pPr>
              <w:spacing w:after="0"/>
              <w:rPr>
                <w:sz w:val="20"/>
                <w:szCs w:val="20"/>
                <w:color w:val="auto"/>
              </w:rPr>
            </w:pPr>
            <w:r>
              <w:rPr>
                <w:rFonts w:ascii="Arial" w:cs="Arial" w:eastAsia="Arial" w:hAnsi="Arial"/>
                <w:sz w:val="18"/>
                <w:szCs w:val="18"/>
                <w:color w:val="auto"/>
              </w:rPr>
              <w:t>Disposals</w:t>
            </w: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(361)</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(880)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(1,657)</w:t>
            </w:r>
          </w:p>
        </w:tc>
      </w:tr>
      <w:tr>
        <w:trPr>
          <w:trHeight w:val="210"/>
        </w:trPr>
        <w:tc>
          <w:tcPr>
            <w:tcW w:w="3940" w:type="dxa"/>
            <w:vAlign w:val="bottom"/>
          </w:tcPr>
          <w:p>
            <w:pPr>
              <w:spacing w:after="0"/>
              <w:rPr>
                <w:sz w:val="20"/>
                <w:szCs w:val="20"/>
                <w:color w:val="auto"/>
              </w:rPr>
            </w:pPr>
            <w:r>
              <w:rPr>
                <w:rFonts w:ascii="Arial" w:cs="Arial" w:eastAsia="Arial" w:hAnsi="Arial"/>
                <w:sz w:val="18"/>
                <w:szCs w:val="18"/>
                <w:b w:val="1"/>
                <w:bCs w:val="1"/>
                <w:color w:val="auto"/>
              </w:rPr>
              <w:t>Balance as of December 31, 2016</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4,386</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3,778</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6,771</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618</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15,553</w:t>
            </w:r>
          </w:p>
        </w:tc>
        <w:tc>
          <w:tcPr>
            <w:tcW w:w="100" w:type="dxa"/>
            <w:vAlign w:val="bottom"/>
          </w:tcPr>
          <w:p>
            <w:pPr>
              <w:spacing w:after="0"/>
              <w:rPr>
                <w:sz w:val="18"/>
                <w:szCs w:val="18"/>
                <w:color w:val="auto"/>
              </w:rPr>
            </w:pPr>
          </w:p>
        </w:tc>
      </w:tr>
      <w:tr>
        <w:trPr>
          <w:trHeight w:val="216"/>
        </w:trPr>
        <w:tc>
          <w:tcPr>
            <w:tcW w:w="3940" w:type="dxa"/>
            <w:vAlign w:val="bottom"/>
            <w:shd w:val="clear" w:color="auto" w:fill="CCEEFF"/>
          </w:tcPr>
          <w:p>
            <w:pPr>
              <w:spacing w:after="0"/>
              <w:rPr>
                <w:sz w:val="20"/>
                <w:szCs w:val="20"/>
                <w:color w:val="auto"/>
              </w:rPr>
            </w:pPr>
            <w:r>
              <w:rPr>
                <w:rFonts w:ascii="Arial" w:cs="Arial" w:eastAsia="Arial" w:hAnsi="Arial"/>
                <w:sz w:val="18"/>
                <w:szCs w:val="18"/>
                <w:color w:val="auto"/>
              </w:rPr>
              <w:t>Additions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1,908</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2,654</w:t>
            </w:r>
          </w:p>
        </w:tc>
      </w:tr>
      <w:tr>
        <w:trPr>
          <w:trHeight w:val="230"/>
        </w:trPr>
        <w:tc>
          <w:tcPr>
            <w:tcW w:w="3940" w:type="dxa"/>
            <w:vAlign w:val="bottom"/>
          </w:tcPr>
          <w:p>
            <w:pPr>
              <w:spacing w:after="0"/>
              <w:rPr>
                <w:sz w:val="20"/>
                <w:szCs w:val="20"/>
                <w:color w:val="auto"/>
              </w:rPr>
            </w:pPr>
            <w:r>
              <w:rPr>
                <w:rFonts w:ascii="Arial" w:cs="Arial" w:eastAsia="Arial" w:hAnsi="Arial"/>
                <w:sz w:val="18"/>
                <w:szCs w:val="18"/>
                <w:color w:val="auto"/>
              </w:rPr>
              <w:t>Disposals</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(462)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(2,255)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(21)</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(2,738)</w:t>
            </w:r>
          </w:p>
        </w:tc>
      </w:tr>
      <w:tr>
        <w:trPr>
          <w:trHeight w:val="223"/>
        </w:trPr>
        <w:tc>
          <w:tcPr>
            <w:tcW w:w="39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2017</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4,170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2,505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15,469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9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sectPr>
          <w:pgSz w:w="11900" w:h="16838" w:orient="portrait"/>
          <w:cols w:equalWidth="0" w:num="1">
            <w:col w:w="11420"/>
          </w:cols>
          <w:pgMar w:left="240" w:top="688" w:right="239" w:bottom="1440" w:gutter="0" w:footer="0" w:header="0"/>
        </w:sectPr>
      </w:pPr>
    </w:p>
    <w:p>
      <w:pPr>
        <w:ind w:left="340" w:right="860"/>
        <w:spacing w:after="0" w:line="258" w:lineRule="auto"/>
        <w:rPr>
          <w:sz w:val="20"/>
          <w:szCs w:val="20"/>
          <w:color w:val="auto"/>
        </w:rPr>
      </w:pPr>
      <w:r>
        <w:rPr>
          <w:rFonts w:ascii="Arial" w:cs="Arial" w:eastAsia="Arial" w:hAnsi="Arial"/>
          <w:sz w:val="18"/>
          <w:szCs w:val="18"/>
          <w:b w:val="1"/>
          <w:bCs w:val="1"/>
          <w:color w:val="auto"/>
        </w:rPr>
        <w:t xml:space="preserve">Accumulated depreciation: Balance as of January 1, 2015 </w:t>
      </w:r>
      <w:r>
        <w:rPr>
          <w:rFonts w:ascii="Arial" w:cs="Arial" w:eastAsia="Arial" w:hAnsi="Arial"/>
          <w:sz w:val="18"/>
          <w:szCs w:val="18"/>
          <w:color w:val="auto"/>
        </w:rPr>
        <w:t>Depreciation expense of the year Disposals</w:t>
      </w:r>
    </w:p>
    <w:p>
      <w:pPr>
        <w:spacing w:after="0" w:line="1" w:lineRule="exact"/>
        <w:rPr>
          <w:sz w:val="20"/>
          <w:szCs w:val="20"/>
          <w:color w:val="auto"/>
        </w:rPr>
      </w:pPr>
    </w:p>
    <w:p>
      <w:pPr>
        <w:ind w:left="340" w:right="720"/>
        <w:spacing w:after="0" w:line="260" w:lineRule="auto"/>
        <w:rPr>
          <w:sz w:val="20"/>
          <w:szCs w:val="20"/>
          <w:color w:val="auto"/>
        </w:rPr>
      </w:pPr>
      <w:r>
        <w:rPr>
          <w:rFonts w:ascii="Arial" w:cs="Arial" w:eastAsia="Arial" w:hAnsi="Arial"/>
          <w:sz w:val="18"/>
          <w:szCs w:val="18"/>
          <w:b w:val="1"/>
          <w:bCs w:val="1"/>
          <w:color w:val="auto"/>
        </w:rPr>
        <w:t xml:space="preserve">Balance as of December 31, 2015 </w:t>
      </w:r>
      <w:r>
        <w:rPr>
          <w:rFonts w:ascii="Arial" w:cs="Arial" w:eastAsia="Arial" w:hAnsi="Arial"/>
          <w:sz w:val="18"/>
          <w:szCs w:val="18"/>
          <w:color w:val="auto"/>
        </w:rPr>
        <w:t>Depreciation expense of the year Disposals</w:t>
      </w:r>
    </w:p>
    <w:p>
      <w:pPr>
        <w:spacing w:after="0" w:line="3" w:lineRule="exact"/>
        <w:rPr>
          <w:sz w:val="20"/>
          <w:szCs w:val="20"/>
          <w:color w:val="auto"/>
        </w:rPr>
      </w:pPr>
    </w:p>
    <w:p>
      <w:pPr>
        <w:ind w:left="340" w:right="720"/>
        <w:spacing w:after="0" w:line="257" w:lineRule="auto"/>
        <w:rPr>
          <w:sz w:val="20"/>
          <w:szCs w:val="20"/>
          <w:color w:val="auto"/>
        </w:rPr>
      </w:pPr>
      <w:r>
        <w:rPr>
          <w:rFonts w:ascii="Arial" w:cs="Arial" w:eastAsia="Arial" w:hAnsi="Arial"/>
          <w:sz w:val="18"/>
          <w:szCs w:val="18"/>
          <w:b w:val="1"/>
          <w:bCs w:val="1"/>
          <w:color w:val="auto"/>
        </w:rPr>
        <w:t xml:space="preserve">Balance as of December 31, 2016 </w:t>
      </w:r>
      <w:r>
        <w:rPr>
          <w:rFonts w:ascii="Arial" w:cs="Arial" w:eastAsia="Arial" w:hAnsi="Arial"/>
          <w:sz w:val="18"/>
          <w:szCs w:val="18"/>
          <w:color w:val="auto"/>
        </w:rPr>
        <w:t>Depreciation expense of the year Disposals</w:t>
      </w:r>
    </w:p>
    <w:p>
      <w:pPr>
        <w:spacing w:after="0" w:line="2" w:lineRule="exact"/>
        <w:rPr>
          <w:sz w:val="20"/>
          <w:szCs w:val="20"/>
          <w:color w:val="auto"/>
        </w:rPr>
      </w:pPr>
    </w:p>
    <w:p>
      <w:pPr>
        <w:ind w:left="340"/>
        <w:spacing w:after="0"/>
        <w:rPr>
          <w:sz w:val="20"/>
          <w:szCs w:val="20"/>
          <w:color w:val="auto"/>
        </w:rPr>
      </w:pPr>
      <w:r>
        <w:rPr>
          <w:rFonts w:ascii="Arial" w:cs="Arial" w:eastAsia="Arial" w:hAnsi="Arial"/>
          <w:sz w:val="15"/>
          <w:szCs w:val="15"/>
          <w:b w:val="1"/>
          <w:bCs w:val="1"/>
          <w:color w:val="auto"/>
        </w:rPr>
        <w:t>Balance as of December 31, 2017</w:t>
      </w:r>
    </w:p>
    <w:p>
      <w:pPr>
        <w:spacing w:after="0" w:line="32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Carrying amounts as of:</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December 31, 2017</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2,397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1,339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2,202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302</w:t>
            </w:r>
          </w:p>
        </w:tc>
        <w:tc>
          <w:tcPr>
            <w:tcW w:w="1200" w:type="dxa"/>
            <w:vAlign w:val="bottom"/>
          </w:tcPr>
          <w:p>
            <w:pPr>
              <w:jc w:val="right"/>
              <w:spacing w:after="0"/>
              <w:rPr>
                <w:sz w:val="20"/>
                <w:szCs w:val="20"/>
                <w:color w:val="auto"/>
              </w:rPr>
            </w:pPr>
            <w:r>
              <w:rPr>
                <w:rFonts w:ascii="Arial" w:cs="Arial" w:eastAsia="Arial" w:hAnsi="Arial"/>
                <w:sz w:val="18"/>
                <w:szCs w:val="18"/>
                <w:color w:val="auto"/>
              </w:rPr>
              <w:t>6,240</w:t>
            </w:r>
          </w:p>
        </w:tc>
        <w:tc>
          <w:tcPr>
            <w:tcW w:w="60" w:type="dxa"/>
            <w:vAlign w:val="bottom"/>
          </w:tcPr>
          <w:p>
            <w:pPr>
              <w:spacing w:after="0"/>
              <w:rPr>
                <w:sz w:val="18"/>
                <w:szCs w:val="18"/>
                <w:color w:val="auto"/>
              </w:rPr>
            </w:pPr>
          </w:p>
        </w:tc>
      </w:tr>
      <w:tr>
        <w:trPr>
          <w:trHeight w:val="216"/>
        </w:trPr>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388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322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556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105</w:t>
            </w:r>
          </w:p>
        </w:tc>
        <w:tc>
          <w:tcPr>
            <w:tcW w:w="1200" w:type="dxa"/>
            <w:vAlign w:val="bottom"/>
          </w:tcPr>
          <w:p>
            <w:pPr>
              <w:jc w:val="right"/>
              <w:spacing w:after="0"/>
              <w:rPr>
                <w:sz w:val="20"/>
                <w:szCs w:val="20"/>
                <w:color w:val="auto"/>
              </w:rPr>
            </w:pPr>
            <w:r>
              <w:rPr>
                <w:rFonts w:ascii="Arial" w:cs="Arial" w:eastAsia="Arial" w:hAnsi="Arial"/>
                <w:sz w:val="18"/>
                <w:szCs w:val="18"/>
                <w:color w:val="auto"/>
              </w:rPr>
              <w:t>1,371</w:t>
            </w:r>
          </w:p>
        </w:tc>
        <w:tc>
          <w:tcPr>
            <w:tcW w:w="60" w:type="dxa"/>
            <w:vAlign w:val="bottom"/>
          </w:tcPr>
          <w:p>
            <w:pPr>
              <w:spacing w:after="0"/>
              <w:rPr>
                <w:sz w:val="18"/>
                <w:szCs w:val="18"/>
                <w:color w:val="auto"/>
              </w:rPr>
            </w:pPr>
          </w:p>
        </w:tc>
      </w:tr>
      <w:tr>
        <w:trPr>
          <w:trHeight w:val="244"/>
        </w:trPr>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(114)</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(170)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(222)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(41)</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(547)</w:t>
            </w:r>
          </w:p>
        </w:tc>
      </w:tr>
      <w:tr>
        <w:trPr>
          <w:trHeight w:val="195"/>
        </w:trPr>
        <w:tc>
          <w:tcPr>
            <w:tcW w:w="122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2,671</w:t>
            </w:r>
          </w:p>
        </w:tc>
        <w:tc>
          <w:tcPr>
            <w:tcW w:w="220" w:type="dxa"/>
            <w:vAlign w:val="bottom"/>
          </w:tcPr>
          <w:p>
            <w:pPr>
              <w:spacing w:after="0"/>
              <w:rPr>
                <w:sz w:val="16"/>
                <w:szCs w:val="16"/>
                <w:color w:val="auto"/>
              </w:rPr>
            </w:pPr>
          </w:p>
        </w:tc>
        <w:tc>
          <w:tcPr>
            <w:tcW w:w="12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1,491</w:t>
            </w:r>
          </w:p>
        </w:tc>
        <w:tc>
          <w:tcPr>
            <w:tcW w:w="220" w:type="dxa"/>
            <w:vAlign w:val="bottom"/>
          </w:tcPr>
          <w:p>
            <w:pPr>
              <w:spacing w:after="0"/>
              <w:rPr>
                <w:sz w:val="16"/>
                <w:szCs w:val="16"/>
                <w:color w:val="auto"/>
              </w:rPr>
            </w:pPr>
          </w:p>
        </w:tc>
        <w:tc>
          <w:tcPr>
            <w:tcW w:w="12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2,536</w:t>
            </w:r>
          </w:p>
        </w:tc>
        <w:tc>
          <w:tcPr>
            <w:tcW w:w="220" w:type="dxa"/>
            <w:vAlign w:val="bottom"/>
          </w:tcPr>
          <w:p>
            <w:pPr>
              <w:spacing w:after="0"/>
              <w:rPr>
                <w:sz w:val="16"/>
                <w:szCs w:val="16"/>
                <w:color w:val="auto"/>
              </w:rPr>
            </w:pPr>
          </w:p>
        </w:tc>
        <w:tc>
          <w:tcPr>
            <w:tcW w:w="12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366</w:t>
            </w:r>
          </w:p>
        </w:tc>
        <w:tc>
          <w:tcPr>
            <w:tcW w:w="220" w:type="dxa"/>
            <w:vAlign w:val="bottom"/>
          </w:tcPr>
          <w:p>
            <w:pPr>
              <w:spacing w:after="0"/>
              <w:rPr>
                <w:sz w:val="16"/>
                <w:szCs w:val="16"/>
                <w:color w:val="auto"/>
              </w:rPr>
            </w:pPr>
          </w:p>
        </w:tc>
        <w:tc>
          <w:tcPr>
            <w:tcW w:w="12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7,064</w:t>
            </w:r>
          </w:p>
        </w:tc>
        <w:tc>
          <w:tcPr>
            <w:tcW w:w="60" w:type="dxa"/>
            <w:vAlign w:val="bottom"/>
          </w:tcPr>
          <w:p>
            <w:pPr>
              <w:spacing w:after="0"/>
              <w:rPr>
                <w:sz w:val="16"/>
                <w:szCs w:val="16"/>
                <w:color w:val="auto"/>
              </w:rPr>
            </w:pPr>
          </w:p>
        </w:tc>
      </w:tr>
      <w:tr>
        <w:trPr>
          <w:trHeight w:val="216"/>
        </w:trPr>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483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384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513</w:t>
            </w:r>
          </w:p>
        </w:tc>
        <w:tc>
          <w:tcPr>
            <w:tcW w:w="1200" w:type="dxa"/>
            <w:vAlign w:val="bottom"/>
          </w:tcPr>
          <w:p>
            <w:pPr>
              <w:jc w:val="right"/>
              <w:spacing w:after="0"/>
              <w:rPr>
                <w:sz w:val="20"/>
                <w:szCs w:val="20"/>
                <w:color w:val="auto"/>
              </w:rPr>
            </w:pPr>
            <w:r>
              <w:rPr>
                <w:rFonts w:ascii="Arial" w:cs="Arial" w:eastAsia="Arial" w:hAnsi="Arial"/>
                <w:sz w:val="18"/>
                <w:szCs w:val="18"/>
                <w:color w:val="auto"/>
              </w:rPr>
              <w:t>77</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1,457</w:t>
            </w:r>
          </w:p>
        </w:tc>
        <w:tc>
          <w:tcPr>
            <w:tcW w:w="60" w:type="dxa"/>
            <w:vAlign w:val="bottom"/>
          </w:tcPr>
          <w:p>
            <w:pPr>
              <w:spacing w:after="0"/>
              <w:rPr>
                <w:sz w:val="18"/>
                <w:szCs w:val="18"/>
                <w:color w:val="auto"/>
              </w:rPr>
            </w:pPr>
          </w:p>
        </w:tc>
      </w:tr>
      <w:tr>
        <w:trPr>
          <w:trHeight w:val="244"/>
        </w:trPr>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(412)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(230)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(875)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(1,517)</w:t>
            </w:r>
          </w:p>
        </w:tc>
      </w:tr>
      <w:tr>
        <w:trPr>
          <w:trHeight w:val="195"/>
        </w:trPr>
        <w:tc>
          <w:tcPr>
            <w:tcW w:w="122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2,742</w:t>
            </w:r>
          </w:p>
        </w:tc>
        <w:tc>
          <w:tcPr>
            <w:tcW w:w="220" w:type="dxa"/>
            <w:vAlign w:val="bottom"/>
          </w:tcPr>
          <w:p>
            <w:pPr>
              <w:spacing w:after="0"/>
              <w:rPr>
                <w:sz w:val="16"/>
                <w:szCs w:val="16"/>
                <w:color w:val="auto"/>
              </w:rPr>
            </w:pPr>
          </w:p>
        </w:tc>
        <w:tc>
          <w:tcPr>
            <w:tcW w:w="12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1,645</w:t>
            </w:r>
          </w:p>
        </w:tc>
        <w:tc>
          <w:tcPr>
            <w:tcW w:w="220" w:type="dxa"/>
            <w:vAlign w:val="bottom"/>
          </w:tcPr>
          <w:p>
            <w:pPr>
              <w:spacing w:after="0"/>
              <w:rPr>
                <w:sz w:val="16"/>
                <w:szCs w:val="16"/>
                <w:color w:val="auto"/>
              </w:rPr>
            </w:pPr>
          </w:p>
        </w:tc>
        <w:tc>
          <w:tcPr>
            <w:tcW w:w="12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2,174</w:t>
            </w:r>
          </w:p>
        </w:tc>
        <w:tc>
          <w:tcPr>
            <w:tcW w:w="220" w:type="dxa"/>
            <w:vAlign w:val="bottom"/>
          </w:tcPr>
          <w:p>
            <w:pPr>
              <w:spacing w:after="0"/>
              <w:rPr>
                <w:sz w:val="16"/>
                <w:szCs w:val="16"/>
                <w:color w:val="auto"/>
              </w:rPr>
            </w:pPr>
          </w:p>
        </w:tc>
        <w:tc>
          <w:tcPr>
            <w:tcW w:w="12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443</w:t>
            </w:r>
          </w:p>
        </w:tc>
        <w:tc>
          <w:tcPr>
            <w:tcW w:w="220" w:type="dxa"/>
            <w:vAlign w:val="bottom"/>
          </w:tcPr>
          <w:p>
            <w:pPr>
              <w:spacing w:after="0"/>
              <w:rPr>
                <w:sz w:val="16"/>
                <w:szCs w:val="16"/>
                <w:color w:val="auto"/>
              </w:rPr>
            </w:pPr>
          </w:p>
        </w:tc>
        <w:tc>
          <w:tcPr>
            <w:tcW w:w="12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7,004</w:t>
            </w:r>
          </w:p>
        </w:tc>
        <w:tc>
          <w:tcPr>
            <w:tcW w:w="60" w:type="dxa"/>
            <w:vAlign w:val="bottom"/>
          </w:tcPr>
          <w:p>
            <w:pPr>
              <w:spacing w:after="0"/>
              <w:rPr>
                <w:sz w:val="16"/>
                <w:szCs w:val="16"/>
                <w:color w:val="auto"/>
              </w:rPr>
            </w:pPr>
          </w:p>
        </w:tc>
      </w:tr>
      <w:tr>
        <w:trPr>
          <w:trHeight w:val="216"/>
        </w:trPr>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587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474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368</w:t>
            </w:r>
          </w:p>
        </w:tc>
        <w:tc>
          <w:tcPr>
            <w:tcW w:w="1200" w:type="dxa"/>
            <w:vAlign w:val="bottom"/>
          </w:tcPr>
          <w:p>
            <w:pPr>
              <w:jc w:val="right"/>
              <w:spacing w:after="0"/>
              <w:rPr>
                <w:sz w:val="20"/>
                <w:szCs w:val="20"/>
                <w:color w:val="auto"/>
              </w:rPr>
            </w:pPr>
            <w:r>
              <w:rPr>
                <w:rFonts w:ascii="Arial" w:cs="Arial" w:eastAsia="Arial" w:hAnsi="Arial"/>
                <w:sz w:val="18"/>
                <w:szCs w:val="18"/>
                <w:color w:val="auto"/>
              </w:rPr>
              <w:t>1,578</w:t>
            </w:r>
          </w:p>
        </w:tc>
        <w:tc>
          <w:tcPr>
            <w:tcW w:w="60" w:type="dxa"/>
            <w:vAlign w:val="bottom"/>
          </w:tcPr>
          <w:p>
            <w:pPr>
              <w:spacing w:after="0"/>
              <w:rPr>
                <w:sz w:val="18"/>
                <w:szCs w:val="18"/>
                <w:color w:val="auto"/>
              </w:rPr>
            </w:pPr>
          </w:p>
        </w:tc>
      </w:tr>
      <w:tr>
        <w:trPr>
          <w:trHeight w:val="244"/>
        </w:trPr>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(459)</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(54)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(20)</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(533)</w:t>
            </w:r>
          </w:p>
        </w:tc>
      </w:tr>
      <w:tr>
        <w:trPr>
          <w:trHeight w:val="223"/>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2,870</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1,740</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2,648</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791</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8,049</w:t>
            </w:r>
          </w:p>
        </w:tc>
        <w:tc>
          <w:tcPr>
            <w:tcW w:w="60" w:type="dxa"/>
            <w:vAlign w:val="bottom"/>
          </w:tcPr>
          <w:p>
            <w:pPr>
              <w:spacing w:after="0"/>
              <w:rPr>
                <w:sz w:val="19"/>
                <w:szCs w:val="19"/>
                <w:color w:val="auto"/>
              </w:rPr>
            </w:pP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656"/>
        </w:trPr>
        <w:tc>
          <w:tcPr>
            <w:tcW w:w="14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1,300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244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4,162</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1,714</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7,420</w:t>
            </w:r>
          </w:p>
        </w:tc>
        <w:tc>
          <w:tcPr>
            <w:tcW w:w="6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-2506345</wp:posOffset>
            </wp:positionH>
            <wp:positionV relativeFrom="paragraph">
              <wp:posOffset>-2023110</wp:posOffset>
            </wp:positionV>
            <wp:extent cx="6955155" cy="13716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7">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-1748790</wp:posOffset>
            </wp:positionV>
            <wp:extent cx="6955155" cy="13716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08">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-1465580</wp:posOffset>
            </wp:positionV>
            <wp:extent cx="6955155" cy="14605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9">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-1183005</wp:posOffset>
            </wp:positionV>
            <wp:extent cx="6955155" cy="14605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10">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-891540</wp:posOffset>
            </wp:positionV>
            <wp:extent cx="6955155" cy="13716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11">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-608330</wp:posOffset>
            </wp:positionV>
            <wp:extent cx="6955155" cy="163195"/>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2">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-290830</wp:posOffset>
            </wp:positionV>
            <wp:extent cx="6955155" cy="13716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13">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3560" w:space="720"/>
            <w:col w:w="7140"/>
          </w:cols>
          <w:pgMar w:left="240" w:top="688" w:right="239" w:bottom="1440" w:gutter="0" w:footer="0" w:header="0"/>
          <w:type w:val="continuous"/>
        </w:sectPr>
      </w:pPr>
    </w:p>
    <w:tbl>
      <w:tblPr>
        <w:tblLayout w:type="fixed"/>
        <w:tblInd w:w="0" w:type="dxa"/>
        <w:tblCellMar>
          <w:top w:w="0" w:type="dxa"/>
          <w:left w:w="0" w:type="dxa"/>
          <w:bottom w:w="0" w:type="dxa"/>
          <w:right w:w="0" w:type="dxa"/>
        </w:tblCellMar>
      </w:tblPr>
      <w:tr>
        <w:trPr>
          <w:trHeight w:val="237"/>
        </w:trPr>
        <w:tc>
          <w:tcPr>
            <w:tcW w:w="340" w:type="dxa"/>
            <w:vAlign w:val="bottom"/>
          </w:tcPr>
          <w:p>
            <w:pPr>
              <w:spacing w:after="0"/>
              <w:rPr>
                <w:sz w:val="20"/>
                <w:szCs w:val="20"/>
                <w:color w:val="auto"/>
              </w:rPr>
            </w:pPr>
          </w:p>
        </w:tc>
        <w:tc>
          <w:tcPr>
            <w:tcW w:w="39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December 31, 2016</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1,644</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2,133</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4,597</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175</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8,549</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940" w:type="dxa"/>
            <w:vAlign w:val="bottom"/>
            <w:vMerge w:val="restart"/>
          </w:tcPr>
          <w:p>
            <w:pPr>
              <w:spacing w:after="0"/>
              <w:rPr>
                <w:sz w:val="20"/>
                <w:szCs w:val="20"/>
                <w:color w:val="auto"/>
              </w:rPr>
            </w:pPr>
            <w:r>
              <w:rPr>
                <w:rFonts w:ascii="Arial" w:cs="Arial" w:eastAsia="Arial" w:hAnsi="Arial"/>
                <w:sz w:val="18"/>
                <w:szCs w:val="18"/>
                <w:color w:val="auto"/>
              </w:rPr>
              <w:t>December 31, 2015</w:t>
            </w: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940" w:type="dxa"/>
            <w:vAlign w:val="bottom"/>
            <w:vMerge w:val="continue"/>
          </w:tcPr>
          <w:p>
            <w:pPr>
              <w:spacing w:after="0"/>
              <w:rPr>
                <w:sz w:val="17"/>
                <w:szCs w:val="17"/>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695</w:t>
            </w:r>
          </w:p>
        </w:tc>
        <w:tc>
          <w:tcPr>
            <w:tcW w:w="22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511</w:t>
            </w:r>
          </w:p>
        </w:tc>
        <w:tc>
          <w:tcPr>
            <w:tcW w:w="22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4,876</w:t>
            </w:r>
          </w:p>
        </w:tc>
        <w:tc>
          <w:tcPr>
            <w:tcW w:w="22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91</w:t>
            </w:r>
          </w:p>
        </w:tc>
        <w:tc>
          <w:tcPr>
            <w:tcW w:w="220" w:type="dxa"/>
            <w:vAlign w:val="bottom"/>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6,173</w:t>
            </w:r>
          </w:p>
        </w:tc>
        <w:tc>
          <w:tcPr>
            <w:tcW w:w="100" w:type="dxa"/>
            <w:vAlign w:val="bottom"/>
            <w:vMerge w:val="continue"/>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9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9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gridSpan w:val="3"/>
          </w:tcPr>
          <w:p>
            <w:pPr>
              <w:ind w:left="60"/>
              <w:spacing w:after="0"/>
              <w:rPr>
                <w:sz w:val="20"/>
                <w:szCs w:val="20"/>
                <w:color w:val="auto"/>
              </w:rPr>
            </w:pPr>
            <w:r>
              <w:rPr>
                <w:rFonts w:ascii="Arial" w:cs="Arial" w:eastAsia="Arial" w:hAnsi="Arial"/>
                <w:sz w:val="18"/>
                <w:szCs w:val="18"/>
                <w:color w:val="auto"/>
              </w:rPr>
              <w:t>F-65</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8" w:right="239" w:bottom="1440" w:gutter="0" w:footer="0" w:header="0"/>
          <w:type w:val="continuous"/>
        </w:sectPr>
      </w:pPr>
    </w:p>
    <w:bookmarkStart w:id="187" w:name="page188"/>
    <w:bookmarkEnd w:id="18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780" w:hanging="326"/>
        <w:spacing w:after="0"/>
        <w:tabs>
          <w:tab w:leader="none" w:pos="780" w:val="left"/>
        </w:tabs>
        <w:numPr>
          <w:ilvl w:val="0"/>
          <w:numId w:val="192"/>
        </w:numPr>
        <w:rPr>
          <w:rFonts w:ascii="Arial" w:cs="Arial" w:eastAsia="Arial" w:hAnsi="Arial"/>
          <w:sz w:val="18"/>
          <w:szCs w:val="18"/>
          <w:b w:val="1"/>
          <w:bCs w:val="1"/>
          <w:color w:val="auto"/>
        </w:rPr>
      </w:pPr>
      <w:r>
        <w:rPr>
          <w:rFonts w:ascii="Arial" w:cs="Arial" w:eastAsia="Arial" w:hAnsi="Arial"/>
          <w:sz w:val="18"/>
          <w:szCs w:val="18"/>
          <w:b w:val="1"/>
          <w:bCs w:val="1"/>
          <w:color w:val="auto"/>
        </w:rPr>
        <w:t>Intangible assets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 breakdown of cost, accumulated amortization, additions, sales and disposals for intangible assets is as follows:</w:t>
      </w:r>
    </w:p>
    <w:p>
      <w:pPr>
        <w:spacing w:after="0" w:line="244"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Costs: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-119380</wp:posOffset>
            </wp:positionV>
            <wp:extent cx="6732270" cy="13716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14">
                      <a:extLst>
                        <a:ext uri="{28A0092B-C50C-407E-A947-70E740481C1C}"/>
                      </a:extLst>
                    </a:blip>
                    <a:srcRect/>
                    <a:stretch>
                      <a:fillRect/>
                    </a:stretch>
                  </pic:blipFill>
                  <pic:spPr bwMode="auto">
                    <a:xfrm>
                      <a:off x="0" y="0"/>
                      <a:ext cx="6732270" cy="137160"/>
                    </a:xfrm>
                    <a:prstGeom prst="rect">
                      <a:avLst/>
                    </a:prstGeom>
                    <a:noFill/>
                  </pic:spPr>
                </pic:pic>
              </a:graphicData>
            </a:graphic>
          </wp:anchor>
        </w:drawing>
      </w:r>
    </w:p>
    <w:p>
      <w:pPr>
        <w:spacing w:after="0" w:line="7"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Balance as of January 1, 2015</w:t>
      </w:r>
    </w:p>
    <w:p>
      <w:pPr>
        <w:spacing w:after="0" w:line="9" w:lineRule="exact"/>
        <w:rPr>
          <w:sz w:val="20"/>
          <w:szCs w:val="20"/>
          <w:color w:val="auto"/>
        </w:rPr>
      </w:pPr>
    </w:p>
    <w:p>
      <w:pPr>
        <w:ind w:left="460"/>
        <w:spacing w:after="0"/>
        <w:rPr>
          <w:sz w:val="20"/>
          <w:szCs w:val="20"/>
          <w:color w:val="auto"/>
        </w:rPr>
      </w:pPr>
      <w:r>
        <w:rPr>
          <w:rFonts w:ascii="Arial" w:cs="Arial" w:eastAsia="Arial" w:hAnsi="Arial"/>
          <w:sz w:val="18"/>
          <w:szCs w:val="18"/>
          <w:color w:val="auto"/>
        </w:rPr>
        <w:t>Additions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-130810</wp:posOffset>
            </wp:positionV>
            <wp:extent cx="6732270" cy="13716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15">
                      <a:extLst>
                        <a:ext uri="{28A0092B-C50C-407E-A947-70E740481C1C}"/>
                      </a:extLst>
                    </a:blip>
                    <a:srcRect/>
                    <a:stretch>
                      <a:fillRect/>
                    </a:stretch>
                  </pic:blipFill>
                  <pic:spPr bwMode="auto">
                    <a:xfrm>
                      <a:off x="0" y="0"/>
                      <a:ext cx="6732270" cy="137160"/>
                    </a:xfrm>
                    <a:prstGeom prst="rect">
                      <a:avLst/>
                    </a:prstGeom>
                    <a:noFill/>
                  </pic:spPr>
                </pic:pic>
              </a:graphicData>
            </a:graphic>
          </wp:anchor>
        </w:drawing>
      </w:r>
    </w:p>
    <w:p>
      <w:pPr>
        <w:ind w:left="460"/>
        <w:spacing w:after="0"/>
        <w:rPr>
          <w:sz w:val="20"/>
          <w:szCs w:val="20"/>
          <w:color w:val="auto"/>
        </w:rPr>
      </w:pPr>
      <w:r>
        <w:rPr>
          <w:rFonts w:ascii="Arial" w:cs="Arial" w:eastAsia="Arial" w:hAnsi="Arial"/>
          <w:sz w:val="18"/>
          <w:szCs w:val="18"/>
          <w:color w:val="auto"/>
        </w:rPr>
        <w:t>Disposals</w:t>
      </w:r>
    </w:p>
    <w:p>
      <w:pPr>
        <w:spacing w:after="0" w:line="18"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Balance as of December 31, 2015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-127635</wp:posOffset>
            </wp:positionV>
            <wp:extent cx="6732270" cy="14605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16">
                      <a:extLst>
                        <a:ext uri="{28A0092B-C50C-407E-A947-70E740481C1C}"/>
                      </a:extLst>
                    </a:blip>
                    <a:srcRect/>
                    <a:stretch>
                      <a:fillRect/>
                    </a:stretch>
                  </pic:blipFill>
                  <pic:spPr bwMode="auto">
                    <a:xfrm>
                      <a:off x="0" y="0"/>
                      <a:ext cx="6732270" cy="146050"/>
                    </a:xfrm>
                    <a:prstGeom prst="rect">
                      <a:avLst/>
                    </a:prstGeom>
                    <a:noFill/>
                  </pic:spPr>
                </pic:pic>
              </a:graphicData>
            </a:graphic>
          </wp:anchor>
        </w:drawing>
      </w:r>
    </w:p>
    <w:p>
      <w:pPr>
        <w:spacing w:after="0" w:line="7" w:lineRule="exact"/>
        <w:rPr>
          <w:sz w:val="20"/>
          <w:szCs w:val="20"/>
          <w:color w:val="auto"/>
        </w:rPr>
      </w:pPr>
    </w:p>
    <w:p>
      <w:pPr>
        <w:ind w:left="460"/>
        <w:spacing w:after="0"/>
        <w:rPr>
          <w:sz w:val="20"/>
          <w:szCs w:val="20"/>
          <w:color w:val="auto"/>
        </w:rPr>
      </w:pPr>
      <w:r>
        <w:rPr>
          <w:rFonts w:ascii="Arial" w:cs="Arial" w:eastAsia="Arial" w:hAnsi="Arial"/>
          <w:sz w:val="18"/>
          <w:szCs w:val="18"/>
          <w:color w:val="auto"/>
        </w:rPr>
        <w:t>Additions</w:t>
      </w:r>
    </w:p>
    <w:p>
      <w:pPr>
        <w:spacing w:after="0" w:line="9" w:lineRule="exact"/>
        <w:rPr>
          <w:sz w:val="20"/>
          <w:szCs w:val="20"/>
          <w:color w:val="auto"/>
        </w:rPr>
      </w:pPr>
    </w:p>
    <w:p>
      <w:pPr>
        <w:ind w:left="460"/>
        <w:spacing w:after="0"/>
        <w:rPr>
          <w:sz w:val="20"/>
          <w:szCs w:val="20"/>
          <w:color w:val="auto"/>
        </w:rPr>
      </w:pPr>
      <w:r>
        <w:rPr>
          <w:rFonts w:ascii="Arial" w:cs="Arial" w:eastAsia="Arial" w:hAnsi="Arial"/>
          <w:sz w:val="18"/>
          <w:szCs w:val="18"/>
          <w:color w:val="auto"/>
        </w:rPr>
        <w:t>Disposals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-130810</wp:posOffset>
            </wp:positionV>
            <wp:extent cx="6732270" cy="14605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17">
                      <a:extLst>
                        <a:ext uri="{28A0092B-C50C-407E-A947-70E740481C1C}"/>
                      </a:extLst>
                    </a:blip>
                    <a:srcRect/>
                    <a:stretch>
                      <a:fillRect/>
                    </a:stretch>
                  </pic:blipFill>
                  <pic:spPr bwMode="auto">
                    <a:xfrm>
                      <a:off x="0" y="0"/>
                      <a:ext cx="6732270" cy="146050"/>
                    </a:xfrm>
                    <a:prstGeom prst="rect">
                      <a:avLst/>
                    </a:prstGeom>
                    <a:noFill/>
                  </pic:spPr>
                </pic:pic>
              </a:graphicData>
            </a:graphic>
          </wp:anchor>
        </w:drawing>
      </w:r>
    </w:p>
    <w:p>
      <w:pPr>
        <w:ind w:left="460"/>
        <w:spacing w:after="0"/>
        <w:rPr>
          <w:sz w:val="20"/>
          <w:szCs w:val="20"/>
          <w:color w:val="auto"/>
        </w:rPr>
      </w:pPr>
      <w:r>
        <w:rPr>
          <w:rFonts w:ascii="Arial" w:cs="Arial" w:eastAsia="Arial" w:hAnsi="Arial"/>
          <w:sz w:val="18"/>
          <w:szCs w:val="18"/>
          <w:b w:val="1"/>
          <w:bCs w:val="1"/>
          <w:color w:val="auto"/>
        </w:rPr>
        <w:t>Balance as of December 31, 2016</w:t>
      </w:r>
    </w:p>
    <w:p>
      <w:pPr>
        <w:spacing w:after="0" w:line="27" w:lineRule="exact"/>
        <w:rPr>
          <w:sz w:val="20"/>
          <w:szCs w:val="20"/>
          <w:color w:val="auto"/>
        </w:rPr>
      </w:pPr>
    </w:p>
    <w:p>
      <w:pPr>
        <w:ind w:left="460"/>
        <w:spacing w:after="0"/>
        <w:rPr>
          <w:sz w:val="20"/>
          <w:szCs w:val="20"/>
          <w:color w:val="auto"/>
        </w:rPr>
      </w:pPr>
      <w:r>
        <w:rPr>
          <w:rFonts w:ascii="Arial" w:cs="Arial" w:eastAsia="Arial" w:hAnsi="Arial"/>
          <w:sz w:val="18"/>
          <w:szCs w:val="18"/>
          <w:color w:val="auto"/>
        </w:rPr>
        <w:t>Additions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-130810</wp:posOffset>
            </wp:positionV>
            <wp:extent cx="6732270" cy="13716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18">
                      <a:extLst>
                        <a:ext uri="{28A0092B-C50C-407E-A947-70E740481C1C}"/>
                      </a:extLst>
                    </a:blip>
                    <a:srcRect/>
                    <a:stretch>
                      <a:fillRect/>
                    </a:stretch>
                  </pic:blipFill>
                  <pic:spPr bwMode="auto">
                    <a:xfrm>
                      <a:off x="0" y="0"/>
                      <a:ext cx="6732270" cy="137160"/>
                    </a:xfrm>
                    <a:prstGeom prst="rect">
                      <a:avLst/>
                    </a:prstGeom>
                    <a:noFill/>
                  </pic:spPr>
                </pic:pic>
              </a:graphicData>
            </a:graphic>
          </wp:anchor>
        </w:drawing>
      </w:r>
    </w:p>
    <w:p>
      <w:pPr>
        <w:ind w:left="460"/>
        <w:spacing w:after="0"/>
        <w:rPr>
          <w:sz w:val="20"/>
          <w:szCs w:val="20"/>
          <w:color w:val="auto"/>
        </w:rPr>
      </w:pPr>
      <w:r>
        <w:rPr>
          <w:rFonts w:ascii="Arial" w:cs="Arial" w:eastAsia="Arial" w:hAnsi="Arial"/>
          <w:sz w:val="18"/>
          <w:szCs w:val="18"/>
          <w:color w:val="auto"/>
        </w:rPr>
        <w:t>Disposals</w:t>
      </w:r>
    </w:p>
    <w:p>
      <w:pPr>
        <w:spacing w:after="0" w:line="9"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Balance as of December 31, 2017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-121920</wp:posOffset>
            </wp:positionV>
            <wp:extent cx="6732270" cy="163195"/>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19">
                      <a:extLst>
                        <a:ext uri="{28A0092B-C50C-407E-A947-70E740481C1C}"/>
                      </a:extLst>
                    </a:blip>
                    <a:srcRect/>
                    <a:stretch>
                      <a:fillRect/>
                    </a:stretch>
                  </pic:blipFill>
                  <pic:spPr bwMode="auto">
                    <a:xfrm>
                      <a:off x="0" y="0"/>
                      <a:ext cx="6732270" cy="163195"/>
                    </a:xfrm>
                    <a:prstGeom prst="rect">
                      <a:avLst/>
                    </a:prstGeom>
                    <a:noFill/>
                  </pic:spPr>
                </pic:pic>
              </a:graphicData>
            </a:graphic>
          </wp:anchor>
        </w:drawing>
      </w:r>
    </w:p>
    <w:p>
      <w:pPr>
        <w:spacing w:after="0" w:line="268"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Accumulated amortization: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-119380</wp:posOffset>
            </wp:positionV>
            <wp:extent cx="6732270" cy="13716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20">
                      <a:extLst>
                        <a:ext uri="{28A0092B-C50C-407E-A947-70E740481C1C}"/>
                      </a:extLst>
                    </a:blip>
                    <a:srcRect/>
                    <a:stretch>
                      <a:fillRect/>
                    </a:stretch>
                  </pic:blipFill>
                  <pic:spPr bwMode="auto">
                    <a:xfrm>
                      <a:off x="0" y="0"/>
                      <a:ext cx="6732270" cy="137160"/>
                    </a:xfrm>
                    <a:prstGeom prst="rect">
                      <a:avLst/>
                    </a:prstGeom>
                    <a:noFill/>
                  </pic:spPr>
                </pic:pic>
              </a:graphicData>
            </a:graphic>
          </wp:anchor>
        </w:drawing>
      </w:r>
    </w:p>
    <w:p>
      <w:pPr>
        <w:spacing w:after="0" w:line="7"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Balance as of January 1, 2015</w:t>
      </w:r>
    </w:p>
    <w:p>
      <w:pPr>
        <w:spacing w:after="0" w:line="9" w:lineRule="exact"/>
        <w:rPr>
          <w:sz w:val="20"/>
          <w:szCs w:val="20"/>
          <w:color w:val="auto"/>
        </w:rPr>
      </w:pPr>
    </w:p>
    <w:p>
      <w:pPr>
        <w:ind w:left="460"/>
        <w:spacing w:after="0"/>
        <w:rPr>
          <w:sz w:val="20"/>
          <w:szCs w:val="20"/>
          <w:color w:val="auto"/>
        </w:rPr>
      </w:pPr>
      <w:r>
        <w:rPr>
          <w:rFonts w:ascii="Arial" w:cs="Arial" w:eastAsia="Arial" w:hAnsi="Arial"/>
          <w:sz w:val="18"/>
          <w:szCs w:val="18"/>
          <w:color w:val="auto"/>
        </w:rPr>
        <w:t>Disposals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-130810</wp:posOffset>
            </wp:positionV>
            <wp:extent cx="6732270" cy="13716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21">
                      <a:extLst>
                        <a:ext uri="{28A0092B-C50C-407E-A947-70E740481C1C}"/>
                      </a:extLst>
                    </a:blip>
                    <a:srcRect/>
                    <a:stretch>
                      <a:fillRect/>
                    </a:stretch>
                  </pic:blipFill>
                  <pic:spPr bwMode="auto">
                    <a:xfrm>
                      <a:off x="0" y="0"/>
                      <a:ext cx="6732270" cy="137160"/>
                    </a:xfrm>
                    <a:prstGeom prst="rect">
                      <a:avLst/>
                    </a:prstGeom>
                    <a:noFill/>
                  </pic:spPr>
                </pic:pic>
              </a:graphicData>
            </a:graphic>
          </wp:anchor>
        </w:drawing>
      </w:r>
    </w:p>
    <w:p>
      <w:pPr>
        <w:ind w:left="460"/>
        <w:spacing w:after="0"/>
        <w:rPr>
          <w:sz w:val="20"/>
          <w:szCs w:val="20"/>
          <w:color w:val="auto"/>
        </w:rPr>
      </w:pPr>
      <w:r>
        <w:rPr>
          <w:rFonts w:ascii="Arial" w:cs="Arial" w:eastAsia="Arial" w:hAnsi="Arial"/>
          <w:sz w:val="18"/>
          <w:szCs w:val="18"/>
          <w:color w:val="auto"/>
        </w:rPr>
        <w:t>Amortization expense of the year</w:t>
      </w:r>
    </w:p>
    <w:p>
      <w:pPr>
        <w:spacing w:after="0" w:line="18"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Balance as of December 31, 2015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-127635</wp:posOffset>
            </wp:positionV>
            <wp:extent cx="6732270" cy="14605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2">
                      <a:extLst>
                        <a:ext uri="{28A0092B-C50C-407E-A947-70E740481C1C}"/>
                      </a:extLst>
                    </a:blip>
                    <a:srcRect/>
                    <a:stretch>
                      <a:fillRect/>
                    </a:stretch>
                  </pic:blipFill>
                  <pic:spPr bwMode="auto">
                    <a:xfrm>
                      <a:off x="0" y="0"/>
                      <a:ext cx="6732270" cy="146050"/>
                    </a:xfrm>
                    <a:prstGeom prst="rect">
                      <a:avLst/>
                    </a:prstGeom>
                    <a:noFill/>
                  </pic:spPr>
                </pic:pic>
              </a:graphicData>
            </a:graphic>
          </wp:anchor>
        </w:drawing>
      </w:r>
    </w:p>
    <w:p>
      <w:pPr>
        <w:spacing w:after="0" w:line="7" w:lineRule="exact"/>
        <w:rPr>
          <w:sz w:val="20"/>
          <w:szCs w:val="20"/>
          <w:color w:val="auto"/>
        </w:rPr>
      </w:pPr>
    </w:p>
    <w:p>
      <w:pPr>
        <w:ind w:left="460"/>
        <w:spacing w:after="0"/>
        <w:rPr>
          <w:sz w:val="20"/>
          <w:szCs w:val="20"/>
          <w:color w:val="auto"/>
        </w:rPr>
      </w:pPr>
      <w:r>
        <w:rPr>
          <w:rFonts w:ascii="Arial" w:cs="Arial" w:eastAsia="Arial" w:hAnsi="Arial"/>
          <w:sz w:val="18"/>
          <w:szCs w:val="18"/>
          <w:color w:val="auto"/>
        </w:rPr>
        <w:t>Disposals</w:t>
      </w:r>
    </w:p>
    <w:p>
      <w:pPr>
        <w:spacing w:after="0" w:line="9" w:lineRule="exact"/>
        <w:rPr>
          <w:sz w:val="20"/>
          <w:szCs w:val="20"/>
          <w:color w:val="auto"/>
        </w:rPr>
      </w:pPr>
    </w:p>
    <w:p>
      <w:pPr>
        <w:ind w:left="460"/>
        <w:spacing w:after="0"/>
        <w:rPr>
          <w:sz w:val="20"/>
          <w:szCs w:val="20"/>
          <w:color w:val="auto"/>
        </w:rPr>
      </w:pPr>
      <w:r>
        <w:rPr>
          <w:rFonts w:ascii="Arial" w:cs="Arial" w:eastAsia="Arial" w:hAnsi="Arial"/>
          <w:sz w:val="18"/>
          <w:szCs w:val="18"/>
          <w:color w:val="auto"/>
        </w:rPr>
        <w:t>Amortization expense of the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-130810</wp:posOffset>
            </wp:positionV>
            <wp:extent cx="6732270" cy="14605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3">
                      <a:extLst>
                        <a:ext uri="{28A0092B-C50C-407E-A947-70E740481C1C}"/>
                      </a:extLst>
                    </a:blip>
                    <a:srcRect/>
                    <a:stretch>
                      <a:fillRect/>
                    </a:stretch>
                  </pic:blipFill>
                  <pic:spPr bwMode="auto">
                    <a:xfrm>
                      <a:off x="0" y="0"/>
                      <a:ext cx="6732270" cy="146050"/>
                    </a:xfrm>
                    <a:prstGeom prst="rect">
                      <a:avLst/>
                    </a:prstGeom>
                    <a:noFill/>
                  </pic:spPr>
                </pic:pic>
              </a:graphicData>
            </a:graphic>
          </wp:anchor>
        </w:drawing>
      </w:r>
    </w:p>
    <w:p>
      <w:pPr>
        <w:ind w:left="460"/>
        <w:spacing w:after="0"/>
        <w:rPr>
          <w:sz w:val="20"/>
          <w:szCs w:val="20"/>
          <w:color w:val="auto"/>
        </w:rPr>
      </w:pPr>
      <w:r>
        <w:rPr>
          <w:rFonts w:ascii="Arial" w:cs="Arial" w:eastAsia="Arial" w:hAnsi="Arial"/>
          <w:sz w:val="18"/>
          <w:szCs w:val="18"/>
          <w:b w:val="1"/>
          <w:bCs w:val="1"/>
          <w:color w:val="auto"/>
        </w:rPr>
        <w:t>Balance as of December 31, 2016</w:t>
      </w:r>
    </w:p>
    <w:p>
      <w:pPr>
        <w:spacing w:after="0" w:line="27" w:lineRule="exact"/>
        <w:rPr>
          <w:sz w:val="20"/>
          <w:szCs w:val="20"/>
          <w:color w:val="auto"/>
        </w:rPr>
      </w:pPr>
    </w:p>
    <w:p>
      <w:pPr>
        <w:ind w:left="460"/>
        <w:spacing w:after="0"/>
        <w:rPr>
          <w:sz w:val="20"/>
          <w:szCs w:val="20"/>
          <w:color w:val="auto"/>
        </w:rPr>
      </w:pPr>
      <w:r>
        <w:rPr>
          <w:rFonts w:ascii="Arial" w:cs="Arial" w:eastAsia="Arial" w:hAnsi="Arial"/>
          <w:sz w:val="18"/>
          <w:szCs w:val="18"/>
          <w:color w:val="auto"/>
        </w:rPr>
        <w:t>Disposals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-130810</wp:posOffset>
            </wp:positionV>
            <wp:extent cx="6732270" cy="13716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24">
                      <a:extLst>
                        <a:ext uri="{28A0092B-C50C-407E-A947-70E740481C1C}"/>
                      </a:extLst>
                    </a:blip>
                    <a:srcRect/>
                    <a:stretch>
                      <a:fillRect/>
                    </a:stretch>
                  </pic:blipFill>
                  <pic:spPr bwMode="auto">
                    <a:xfrm>
                      <a:off x="0" y="0"/>
                      <a:ext cx="6732270" cy="137160"/>
                    </a:xfrm>
                    <a:prstGeom prst="rect">
                      <a:avLst/>
                    </a:prstGeom>
                    <a:noFill/>
                  </pic:spPr>
                </pic:pic>
              </a:graphicData>
            </a:graphic>
          </wp:anchor>
        </w:drawing>
      </w:r>
    </w:p>
    <w:p>
      <w:pPr>
        <w:ind w:left="460"/>
        <w:spacing w:after="0"/>
        <w:rPr>
          <w:sz w:val="20"/>
          <w:szCs w:val="20"/>
          <w:color w:val="auto"/>
        </w:rPr>
      </w:pPr>
      <w:r>
        <w:rPr>
          <w:rFonts w:ascii="Arial" w:cs="Arial" w:eastAsia="Arial" w:hAnsi="Arial"/>
          <w:sz w:val="18"/>
          <w:szCs w:val="18"/>
          <w:color w:val="auto"/>
        </w:rPr>
        <w:t>Amortization expense of the year</w:t>
      </w:r>
    </w:p>
    <w:p>
      <w:pPr>
        <w:spacing w:after="0" w:line="9"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Balance as of December 31, 2017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-121920</wp:posOffset>
            </wp:positionV>
            <wp:extent cx="6732270" cy="163195"/>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25">
                      <a:extLst>
                        <a:ext uri="{28A0092B-C50C-407E-A947-70E740481C1C}"/>
                      </a:extLst>
                    </a:blip>
                    <a:srcRect/>
                    <a:stretch>
                      <a:fillRect/>
                    </a:stretch>
                  </pic:blipFill>
                  <pic:spPr bwMode="auto">
                    <a:xfrm>
                      <a:off x="0" y="0"/>
                      <a:ext cx="6732270" cy="163195"/>
                    </a:xfrm>
                    <a:prstGeom prst="rect">
                      <a:avLst/>
                    </a:prstGeom>
                    <a:noFill/>
                  </pic:spPr>
                </pic:pic>
              </a:graphicData>
            </a:graphic>
          </wp:anchor>
        </w:drawing>
      </w:r>
    </w:p>
    <w:p>
      <w:pPr>
        <w:spacing w:after="0" w:line="268"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Carrying amounts as 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-119380</wp:posOffset>
            </wp:positionV>
            <wp:extent cx="6732270" cy="13716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26">
                      <a:extLst>
                        <a:ext uri="{28A0092B-C50C-407E-A947-70E740481C1C}"/>
                      </a:extLst>
                    </a:blip>
                    <a:srcRect/>
                    <a:stretch>
                      <a:fillRect/>
                    </a:stretch>
                  </pic:blipFill>
                  <pic:spPr bwMode="auto">
                    <a:xfrm>
                      <a:off x="0" y="0"/>
                      <a:ext cx="6732270" cy="137160"/>
                    </a:xfrm>
                    <a:prstGeom prst="rect">
                      <a:avLst/>
                    </a:prstGeom>
                    <a:noFill/>
                  </pic:spPr>
                </pic:pic>
              </a:graphicData>
            </a:graphic>
          </wp:anchor>
        </w:drawing>
      </w:r>
    </w:p>
    <w:p>
      <w:pPr>
        <w:spacing w:after="0" w:line="7" w:lineRule="exact"/>
        <w:rPr>
          <w:sz w:val="20"/>
          <w:szCs w:val="20"/>
          <w:color w:val="auto"/>
        </w:rPr>
      </w:pPr>
    </w:p>
    <w:p>
      <w:pPr>
        <w:ind w:left="460"/>
        <w:spacing w:after="0"/>
        <w:rPr>
          <w:sz w:val="20"/>
          <w:szCs w:val="20"/>
          <w:color w:val="auto"/>
        </w:rPr>
      </w:pPr>
      <w:r>
        <w:rPr>
          <w:rFonts w:ascii="Arial" w:cs="Arial" w:eastAsia="Arial" w:hAnsi="Arial"/>
          <w:sz w:val="18"/>
          <w:szCs w:val="18"/>
          <w:color w:val="auto"/>
        </w:rPr>
        <w:t>December 31, 2017</w:t>
      </w:r>
    </w:p>
    <w:p>
      <w:pPr>
        <w:spacing w:after="0" w:line="35" w:lineRule="exact"/>
        <w:rPr>
          <w:sz w:val="20"/>
          <w:szCs w:val="20"/>
          <w:color w:val="auto"/>
        </w:rPr>
      </w:pPr>
    </w:p>
    <w:p>
      <w:pPr>
        <w:ind w:left="460"/>
        <w:spacing w:after="0"/>
        <w:rPr>
          <w:sz w:val="20"/>
          <w:szCs w:val="20"/>
          <w:color w:val="auto"/>
        </w:rPr>
      </w:pPr>
      <w:r>
        <w:rPr>
          <w:rFonts w:ascii="Arial" w:cs="Arial" w:eastAsia="Arial" w:hAnsi="Arial"/>
          <w:sz w:val="18"/>
          <w:szCs w:val="18"/>
          <w:color w:val="auto"/>
        </w:rPr>
        <w:t>December 31,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-121920</wp:posOffset>
            </wp:positionV>
            <wp:extent cx="6732270" cy="163195"/>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27">
                      <a:extLst>
                        <a:ext uri="{28A0092B-C50C-407E-A947-70E740481C1C}"/>
                      </a:extLst>
                    </a:blip>
                    <a:srcRect/>
                    <a:stretch>
                      <a:fillRect/>
                    </a:stretch>
                  </pic:blipFill>
                  <pic:spPr bwMode="auto">
                    <a:xfrm>
                      <a:off x="0" y="0"/>
                      <a:ext cx="6732270" cy="163195"/>
                    </a:xfrm>
                    <a:prstGeom prst="rect">
                      <a:avLst/>
                    </a:prstGeom>
                    <a:noFill/>
                  </pic:spPr>
                </pic:pic>
              </a:graphicData>
            </a:graphic>
          </wp:anchor>
        </w:drawing>
      </w:r>
    </w:p>
    <w:p>
      <w:pPr>
        <w:spacing w:after="0" w:line="30" w:lineRule="exact"/>
        <w:rPr>
          <w:sz w:val="20"/>
          <w:szCs w:val="20"/>
          <w:color w:val="auto"/>
        </w:rPr>
      </w:pPr>
    </w:p>
    <w:p>
      <w:pPr>
        <w:ind w:left="460"/>
        <w:spacing w:after="0"/>
        <w:rPr>
          <w:sz w:val="20"/>
          <w:szCs w:val="20"/>
          <w:color w:val="auto"/>
        </w:rPr>
      </w:pPr>
      <w:r>
        <w:rPr>
          <w:rFonts w:ascii="Arial" w:cs="Arial" w:eastAsia="Arial" w:hAnsi="Arial"/>
          <w:sz w:val="18"/>
          <w:szCs w:val="18"/>
          <w:color w:val="auto"/>
        </w:rPr>
        <w:t>December 31, 2015</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right"/>
        <w:ind w:right="460"/>
        <w:spacing w:after="0"/>
        <w:rPr>
          <w:sz w:val="20"/>
          <w:szCs w:val="20"/>
          <w:color w:val="auto"/>
        </w:rPr>
      </w:pPr>
      <w:r>
        <w:rPr>
          <w:rFonts w:ascii="Arial" w:cs="Arial" w:eastAsia="Arial" w:hAnsi="Arial"/>
          <w:sz w:val="15"/>
          <w:szCs w:val="15"/>
          <w:color w:val="auto"/>
        </w:rPr>
        <w:t>10,987</w:t>
      </w:r>
    </w:p>
    <w:p>
      <w:pPr>
        <w:spacing w:after="0" w:line="58" w:lineRule="exact"/>
        <w:rPr>
          <w:sz w:val="20"/>
          <w:szCs w:val="20"/>
          <w:color w:val="auto"/>
        </w:rPr>
      </w:pPr>
    </w:p>
    <w:p>
      <w:pPr>
        <w:jc w:val="right"/>
        <w:ind w:right="460"/>
        <w:spacing w:after="0"/>
        <w:rPr>
          <w:sz w:val="20"/>
          <w:szCs w:val="20"/>
          <w:color w:val="auto"/>
        </w:rPr>
      </w:pPr>
      <w:r>
        <w:rPr>
          <w:rFonts w:ascii="Arial" w:cs="Arial" w:eastAsia="Arial" w:hAnsi="Arial"/>
          <w:sz w:val="18"/>
          <w:szCs w:val="18"/>
          <w:color w:val="auto"/>
        </w:rPr>
        <w:t>-</w:t>
      </w:r>
    </w:p>
    <w:p>
      <w:pPr>
        <w:spacing w:after="0" w:line="9" w:lineRule="exact"/>
        <w:rPr>
          <w:sz w:val="20"/>
          <w:szCs w:val="20"/>
          <w:color w:val="auto"/>
        </w:rPr>
      </w:pPr>
    </w:p>
    <w:p>
      <w:pPr>
        <w:jc w:val="right"/>
        <w:ind w:right="400"/>
        <w:spacing w:after="0"/>
        <w:rPr>
          <w:sz w:val="20"/>
          <w:szCs w:val="20"/>
          <w:color w:val="auto"/>
        </w:rPr>
      </w:pPr>
      <w:r>
        <w:rPr>
          <w:rFonts w:ascii="Arial" w:cs="Arial" w:eastAsia="Arial" w:hAnsi="Arial"/>
          <w:sz w:val="18"/>
          <w:szCs w:val="18"/>
          <w:color w:val="auto"/>
        </w:rPr>
        <w:t>(211)</w:t>
      </w:r>
    </w:p>
    <w:p>
      <w:pPr>
        <w:spacing w:after="0" w:line="23" w:lineRule="exact"/>
        <w:rPr>
          <w:sz w:val="20"/>
          <w:szCs w:val="20"/>
          <w:color w:val="auto"/>
        </w:rPr>
      </w:pPr>
    </w:p>
    <w:p>
      <w:pPr>
        <w:spacing w:after="0"/>
        <w:rPr>
          <w:sz w:val="20"/>
          <w:szCs w:val="20"/>
          <w:color w:val="auto"/>
        </w:rPr>
      </w:pPr>
      <w:r>
        <w:rPr>
          <w:rFonts w:ascii="Arial" w:cs="Arial" w:eastAsia="Arial" w:hAnsi="Arial"/>
          <w:sz w:val="17"/>
          <w:szCs w:val="17"/>
          <w:color w:val="auto"/>
        </w:rPr>
        <w:t>10,776</w:t>
      </w:r>
    </w:p>
    <w:p>
      <w:pPr>
        <w:spacing w:after="0" w:line="34" w:lineRule="exact"/>
        <w:rPr>
          <w:sz w:val="20"/>
          <w:szCs w:val="20"/>
          <w:color w:val="auto"/>
        </w:rPr>
      </w:pPr>
    </w:p>
    <w:p>
      <w:pPr>
        <w:jc w:val="right"/>
        <w:ind w:right="460"/>
        <w:spacing w:after="0"/>
        <w:rPr>
          <w:sz w:val="20"/>
          <w:szCs w:val="20"/>
          <w:color w:val="auto"/>
        </w:rPr>
      </w:pPr>
      <w:r>
        <w:rPr>
          <w:rFonts w:ascii="Arial" w:cs="Arial" w:eastAsia="Arial" w:hAnsi="Arial"/>
          <w:sz w:val="18"/>
          <w:szCs w:val="18"/>
          <w:color w:val="auto"/>
        </w:rPr>
        <w:t>3,111</w:t>
      </w:r>
    </w:p>
    <w:p>
      <w:pPr>
        <w:spacing w:after="0" w:line="9" w:lineRule="exact"/>
        <w:rPr>
          <w:sz w:val="20"/>
          <w:szCs w:val="20"/>
          <w:color w:val="auto"/>
        </w:rPr>
      </w:pPr>
    </w:p>
    <w:p>
      <w:pPr>
        <w:jc w:val="right"/>
        <w:ind w:right="400"/>
        <w:spacing w:after="0"/>
        <w:rPr>
          <w:sz w:val="20"/>
          <w:szCs w:val="20"/>
          <w:color w:val="auto"/>
        </w:rPr>
      </w:pPr>
      <w:r>
        <w:rPr>
          <w:rFonts w:ascii="Arial" w:cs="Arial" w:eastAsia="Arial" w:hAnsi="Arial"/>
          <w:sz w:val="18"/>
          <w:szCs w:val="18"/>
          <w:color w:val="auto"/>
        </w:rPr>
        <w:t>(4)</w:t>
      </w:r>
    </w:p>
    <w:p>
      <w:pPr>
        <w:spacing w:after="0" w:line="23" w:lineRule="exact"/>
        <w:rPr>
          <w:sz w:val="20"/>
          <w:szCs w:val="20"/>
          <w:color w:val="auto"/>
        </w:rPr>
      </w:pPr>
    </w:p>
    <w:p>
      <w:pPr>
        <w:jc w:val="right"/>
        <w:ind w:right="460"/>
        <w:spacing w:after="0"/>
        <w:rPr>
          <w:sz w:val="20"/>
          <w:szCs w:val="20"/>
          <w:color w:val="auto"/>
        </w:rPr>
      </w:pPr>
      <w:r>
        <w:rPr>
          <w:rFonts w:ascii="Arial" w:cs="Arial" w:eastAsia="Arial" w:hAnsi="Arial"/>
          <w:sz w:val="15"/>
          <w:szCs w:val="15"/>
          <w:color w:val="auto"/>
        </w:rPr>
        <w:t>13,883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-431800</wp:posOffset>
            </wp:positionH>
            <wp:positionV relativeFrom="paragraph">
              <wp:posOffset>-108585</wp:posOffset>
            </wp:positionV>
            <wp:extent cx="746125" cy="889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28">
                      <a:extLst>
                        <a:ext uri="{28A0092B-C50C-407E-A947-70E740481C1C}"/>
                      </a:extLst>
                    </a:blip>
                    <a:srcRect/>
                    <a:stretch>
                      <a:fillRect/>
                    </a:stretch>
                  </pic:blipFill>
                  <pic:spPr bwMode="auto">
                    <a:xfrm>
                      <a:off x="0" y="0"/>
                      <a:ext cx="746125" cy="8890"/>
                    </a:xfrm>
                    <a:prstGeom prst="rect">
                      <a:avLst/>
                    </a:prstGeom>
                    <a:noFill/>
                  </pic:spPr>
                </pic:pic>
              </a:graphicData>
            </a:graphic>
          </wp:anchor>
        </w:drawing>
      </w:r>
    </w:p>
    <w:p>
      <w:pPr>
        <w:spacing w:after="0" w:line="37" w:lineRule="exact"/>
        <w:rPr>
          <w:sz w:val="20"/>
          <w:szCs w:val="20"/>
          <w:color w:val="auto"/>
        </w:rPr>
      </w:pPr>
    </w:p>
    <w:p>
      <w:pPr>
        <w:jc w:val="right"/>
        <w:ind w:right="460"/>
        <w:spacing w:after="0"/>
        <w:rPr>
          <w:sz w:val="20"/>
          <w:szCs w:val="20"/>
          <w:color w:val="auto"/>
        </w:rPr>
      </w:pPr>
      <w:r>
        <w:rPr>
          <w:rFonts w:ascii="Arial" w:cs="Arial" w:eastAsia="Arial" w:hAnsi="Arial"/>
          <w:sz w:val="18"/>
          <w:szCs w:val="18"/>
          <w:color w:val="auto"/>
        </w:rPr>
        <w:t>3,370</w:t>
      </w:r>
    </w:p>
    <w:p>
      <w:pPr>
        <w:spacing w:after="0" w:line="9" w:lineRule="exact"/>
        <w:rPr>
          <w:sz w:val="20"/>
          <w:szCs w:val="20"/>
          <w:color w:val="auto"/>
        </w:rPr>
      </w:pPr>
    </w:p>
    <w:p>
      <w:pPr>
        <w:jc w:val="right"/>
        <w:ind w:right="400"/>
        <w:spacing w:after="0"/>
        <w:rPr>
          <w:sz w:val="20"/>
          <w:szCs w:val="20"/>
          <w:color w:val="auto"/>
        </w:rPr>
      </w:pPr>
      <w:r>
        <w:rPr>
          <w:rFonts w:ascii="Arial" w:cs="Arial" w:eastAsia="Arial" w:hAnsi="Arial"/>
          <w:sz w:val="18"/>
          <w:szCs w:val="18"/>
          <w:color w:val="auto"/>
        </w:rPr>
        <w:t>(81)</w:t>
      </w:r>
    </w:p>
    <w:p>
      <w:pPr>
        <w:spacing w:after="0" w:line="3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17,172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-431800</wp:posOffset>
            </wp:positionH>
            <wp:positionV relativeFrom="paragraph">
              <wp:posOffset>41910</wp:posOffset>
            </wp:positionV>
            <wp:extent cx="746125" cy="889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29">
                      <a:extLst>
                        <a:ext uri="{28A0092B-C50C-407E-A947-70E740481C1C}"/>
                      </a:extLst>
                    </a:blip>
                    <a:srcRect/>
                    <a:stretch>
                      <a:fillRect/>
                    </a:stretch>
                  </pic:blipFill>
                  <pic:spPr bwMode="auto">
                    <a:xfrm>
                      <a:off x="0" y="0"/>
                      <a:ext cx="746125" cy="8890"/>
                    </a:xfrm>
                    <a:prstGeom prst="rect">
                      <a:avLst/>
                    </a:prstGeom>
                    <a:noFill/>
                  </pic:spPr>
                </pic:pic>
              </a:graphicData>
            </a:graphic>
          </wp:anchor>
        </w:drawing>
      </w:r>
    </w:p>
    <w:p>
      <w:pPr>
        <w:spacing w:after="0" w:line="200" w:lineRule="exact"/>
        <w:rPr>
          <w:sz w:val="20"/>
          <w:szCs w:val="20"/>
          <w:color w:val="auto"/>
        </w:rPr>
      </w:pPr>
    </w:p>
    <w:p>
      <w:pPr>
        <w:spacing w:after="0" w:line="277" w:lineRule="exact"/>
        <w:rPr>
          <w:sz w:val="20"/>
          <w:szCs w:val="20"/>
          <w:color w:val="auto"/>
        </w:rPr>
      </w:pPr>
    </w:p>
    <w:p>
      <w:pPr>
        <w:jc w:val="right"/>
        <w:ind w:right="460"/>
        <w:spacing w:after="0"/>
        <w:rPr>
          <w:sz w:val="20"/>
          <w:szCs w:val="20"/>
          <w:color w:val="auto"/>
        </w:rPr>
      </w:pPr>
      <w:r>
        <w:rPr>
          <w:rFonts w:ascii="Arial" w:cs="Arial" w:eastAsia="Arial" w:hAnsi="Arial"/>
          <w:sz w:val="18"/>
          <w:szCs w:val="18"/>
          <w:color w:val="auto"/>
        </w:rPr>
        <w:t>9,963</w:t>
      </w:r>
    </w:p>
    <w:p>
      <w:pPr>
        <w:spacing w:after="0" w:line="23" w:lineRule="exact"/>
        <w:rPr>
          <w:sz w:val="20"/>
          <w:szCs w:val="20"/>
          <w:color w:val="auto"/>
        </w:rPr>
      </w:pPr>
    </w:p>
    <w:p>
      <w:pPr>
        <w:jc w:val="right"/>
        <w:ind w:right="400"/>
        <w:spacing w:after="0"/>
        <w:rPr>
          <w:sz w:val="20"/>
          <w:szCs w:val="20"/>
          <w:color w:val="auto"/>
        </w:rPr>
      </w:pPr>
      <w:r>
        <w:rPr>
          <w:rFonts w:ascii="Arial" w:cs="Arial" w:eastAsia="Arial" w:hAnsi="Arial"/>
          <w:sz w:val="18"/>
          <w:szCs w:val="18"/>
          <w:color w:val="auto"/>
        </w:rPr>
        <w:t>(210)</w:t>
      </w:r>
    </w:p>
    <w:p>
      <w:pPr>
        <w:spacing w:after="0" w:line="9" w:lineRule="exact"/>
        <w:rPr>
          <w:sz w:val="20"/>
          <w:szCs w:val="20"/>
          <w:color w:val="auto"/>
        </w:rPr>
      </w:pPr>
    </w:p>
    <w:p>
      <w:pPr>
        <w:ind w:left="220"/>
        <w:spacing w:after="0"/>
        <w:rPr>
          <w:sz w:val="20"/>
          <w:szCs w:val="20"/>
          <w:color w:val="auto"/>
        </w:rPr>
      </w:pPr>
      <w:r>
        <w:rPr>
          <w:rFonts w:ascii="Arial" w:cs="Arial" w:eastAsia="Arial" w:hAnsi="Arial"/>
          <w:sz w:val="18"/>
          <w:szCs w:val="18"/>
          <w:color w:val="auto"/>
        </w:rPr>
        <w:t>596</w:t>
      </w:r>
    </w:p>
    <w:p>
      <w:pPr>
        <w:spacing w:after="0" w:line="23" w:lineRule="exact"/>
        <w:rPr>
          <w:sz w:val="20"/>
          <w:szCs w:val="20"/>
          <w:color w:val="auto"/>
        </w:rPr>
      </w:pPr>
    </w:p>
    <w:p>
      <w:pPr>
        <w:spacing w:after="0"/>
        <w:rPr>
          <w:sz w:val="20"/>
          <w:szCs w:val="20"/>
          <w:color w:val="auto"/>
        </w:rPr>
      </w:pPr>
      <w:r>
        <w:rPr>
          <w:rFonts w:ascii="Arial" w:cs="Arial" w:eastAsia="Arial" w:hAnsi="Arial"/>
          <w:sz w:val="17"/>
          <w:szCs w:val="17"/>
          <w:color w:val="auto"/>
        </w:rPr>
        <w:t>10,349</w:t>
      </w:r>
    </w:p>
    <w:p>
      <w:pPr>
        <w:spacing w:after="0" w:line="34" w:lineRule="exact"/>
        <w:rPr>
          <w:sz w:val="20"/>
          <w:szCs w:val="20"/>
          <w:color w:val="auto"/>
        </w:rPr>
      </w:pPr>
    </w:p>
    <w:p>
      <w:pPr>
        <w:jc w:val="right"/>
        <w:ind w:right="400"/>
        <w:spacing w:after="0"/>
        <w:rPr>
          <w:sz w:val="20"/>
          <w:szCs w:val="20"/>
          <w:color w:val="auto"/>
        </w:rPr>
      </w:pPr>
      <w:r>
        <w:rPr>
          <w:rFonts w:ascii="Arial" w:cs="Arial" w:eastAsia="Arial" w:hAnsi="Arial"/>
          <w:sz w:val="18"/>
          <w:szCs w:val="18"/>
          <w:color w:val="auto"/>
        </w:rPr>
        <w:t>(4)</w:t>
      </w:r>
    </w:p>
    <w:p>
      <w:pPr>
        <w:spacing w:after="0" w:line="9" w:lineRule="exact"/>
        <w:rPr>
          <w:sz w:val="20"/>
          <w:szCs w:val="20"/>
          <w:color w:val="auto"/>
        </w:rPr>
      </w:pPr>
    </w:p>
    <w:p>
      <w:pPr>
        <w:ind w:left="220"/>
        <w:spacing w:after="0"/>
        <w:rPr>
          <w:sz w:val="20"/>
          <w:szCs w:val="20"/>
          <w:color w:val="auto"/>
        </w:rPr>
      </w:pPr>
      <w:r>
        <w:rPr>
          <w:rFonts w:ascii="Arial" w:cs="Arial" w:eastAsia="Arial" w:hAnsi="Arial"/>
          <w:sz w:val="18"/>
          <w:szCs w:val="18"/>
          <w:color w:val="auto"/>
        </w:rPr>
        <w:t>629</w:t>
      </w:r>
    </w:p>
    <w:p>
      <w:pPr>
        <w:spacing w:after="0" w:line="23" w:lineRule="exact"/>
        <w:rPr>
          <w:sz w:val="20"/>
          <w:szCs w:val="20"/>
          <w:color w:val="auto"/>
        </w:rPr>
      </w:pPr>
    </w:p>
    <w:p>
      <w:pPr>
        <w:spacing w:after="0"/>
        <w:rPr>
          <w:sz w:val="20"/>
          <w:szCs w:val="20"/>
          <w:color w:val="auto"/>
        </w:rPr>
      </w:pPr>
      <w:r>
        <w:rPr>
          <w:rFonts w:ascii="Arial" w:cs="Arial" w:eastAsia="Arial" w:hAnsi="Arial"/>
          <w:sz w:val="17"/>
          <w:szCs w:val="17"/>
          <w:color w:val="auto"/>
        </w:rPr>
        <w:t>10,974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-431800</wp:posOffset>
            </wp:positionH>
            <wp:positionV relativeFrom="paragraph">
              <wp:posOffset>-123190</wp:posOffset>
            </wp:positionV>
            <wp:extent cx="746125" cy="889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30">
                      <a:extLst>
                        <a:ext uri="{28A0092B-C50C-407E-A947-70E740481C1C}"/>
                      </a:extLst>
                    </a:blip>
                    <a:srcRect/>
                    <a:stretch>
                      <a:fillRect/>
                    </a:stretch>
                  </pic:blipFill>
                  <pic:spPr bwMode="auto">
                    <a:xfrm>
                      <a:off x="0" y="0"/>
                      <a:ext cx="746125" cy="8890"/>
                    </a:xfrm>
                    <a:prstGeom prst="rect">
                      <a:avLst/>
                    </a:prstGeom>
                    <a:noFill/>
                  </pic:spPr>
                </pic:pic>
              </a:graphicData>
            </a:graphic>
          </wp:anchor>
        </w:drawing>
      </w:r>
    </w:p>
    <w:p>
      <w:pPr>
        <w:spacing w:after="0" w:line="14" w:lineRule="exact"/>
        <w:rPr>
          <w:sz w:val="20"/>
          <w:szCs w:val="20"/>
          <w:color w:val="auto"/>
        </w:rPr>
      </w:pPr>
    </w:p>
    <w:p>
      <w:pPr>
        <w:jc w:val="right"/>
        <w:ind w:right="400"/>
        <w:spacing w:after="0"/>
        <w:rPr>
          <w:sz w:val="20"/>
          <w:szCs w:val="20"/>
          <w:color w:val="auto"/>
        </w:rPr>
      </w:pPr>
      <w:r>
        <w:rPr>
          <w:rFonts w:ascii="Arial" w:cs="Arial" w:eastAsia="Arial" w:hAnsi="Arial"/>
          <w:sz w:val="18"/>
          <w:szCs w:val="18"/>
          <w:color w:val="auto"/>
        </w:rPr>
        <w:t>(65)</w:t>
      </w:r>
    </w:p>
    <w:p>
      <w:pPr>
        <w:spacing w:after="0" w:line="9" w:lineRule="exact"/>
        <w:rPr>
          <w:sz w:val="20"/>
          <w:szCs w:val="20"/>
          <w:color w:val="auto"/>
        </w:rPr>
      </w:pPr>
    </w:p>
    <w:p>
      <w:pPr>
        <w:ind w:left="220"/>
        <w:spacing w:after="0"/>
        <w:rPr>
          <w:sz w:val="20"/>
          <w:szCs w:val="20"/>
          <w:color w:val="auto"/>
        </w:rPr>
      </w:pPr>
      <w:r>
        <w:rPr>
          <w:rFonts w:ascii="Arial" w:cs="Arial" w:eastAsia="Arial" w:hAnsi="Arial"/>
          <w:sz w:val="18"/>
          <w:szCs w:val="18"/>
          <w:color w:val="auto"/>
        </w:rPr>
        <w:t>838</w:t>
      </w:r>
    </w:p>
    <w:p>
      <w:pPr>
        <w:spacing w:after="0" w:line="3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11,747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-431800</wp:posOffset>
            </wp:positionH>
            <wp:positionV relativeFrom="paragraph">
              <wp:posOffset>41910</wp:posOffset>
            </wp:positionV>
            <wp:extent cx="746125" cy="889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31">
                      <a:extLst>
                        <a:ext uri="{28A0092B-C50C-407E-A947-70E740481C1C}"/>
                      </a:extLst>
                    </a:blip>
                    <a:srcRect/>
                    <a:stretch>
                      <a:fillRect/>
                    </a:stretch>
                  </pic:blipFill>
                  <pic:spPr bwMode="auto">
                    <a:xfrm>
                      <a:off x="0" y="0"/>
                      <a:ext cx="746125" cy="8890"/>
                    </a:xfrm>
                    <a:prstGeom prst="rect">
                      <a:avLst/>
                    </a:prstGeom>
                    <a:noFill/>
                  </pic:spPr>
                </pic:pic>
              </a:graphicData>
            </a:graphic>
          </wp:anchor>
        </w:drawing>
      </w:r>
    </w:p>
    <w:p>
      <w:pPr>
        <w:spacing w:after="0" w:line="200" w:lineRule="exact"/>
        <w:rPr>
          <w:sz w:val="20"/>
          <w:szCs w:val="20"/>
          <w:color w:val="auto"/>
        </w:rPr>
      </w:pPr>
    </w:p>
    <w:p>
      <w:pPr>
        <w:spacing w:after="0" w:line="300" w:lineRule="exact"/>
        <w:rPr>
          <w:sz w:val="20"/>
          <w:szCs w:val="20"/>
          <w:color w:val="auto"/>
        </w:rPr>
      </w:pPr>
    </w:p>
    <w:p>
      <w:pPr>
        <w:jc w:val="right"/>
        <w:ind w:right="460"/>
        <w:spacing w:after="0"/>
        <w:rPr>
          <w:sz w:val="20"/>
          <w:szCs w:val="20"/>
          <w:color w:val="auto"/>
        </w:rPr>
      </w:pPr>
      <w:r>
        <w:rPr>
          <w:rFonts w:ascii="Arial" w:cs="Arial" w:eastAsia="Arial" w:hAnsi="Arial"/>
          <w:sz w:val="18"/>
          <w:szCs w:val="18"/>
          <w:b w:val="1"/>
          <w:bCs w:val="1"/>
          <w:color w:val="auto"/>
        </w:rPr>
        <w:t>5,425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-431800</wp:posOffset>
            </wp:positionH>
            <wp:positionV relativeFrom="paragraph">
              <wp:posOffset>17145</wp:posOffset>
            </wp:positionV>
            <wp:extent cx="746125" cy="889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32">
                      <a:extLst>
                        <a:ext uri="{28A0092B-C50C-407E-A947-70E740481C1C}"/>
                      </a:extLst>
                    </a:blip>
                    <a:srcRect/>
                    <a:stretch>
                      <a:fillRect/>
                    </a:stretch>
                  </pic:blipFill>
                  <pic:spPr bwMode="auto">
                    <a:xfrm>
                      <a:off x="0" y="0"/>
                      <a:ext cx="746125" cy="8890"/>
                    </a:xfrm>
                    <a:prstGeom prst="rect">
                      <a:avLst/>
                    </a:prstGeom>
                    <a:noFill/>
                  </pic:spPr>
                </pic:pic>
              </a:graphicData>
            </a:graphic>
          </wp:anchor>
        </w:drawing>
      </w:r>
    </w:p>
    <w:p>
      <w:pPr>
        <w:spacing w:after="0" w:line="30" w:lineRule="exact"/>
        <w:rPr>
          <w:sz w:val="20"/>
          <w:szCs w:val="20"/>
          <w:color w:val="auto"/>
        </w:rPr>
      </w:pPr>
    </w:p>
    <w:p>
      <w:pPr>
        <w:jc w:val="right"/>
        <w:ind w:right="460"/>
        <w:spacing w:after="0"/>
        <w:rPr>
          <w:sz w:val="20"/>
          <w:szCs w:val="20"/>
          <w:color w:val="auto"/>
        </w:rPr>
      </w:pPr>
      <w:r>
        <w:rPr>
          <w:rFonts w:ascii="Arial" w:cs="Arial" w:eastAsia="Arial" w:hAnsi="Arial"/>
          <w:sz w:val="18"/>
          <w:szCs w:val="18"/>
          <w:b w:val="1"/>
          <w:bCs w:val="1"/>
          <w:color w:val="auto"/>
        </w:rPr>
        <w:t>2,909</w:t>
      </w:r>
    </w:p>
    <w:p>
      <w:pPr>
        <w:spacing w:after="0" w:line="50" w:lineRule="exact"/>
        <w:rPr>
          <w:sz w:val="20"/>
          <w:szCs w:val="20"/>
          <w:color w:val="auto"/>
        </w:rPr>
      </w:pPr>
    </w:p>
    <w:p>
      <w:pPr>
        <w:jc w:val="right"/>
        <w:ind w:right="460"/>
        <w:spacing w:after="0"/>
        <w:rPr>
          <w:sz w:val="20"/>
          <w:szCs w:val="20"/>
          <w:color w:val="auto"/>
        </w:rPr>
      </w:pPr>
      <w:r>
        <w:rPr>
          <w:rFonts w:ascii="Arial" w:cs="Arial" w:eastAsia="Arial" w:hAnsi="Arial"/>
          <w:sz w:val="18"/>
          <w:szCs w:val="18"/>
          <w:b w:val="1"/>
          <w:bCs w:val="1"/>
          <w:color w:val="auto"/>
        </w:rPr>
        <w:t>427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-431800</wp:posOffset>
            </wp:positionH>
            <wp:positionV relativeFrom="paragraph">
              <wp:posOffset>17145</wp:posOffset>
            </wp:positionV>
            <wp:extent cx="746125" cy="889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33">
                      <a:extLst>
                        <a:ext uri="{28A0092B-C50C-407E-A947-70E740481C1C}"/>
                      </a:extLst>
                    </a:blip>
                    <a:srcRect/>
                    <a:stretch>
                      <a:fillRect/>
                    </a:stretch>
                  </pic:blipFill>
                  <pic:spPr bwMode="auto">
                    <a:xfrm>
                      <a:off x="0" y="0"/>
                      <a:ext cx="746125" cy="8890"/>
                    </a:xfrm>
                    <a:prstGeom prst="rect">
                      <a:avLst/>
                    </a:prstGeom>
                    <a:noFill/>
                  </pic:spPr>
                </pic:pic>
              </a:graphicData>
            </a:graphic>
          </wp:anchor>
        </w:drawing>
        <w:drawing>
          <wp:anchor simplePos="0" relativeHeight="251657728" behindDoc="1" locked="0" layoutInCell="0" allowOverlap="1">
            <wp:simplePos x="0" y="0"/>
            <wp:positionH relativeFrom="column">
              <wp:posOffset>-431800</wp:posOffset>
            </wp:positionH>
            <wp:positionV relativeFrom="paragraph">
              <wp:posOffset>34290</wp:posOffset>
            </wp:positionV>
            <wp:extent cx="746125" cy="889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34">
                      <a:extLst>
                        <a:ext uri="{28A0092B-C50C-407E-A947-70E740481C1C}"/>
                      </a:extLst>
                    </a:blip>
                    <a:srcRect/>
                    <a:stretch>
                      <a:fillRect/>
                    </a:stretch>
                  </pic:blipFill>
                  <pic:spPr bwMode="auto">
                    <a:xfrm>
                      <a:off x="0" y="0"/>
                      <a:ext cx="746125" cy="8890"/>
                    </a:xfrm>
                    <a:prstGeom prst="rect">
                      <a:avLst/>
                    </a:prstGeom>
                    <a:noFill/>
                  </pic:spPr>
                </pic:pic>
              </a:graphicData>
            </a:graphic>
          </wp:anchor>
        </w:drawing>
        <w:drawing>
          <wp:anchor simplePos="0" relativeHeight="251657728" behindDoc="1" locked="0" layoutInCell="0" allowOverlap="1">
            <wp:simplePos x="0" y="0"/>
            <wp:positionH relativeFrom="column">
              <wp:posOffset>-431800</wp:posOffset>
            </wp:positionH>
            <wp:positionV relativeFrom="paragraph">
              <wp:posOffset>-127635</wp:posOffset>
            </wp:positionV>
            <wp:extent cx="746125" cy="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35">
                      <a:extLst>
                        <a:ext uri="{28A0092B-C50C-407E-A947-70E740481C1C}"/>
                      </a:extLst>
                    </a:blip>
                    <a:srcRect/>
                    <a:stretch>
                      <a:fillRect/>
                    </a:stretch>
                  </pic:blipFill>
                  <pic:spPr bwMode="auto">
                    <a:xfrm>
                      <a:off x="0" y="0"/>
                      <a:ext cx="746125" cy="88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9760" w:space="720"/>
            <w:col w:w="940"/>
          </w:cols>
          <w:pgMar w:left="240" w:top="689" w:right="239" w:bottom="1440" w:gutter="0" w:footer="0" w:header="0"/>
        </w:sectPr>
      </w:pPr>
    </w:p>
    <w:p>
      <w:pPr>
        <w:spacing w:after="0" w:line="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Expenses related to the amortization of intangible assets are presented as part of amortization of intangible assets in the consolidated statement of profit or loss.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8220" w:type="dxa"/>
            <w:vAlign w:val="bottom"/>
          </w:tcPr>
          <w:p>
            <w:pPr>
              <w:ind w:left="260"/>
              <w:spacing w:after="0"/>
              <w:rPr>
                <w:sz w:val="20"/>
                <w:szCs w:val="20"/>
                <w:color w:val="auto"/>
              </w:rPr>
            </w:pPr>
            <w:r>
              <w:rPr>
                <w:rFonts w:ascii="Arial" w:cs="Arial" w:eastAsia="Arial" w:hAnsi="Arial"/>
                <w:sz w:val="18"/>
                <w:szCs w:val="18"/>
                <w:b w:val="1"/>
                <w:bCs w:val="1"/>
                <w:color w:val="auto"/>
              </w:rPr>
              <w:t>9.  Other assets</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8220" w:type="dxa"/>
            <w:vAlign w:val="bottom"/>
          </w:tcPr>
          <w:p>
            <w:pPr>
              <w:spacing w:after="0"/>
              <w:rPr>
                <w:sz w:val="20"/>
                <w:szCs w:val="20"/>
                <w:color w:val="auto"/>
              </w:rPr>
            </w:pPr>
            <w:r>
              <w:rPr>
                <w:rFonts w:ascii="Arial" w:cs="Arial" w:eastAsia="Arial" w:hAnsi="Arial"/>
                <w:sz w:val="18"/>
                <w:szCs w:val="18"/>
                <w:color w:val="auto"/>
              </w:rPr>
              <w:t>Following is a summary of other assets:</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14"/>
        </w:trPr>
        <w:tc>
          <w:tcPr>
            <w:tcW w:w="8220" w:type="dxa"/>
            <w:vAlign w:val="bottom"/>
          </w:tcPr>
          <w:p>
            <w:pPr>
              <w:spacing w:after="0"/>
              <w:rPr>
                <w:sz w:val="24"/>
                <w:szCs w:val="24"/>
                <w:color w:val="auto"/>
              </w:rPr>
            </w:pPr>
          </w:p>
        </w:tc>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r>
      <w:tr>
        <w:trPr>
          <w:trHeight w:val="210"/>
        </w:trPr>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Accounts receivable</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6,793</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5,413</w:t>
            </w:r>
          </w:p>
        </w:tc>
        <w:tc>
          <w:tcPr>
            <w:tcW w:w="100" w:type="dxa"/>
            <w:vAlign w:val="bottom"/>
            <w:shd w:val="clear" w:color="auto" w:fill="CCEEFF"/>
          </w:tcPr>
          <w:p>
            <w:pPr>
              <w:spacing w:after="0"/>
              <w:rPr>
                <w:sz w:val="18"/>
                <w:szCs w:val="18"/>
                <w:color w:val="auto"/>
              </w:rPr>
            </w:pPr>
          </w:p>
        </w:tc>
      </w:tr>
      <w:tr>
        <w:trPr>
          <w:trHeight w:val="257"/>
        </w:trPr>
        <w:tc>
          <w:tcPr>
            <w:tcW w:w="8220" w:type="dxa"/>
            <w:vAlign w:val="bottom"/>
          </w:tcPr>
          <w:p>
            <w:pPr>
              <w:spacing w:after="0" w:line="256" w:lineRule="exact"/>
              <w:rPr>
                <w:sz w:val="20"/>
                <w:szCs w:val="20"/>
                <w:color w:val="auto"/>
              </w:rPr>
            </w:pPr>
            <w:r>
              <w:rPr>
                <w:rFonts w:ascii="Arial" w:cs="Arial" w:eastAsia="Arial" w:hAnsi="Arial"/>
                <w:sz w:val="18"/>
                <w:szCs w:val="18"/>
                <w:color w:val="auto"/>
              </w:rPr>
              <w:t xml:space="preserve">Real estate owned </w:t>
            </w:r>
            <w:r>
              <w:rPr>
                <w:rFonts w:ascii="Arial" w:cs="Arial" w:eastAsia="Arial" w:hAnsi="Arial"/>
                <w:sz w:val="29"/>
                <w:szCs w:val="29"/>
                <w:color w:val="auto"/>
                <w:vertAlign w:val="superscript"/>
              </w:rPr>
              <w:t>(1)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5,119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2"/>
                <w:szCs w:val="22"/>
                <w:color w:val="auto"/>
              </w:rPr>
            </w:pPr>
          </w:p>
        </w:tc>
      </w:tr>
      <w:tr>
        <w:trPr>
          <w:trHeight w:val="216"/>
        </w:trPr>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IT projects under development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1,405</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4,199</w:t>
            </w:r>
          </w:p>
        </w:tc>
      </w:tr>
      <w:tr>
        <w:trPr>
          <w:trHeight w:val="270"/>
        </w:trPr>
        <w:tc>
          <w:tcPr>
            <w:tcW w:w="8220" w:type="dxa"/>
            <w:vAlign w:val="bottom"/>
          </w:tcPr>
          <w:p>
            <w:pPr>
              <w:spacing w:after="0" w:line="269" w:lineRule="exact"/>
              <w:rPr>
                <w:sz w:val="20"/>
                <w:szCs w:val="20"/>
                <w:color w:val="auto"/>
              </w:rPr>
            </w:pPr>
            <w:r>
              <w:rPr>
                <w:rFonts w:ascii="Arial" w:cs="Arial" w:eastAsia="Arial" w:hAnsi="Arial"/>
                <w:sz w:val="18"/>
                <w:szCs w:val="18"/>
                <w:color w:val="auto"/>
              </w:rPr>
              <w:t xml:space="preserve">Other </w:t>
            </w:r>
            <w:r>
              <w:rPr>
                <w:rFonts w:ascii="Arial" w:cs="Arial" w:eastAsia="Arial" w:hAnsi="Arial"/>
                <w:sz w:val="30"/>
                <w:szCs w:val="30"/>
                <w:color w:val="auto"/>
                <w:vertAlign w:val="superscript"/>
              </w:rPr>
              <w:t>(2)</w:t>
            </w:r>
          </w:p>
        </w:tc>
        <w:tc>
          <w:tcPr>
            <w:tcW w:w="1200" w:type="dxa"/>
            <w:vAlign w:val="bottom"/>
          </w:tcPr>
          <w:p>
            <w:pPr>
              <w:jc w:val="right"/>
              <w:spacing w:after="0"/>
              <w:rPr>
                <w:sz w:val="20"/>
                <w:szCs w:val="20"/>
                <w:color w:val="auto"/>
              </w:rPr>
            </w:pPr>
            <w:r>
              <w:rPr>
                <w:rFonts w:ascii="Arial" w:cs="Arial" w:eastAsia="Arial" w:hAnsi="Arial"/>
                <w:sz w:val="18"/>
                <w:szCs w:val="18"/>
                <w:color w:val="auto"/>
              </w:rPr>
              <w:t>5,510</w:t>
            </w:r>
          </w:p>
        </w:tc>
        <w:tc>
          <w:tcPr>
            <w:tcW w:w="220" w:type="dxa"/>
            <w:vAlign w:val="bottom"/>
          </w:tcPr>
          <w:p>
            <w:pPr>
              <w:spacing w:after="0"/>
              <w:rPr>
                <w:sz w:val="23"/>
                <w:szCs w:val="2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1,934</w:t>
            </w:r>
          </w:p>
        </w:tc>
      </w:tr>
      <w:tr>
        <w:trPr>
          <w:trHeight w:val="223"/>
        </w:trPr>
        <w:tc>
          <w:tcPr>
            <w:tcW w:w="8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18,827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11,546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49" w:lineRule="exact"/>
        <w:rPr>
          <w:sz w:val="20"/>
          <w:szCs w:val="20"/>
          <w:color w:val="auto"/>
        </w:rPr>
      </w:pPr>
    </w:p>
    <w:p>
      <w:pPr>
        <w:ind w:left="800" w:hanging="225"/>
        <w:spacing w:after="0"/>
        <w:tabs>
          <w:tab w:leader="none" w:pos="800" w:val="left"/>
        </w:tabs>
        <w:numPr>
          <w:ilvl w:val="0"/>
          <w:numId w:val="193"/>
        </w:numPr>
        <w:rPr>
          <w:rFonts w:ascii="Arial" w:cs="Arial" w:eastAsia="Arial" w:hAnsi="Arial"/>
          <w:sz w:val="27"/>
          <w:szCs w:val="27"/>
          <w:color w:val="auto"/>
          <w:vertAlign w:val="superscript"/>
        </w:rPr>
      </w:pPr>
      <w:r>
        <w:rPr>
          <w:rFonts w:ascii="Arial" w:cs="Arial" w:eastAsia="Arial" w:hAnsi="Arial"/>
          <w:sz w:val="17"/>
          <w:szCs w:val="17"/>
          <w:color w:val="auto"/>
        </w:rPr>
        <w:t>Other real estate owned.</w:t>
      </w:r>
    </w:p>
    <w:p>
      <w:pPr>
        <w:spacing w:after="0" w:line="42" w:lineRule="exact"/>
        <w:rPr>
          <w:rFonts w:ascii="Arial" w:cs="Arial" w:eastAsia="Arial" w:hAnsi="Arial"/>
          <w:sz w:val="27"/>
          <w:szCs w:val="27"/>
          <w:color w:val="auto"/>
          <w:vertAlign w:val="superscript"/>
        </w:rPr>
      </w:pPr>
    </w:p>
    <w:p>
      <w:pPr>
        <w:ind w:left="800" w:hanging="225"/>
        <w:spacing w:after="0" w:line="186" w:lineRule="auto"/>
        <w:tabs>
          <w:tab w:leader="none" w:pos="800" w:val="left"/>
        </w:tabs>
        <w:numPr>
          <w:ilvl w:val="0"/>
          <w:numId w:val="193"/>
        </w:numPr>
        <w:rPr>
          <w:rFonts w:ascii="Arial" w:cs="Arial" w:eastAsia="Arial" w:hAnsi="Arial"/>
          <w:sz w:val="24"/>
          <w:szCs w:val="24"/>
          <w:color w:val="auto"/>
          <w:vertAlign w:val="superscript"/>
        </w:rPr>
      </w:pPr>
      <w:r>
        <w:rPr>
          <w:rFonts w:ascii="Arial" w:cs="Arial" w:eastAsia="Arial" w:hAnsi="Arial"/>
          <w:sz w:val="15"/>
          <w:szCs w:val="15"/>
          <w:color w:val="auto"/>
        </w:rPr>
        <w:t>As of December 31, 2017, $1.7 million corresponds to leasing under development.</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type w:val="continuous"/>
        </w:sectPr>
      </w:pPr>
    </w:p>
    <w:bookmarkStart w:id="188" w:name="page189"/>
    <w:bookmarkEnd w:id="18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6800" w:type="dxa"/>
            <w:vAlign w:val="bottom"/>
          </w:tcPr>
          <w:p>
            <w:pPr>
              <w:ind w:left="500"/>
              <w:spacing w:after="0"/>
              <w:rPr>
                <w:sz w:val="20"/>
                <w:szCs w:val="20"/>
                <w:color w:val="auto"/>
              </w:rPr>
            </w:pPr>
            <w:r>
              <w:rPr>
                <w:rFonts w:ascii="Arial" w:cs="Arial" w:eastAsia="Arial" w:hAnsi="Arial"/>
                <w:sz w:val="18"/>
                <w:szCs w:val="18"/>
                <w:b w:val="1"/>
                <w:bCs w:val="1"/>
                <w:color w:val="auto"/>
              </w:rPr>
              <w:t>10. Deposits</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6800" w:type="dxa"/>
            <w:vAlign w:val="bottom"/>
          </w:tcPr>
          <w:p>
            <w:pPr>
              <w:spacing w:after="0"/>
              <w:rPr>
                <w:sz w:val="20"/>
                <w:szCs w:val="20"/>
                <w:color w:val="auto"/>
              </w:rPr>
            </w:pPr>
            <w:r>
              <w:rPr>
                <w:rFonts w:ascii="Arial" w:cs="Arial" w:eastAsia="Arial" w:hAnsi="Arial"/>
                <w:sz w:val="18"/>
                <w:szCs w:val="18"/>
                <w:color w:val="auto"/>
              </w:rPr>
              <w:t>The maturity profile of the Bank’s deposits is as follows:</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68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6800" w:type="dxa"/>
            <w:vAlign w:val="bottom"/>
            <w:tcBorders>
              <w:bottom w:val="single" w:sz="8" w:color="CCEEFF"/>
            </w:tcBorders>
          </w:tcPr>
          <w:p>
            <w:pPr>
              <w:spacing w:after="0"/>
              <w:rPr>
                <w:sz w:val="20"/>
                <w:szCs w:val="20"/>
                <w:color w:val="auto"/>
              </w:rPr>
            </w:pPr>
          </w:p>
        </w:tc>
        <w:tc>
          <w:tcPr>
            <w:tcW w:w="120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82,064</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127,014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Up to 1 month</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1,147,772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1,201,328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492,205</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463,479</w:t>
            </w:r>
          </w:p>
        </w:tc>
        <w:tc>
          <w:tcPr>
            <w:tcW w:w="0" w:type="dxa"/>
            <w:vAlign w:val="bottom"/>
          </w:tcPr>
          <w:p>
            <w:pPr>
              <w:spacing w:after="0"/>
              <w:rPr>
                <w:sz w:val="1"/>
                <w:szCs w:val="1"/>
                <w:color w:val="auto"/>
              </w:rPr>
            </w:pP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From 3 months to 6 months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411,159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336,627</w:t>
            </w:r>
          </w:p>
        </w:tc>
        <w:tc>
          <w:tcPr>
            <w:tcW w:w="0" w:type="dxa"/>
            <w:vAlign w:val="bottom"/>
          </w:tcPr>
          <w:p>
            <w:pPr>
              <w:spacing w:after="0"/>
              <w:rPr>
                <w:sz w:val="1"/>
                <w:szCs w:val="1"/>
                <w:color w:val="auto"/>
              </w:rPr>
            </w:pPr>
          </w:p>
        </w:tc>
      </w:tr>
      <w:tr>
        <w:trPr>
          <w:trHeight w:val="216"/>
        </w:trPr>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From 6 months to 1 year</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571,500</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436,884</w:t>
            </w:r>
          </w:p>
        </w:tc>
        <w:tc>
          <w:tcPr>
            <w:tcW w:w="0" w:type="dxa"/>
            <w:vAlign w:val="bottom"/>
          </w:tcPr>
          <w:p>
            <w:pPr>
              <w:spacing w:after="0"/>
              <w:rPr>
                <w:sz w:val="1"/>
                <w:szCs w:val="1"/>
                <w:color w:val="auto"/>
              </w:rPr>
            </w:pPr>
          </w:p>
        </w:tc>
      </w:tr>
      <w:tr>
        <w:trPr>
          <w:trHeight w:val="216"/>
        </w:trPr>
        <w:tc>
          <w:tcPr>
            <w:tcW w:w="6800" w:type="dxa"/>
            <w:vAlign w:val="bottom"/>
          </w:tcPr>
          <w:p>
            <w:pPr>
              <w:spacing w:after="0"/>
              <w:rPr>
                <w:sz w:val="20"/>
                <w:szCs w:val="20"/>
                <w:color w:val="auto"/>
              </w:rPr>
            </w:pPr>
            <w:r>
              <w:rPr>
                <w:rFonts w:ascii="Arial" w:cs="Arial" w:eastAsia="Arial" w:hAnsi="Arial"/>
                <w:sz w:val="18"/>
                <w:szCs w:val="18"/>
                <w:color w:val="auto"/>
              </w:rPr>
              <w:t>From 1 year to 2 years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76,422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190,000</w:t>
            </w:r>
          </w:p>
        </w:tc>
        <w:tc>
          <w:tcPr>
            <w:tcW w:w="0" w:type="dxa"/>
            <w:vAlign w:val="bottom"/>
          </w:tcPr>
          <w:p>
            <w:pPr>
              <w:spacing w:after="0"/>
              <w:rPr>
                <w:sz w:val="1"/>
                <w:szCs w:val="1"/>
                <w:color w:val="auto"/>
              </w:rPr>
            </w:pPr>
          </w:p>
        </w:tc>
      </w:tr>
      <w:tr>
        <w:trPr>
          <w:trHeight w:val="230"/>
        </w:trPr>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From 2 years to 5 years</w:t>
            </w:r>
          </w:p>
        </w:tc>
        <w:tc>
          <w:tcPr>
            <w:tcW w:w="12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147,722</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47,520</w:t>
            </w:r>
          </w:p>
        </w:tc>
        <w:tc>
          <w:tcPr>
            <w:tcW w:w="0" w:type="dxa"/>
            <w:vAlign w:val="bottom"/>
          </w:tcPr>
          <w:p>
            <w:pPr>
              <w:spacing w:after="0"/>
              <w:rPr>
                <w:sz w:val="1"/>
                <w:szCs w:val="1"/>
                <w:color w:val="auto"/>
              </w:rPr>
            </w:pPr>
          </w:p>
        </w:tc>
      </w:tr>
      <w:tr>
        <w:trPr>
          <w:trHeight w:val="223"/>
        </w:trPr>
        <w:tc>
          <w:tcPr>
            <w:tcW w:w="68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2,928,844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2,802,852</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800" w:type="dxa"/>
            <w:vAlign w:val="bottom"/>
            <w:vMerge w:val="restart"/>
          </w:tcPr>
          <w:p>
            <w:pPr>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680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68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6800" w:type="dxa"/>
            <w:vAlign w:val="bottom"/>
            <w:tcBorders>
              <w:bottom w:val="single" w:sz="8" w:color="CCEEFF"/>
            </w:tcBorders>
          </w:tcPr>
          <w:p>
            <w:pPr>
              <w:spacing w:after="0"/>
              <w:rPr>
                <w:sz w:val="20"/>
                <w:szCs w:val="20"/>
                <w:color w:val="auto"/>
              </w:rPr>
            </w:pPr>
          </w:p>
        </w:tc>
        <w:tc>
          <w:tcPr>
            <w:tcW w:w="120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Aggregate amounts of time deposits of $100,000 or more</w:t>
            </w:r>
          </w:p>
        </w:tc>
        <w:tc>
          <w:tcPr>
            <w:tcW w:w="120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2,928,425</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2,802,474</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800" w:type="dxa"/>
            <w:vAlign w:val="bottom"/>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800" w:type="dxa"/>
            <w:vAlign w:val="bottom"/>
            <w:vMerge w:val="continue"/>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266,158</w:t>
            </w:r>
          </w:p>
        </w:tc>
        <w:tc>
          <w:tcPr>
            <w:tcW w:w="220" w:type="dxa"/>
            <w:vAlign w:val="bottom"/>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250,639</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8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4"/>
        </w:trPr>
        <w:tc>
          <w:tcPr>
            <w:tcW w:w="6800" w:type="dxa"/>
            <w:vAlign w:val="bottom"/>
          </w:tcPr>
          <w:p>
            <w:pPr>
              <w:spacing w:after="0"/>
              <w:rPr>
                <w:sz w:val="24"/>
                <w:szCs w:val="24"/>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December 31,</w:t>
            </w: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December 31,</w:t>
            </w:r>
          </w:p>
        </w:tc>
        <w:tc>
          <w:tcPr>
            <w:tcW w:w="13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68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to deposits in the New York Agency</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3,519</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2,094</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1,228</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8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11. Securities sold under repurchase agreements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2017 and 2016, the Bank does not have financing transactions under repurchase agreements.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As of December 31, 2017, the Bank did not incur interest expense generated by financing transactions under repurchase agreements. During the years ended December 31, 2016 and 2015, interest expense related to financing transactions under repurchase agreements totaled $971 and $1,800, respectively, corresponding to interest expense generated by the financing contracts under repurchase agreements. These expenses are included in the interest expense – short-term borrowings and debt line in the consolidated statements of profit or loss.</w:t>
      </w:r>
    </w:p>
    <w:p>
      <w:pPr>
        <w:spacing w:after="0" w:line="17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189" w:name="page190"/>
    <w:bookmarkEnd w:id="18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12. Borrowings and debt</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12.1  Short-term borrowings and debt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breakdown of short-term (original maturity of less than one year) borrowings and debt, together with contractual interest rates, is as follows:</w:t>
      </w:r>
    </w:p>
    <w:p>
      <w:pPr>
        <w:spacing w:after="0" w:line="23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100" w:type="dxa"/>
            <w:vAlign w:val="bottom"/>
          </w:tcPr>
          <w:p>
            <w:pPr>
              <w:spacing w:after="0"/>
              <w:rPr>
                <w:sz w:val="18"/>
                <w:szCs w:val="18"/>
                <w:color w:val="auto"/>
              </w:rPr>
            </w:pPr>
          </w:p>
        </w:tc>
        <w:tc>
          <w:tcPr>
            <w:tcW w:w="148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w w:val="95"/>
              </w:rPr>
              <w:t>December 31,</w:t>
            </w:r>
          </w:p>
        </w:tc>
        <w:tc>
          <w:tcPr>
            <w:tcW w:w="1360" w:type="dxa"/>
            <w:vAlign w:val="bottom"/>
            <w:gridSpan w:val="3"/>
          </w:tcPr>
          <w:p>
            <w:pPr>
              <w:jc w:val="right"/>
              <w:ind w:right="240"/>
              <w:spacing w:after="0"/>
              <w:rPr>
                <w:sz w:val="20"/>
                <w:szCs w:val="20"/>
                <w:color w:val="auto"/>
              </w:rPr>
            </w:pPr>
            <w:r>
              <w:rPr>
                <w:rFonts w:ascii="Arial" w:cs="Arial" w:eastAsia="Arial" w:hAnsi="Arial"/>
                <w:sz w:val="18"/>
                <w:szCs w:val="18"/>
                <w:b w:val="1"/>
                <w:bCs w:val="1"/>
                <w:color w:val="auto"/>
                <w:w w:val="93"/>
              </w:rPr>
              <w:t>December 31,</w:t>
            </w:r>
          </w:p>
        </w:tc>
        <w:tc>
          <w:tcPr>
            <w:tcW w:w="0" w:type="dxa"/>
            <w:vAlign w:val="bottom"/>
          </w:tcPr>
          <w:p>
            <w:pPr>
              <w:spacing w:after="0"/>
              <w:rPr>
                <w:sz w:val="1"/>
                <w:szCs w:val="1"/>
                <w:color w:val="auto"/>
              </w:rPr>
            </w:pPr>
          </w:p>
        </w:tc>
      </w:tr>
      <w:tr>
        <w:trPr>
          <w:trHeight w:val="234"/>
        </w:trPr>
        <w:tc>
          <w:tcPr>
            <w:tcW w:w="810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6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 w:type="dxa"/>
            <w:vAlign w:val="bottom"/>
            <w:tcBorders>
              <w:bottom w:val="single" w:sz="8" w:color="CCEEFF"/>
            </w:tcBorders>
          </w:tcPr>
          <w:p>
            <w:pPr>
              <w:spacing w:after="0"/>
              <w:rPr>
                <w:sz w:val="20"/>
                <w:szCs w:val="20"/>
                <w:color w:val="auto"/>
              </w:rPr>
            </w:pPr>
          </w:p>
        </w:tc>
        <w:tc>
          <w:tcPr>
            <w:tcW w:w="14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0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480" w:type="dxa"/>
            <w:vAlign w:val="bottom"/>
            <w:gridSpan w:val="2"/>
          </w:tcPr>
          <w:p>
            <w:pPr>
              <w:jc w:val="right"/>
              <w:ind w:right="170"/>
              <w:spacing w:after="0"/>
              <w:rPr>
                <w:sz w:val="20"/>
                <w:szCs w:val="20"/>
                <w:color w:val="auto"/>
              </w:rPr>
            </w:pPr>
            <w:r>
              <w:rPr>
                <w:rFonts w:ascii="Arial" w:cs="Arial" w:eastAsia="Arial" w:hAnsi="Arial"/>
                <w:sz w:val="18"/>
                <w:szCs w:val="18"/>
                <w:color w:val="auto"/>
              </w:rPr>
              <w:t>429,069</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788,075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48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633,154</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657,000</w:t>
            </w:r>
          </w:p>
        </w:tc>
        <w:tc>
          <w:tcPr>
            <w:tcW w:w="1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8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1,062,223</w:t>
            </w:r>
          </w:p>
        </w:tc>
        <w:tc>
          <w:tcPr>
            <w:tcW w:w="26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1,445,075</w:t>
            </w:r>
          </w:p>
        </w:tc>
        <w:tc>
          <w:tcPr>
            <w:tcW w:w="20" w:type="dxa"/>
            <w:vAlign w:val="bottom"/>
            <w:tcBorders>
              <w:bottom w:val="single" w:sz="8" w:color="CCEEFF"/>
            </w:tcBorders>
          </w:tcPr>
          <w:p>
            <w:pPr>
              <w:spacing w:after="0"/>
              <w:rPr>
                <w:sz w:val="18"/>
                <w:szCs w:val="18"/>
                <w:color w:val="auto"/>
              </w:rPr>
            </w:pPr>
          </w:p>
        </w:tc>
        <w:tc>
          <w:tcPr>
            <w:tcW w:w="14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0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480" w:type="dxa"/>
            <w:vAlign w:val="bottom"/>
            <w:gridSpan w:val="2"/>
          </w:tcPr>
          <w:p>
            <w:pPr>
              <w:jc w:val="right"/>
              <w:ind w:right="170"/>
              <w:spacing w:after="0"/>
              <w:rPr>
                <w:sz w:val="20"/>
                <w:szCs w:val="20"/>
                <w:color w:val="auto"/>
              </w:rPr>
            </w:pPr>
            <w:r>
              <w:rPr>
                <w:rFonts w:ascii="Arial" w:cs="Arial" w:eastAsia="Arial" w:hAnsi="Arial"/>
                <w:sz w:val="18"/>
                <w:szCs w:val="18"/>
                <w:color w:val="auto"/>
              </w:rPr>
              <w:t>10,500</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25,000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48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8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debt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10,500</w:t>
            </w:r>
          </w:p>
        </w:tc>
        <w:tc>
          <w:tcPr>
            <w:tcW w:w="26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25,000</w:t>
            </w:r>
          </w:p>
        </w:tc>
        <w:tc>
          <w:tcPr>
            <w:tcW w:w="20" w:type="dxa"/>
            <w:vAlign w:val="bottom"/>
            <w:tcBorders>
              <w:bottom w:val="single" w:sz="8" w:color="CCEEFF"/>
            </w:tcBorders>
          </w:tcPr>
          <w:p>
            <w:pPr>
              <w:spacing w:after="0"/>
              <w:rPr>
                <w:sz w:val="18"/>
                <w:szCs w:val="18"/>
                <w:color w:val="auto"/>
              </w:rPr>
            </w:pPr>
          </w:p>
        </w:tc>
        <w:tc>
          <w:tcPr>
            <w:tcW w:w="14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81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short-term borrowings and debt</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1,072,723</w:t>
            </w:r>
          </w:p>
        </w:tc>
        <w:tc>
          <w:tcPr>
            <w:tcW w:w="26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1,470,075</w:t>
            </w:r>
          </w:p>
        </w:tc>
        <w:tc>
          <w:tcPr>
            <w:tcW w:w="20" w:type="dxa"/>
            <w:vAlign w:val="bottom"/>
            <w:tcBorders>
              <w:bottom w:val="single" w:sz="8" w:color="CCEEFF"/>
            </w:tcBorders>
            <w:shd w:val="clear" w:color="auto" w:fill="CCEEFF"/>
          </w:tcPr>
          <w:p>
            <w:pPr>
              <w:spacing w:after="0"/>
              <w:rPr>
                <w:sz w:val="19"/>
                <w:szCs w:val="19"/>
                <w:color w:val="auto"/>
              </w:rPr>
            </w:pPr>
          </w:p>
        </w:tc>
        <w:tc>
          <w:tcPr>
            <w:tcW w:w="14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8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Average outstanding balance during the year</w:t>
            </w:r>
          </w:p>
        </w:tc>
        <w:tc>
          <w:tcPr>
            <w:tcW w:w="148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710,021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1,348,230</w:t>
            </w:r>
          </w:p>
        </w:tc>
        <w:tc>
          <w:tcPr>
            <w:tcW w:w="2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81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balance at any month-end</w:t>
            </w: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bottom w:val="single" w:sz="8" w:color="CCEEFF"/>
            </w:tcBorders>
            <w:vMerge w:val="restart"/>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810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1,072,723</w:t>
            </w:r>
          </w:p>
        </w:tc>
        <w:tc>
          <w:tcPr>
            <w:tcW w:w="26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1,876,322</w:t>
            </w:r>
          </w:p>
        </w:tc>
        <w:tc>
          <w:tcPr>
            <w:tcW w:w="20" w:type="dxa"/>
            <w:vAlign w:val="bottom"/>
            <w:tcBorders>
              <w:bottom w:val="single" w:sz="8" w:color="CCEEFF"/>
            </w:tcBorders>
          </w:tcPr>
          <w:p>
            <w:pPr>
              <w:spacing w:after="0"/>
              <w:rPr>
                <w:sz w:val="20"/>
                <w:szCs w:val="20"/>
                <w:color w:val="auto"/>
              </w:rPr>
            </w:pPr>
          </w:p>
        </w:tc>
        <w:tc>
          <w:tcPr>
            <w:tcW w:w="14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8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and debt in U.S. dollars</w:t>
            </w: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1.60% to 1.95</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1.10% to 1.50</w:t>
            </w:r>
          </w:p>
        </w:tc>
        <w:tc>
          <w:tcPr>
            <w:tcW w:w="160" w:type="dxa"/>
            <w:vAlign w:val="bottom"/>
            <w:tcBorders>
              <w:bottom w:val="single" w:sz="8" w:color="CCEEFF"/>
            </w:tcBorders>
            <w:gridSpan w:val="2"/>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0" w:type="dxa"/>
            <w:vAlign w:val="bottom"/>
          </w:tcPr>
          <w:p>
            <w:pPr>
              <w:spacing w:after="0"/>
              <w:rPr>
                <w:sz w:val="1"/>
                <w:szCs w:val="1"/>
                <w:color w:val="auto"/>
              </w:rPr>
            </w:pPr>
          </w:p>
        </w:tc>
      </w:tr>
      <w:tr>
        <w:trPr>
          <w:trHeight w:val="20"/>
        </w:trPr>
        <w:tc>
          <w:tcPr>
            <w:tcW w:w="810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in U.S. dollars</w:t>
            </w:r>
          </w:p>
        </w:tc>
        <w:tc>
          <w:tcPr>
            <w:tcW w:w="12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jc w:val="right"/>
              <w:spacing w:after="0"/>
              <w:rPr>
                <w:sz w:val="20"/>
                <w:szCs w:val="20"/>
                <w:color w:val="auto"/>
              </w:rPr>
            </w:pPr>
            <w:r>
              <w:rPr>
                <w:rFonts w:ascii="Arial" w:cs="Arial" w:eastAsia="Arial" w:hAnsi="Arial"/>
                <w:sz w:val="18"/>
                <w:szCs w:val="18"/>
                <w:color w:val="auto"/>
                <w:w w:val="87"/>
              </w:rPr>
              <w:t>%</w:t>
            </w:r>
          </w:p>
        </w:tc>
        <w:tc>
          <w:tcPr>
            <w:tcW w:w="0" w:type="dxa"/>
            <w:vAlign w:val="bottom"/>
          </w:tcPr>
          <w:p>
            <w:pPr>
              <w:spacing w:after="0" w:line="20" w:lineRule="exact"/>
              <w:rPr>
                <w:sz w:val="1"/>
                <w:szCs w:val="1"/>
                <w:color w:val="auto"/>
              </w:rPr>
            </w:pPr>
          </w:p>
        </w:tc>
      </w:tr>
      <w:tr>
        <w:trPr>
          <w:trHeight w:val="237"/>
        </w:trPr>
        <w:tc>
          <w:tcPr>
            <w:tcW w:w="810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1.77% to 2.08</w:t>
            </w:r>
          </w:p>
        </w:tc>
        <w:tc>
          <w:tcPr>
            <w:tcW w:w="26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1.14% to 1.48</w:t>
            </w:r>
          </w:p>
        </w:tc>
        <w:tc>
          <w:tcPr>
            <w:tcW w:w="16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8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pesos</w:t>
            </w: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7.92</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6.16</w:t>
            </w:r>
          </w:p>
        </w:tc>
        <w:tc>
          <w:tcPr>
            <w:tcW w:w="160" w:type="dxa"/>
            <w:vAlign w:val="bottom"/>
            <w:tcBorders>
              <w:bottom w:val="single" w:sz="8" w:color="CCEEFF"/>
            </w:tcBorders>
            <w:gridSpan w:val="2"/>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0" w:type="dxa"/>
            <w:vAlign w:val="bottom"/>
          </w:tcPr>
          <w:p>
            <w:pPr>
              <w:spacing w:after="0"/>
              <w:rPr>
                <w:sz w:val="1"/>
                <w:szCs w:val="1"/>
                <w:color w:val="auto"/>
              </w:rPr>
            </w:pPr>
          </w:p>
        </w:tc>
      </w:tr>
      <w:tr>
        <w:trPr>
          <w:trHeight w:val="20"/>
        </w:trPr>
        <w:tc>
          <w:tcPr>
            <w:tcW w:w="8100" w:type="dxa"/>
            <w:vAlign w:val="bottom"/>
            <w:vMerge w:val="restart"/>
          </w:tcPr>
          <w:p>
            <w:pPr>
              <w:spacing w:after="0"/>
              <w:rPr>
                <w:sz w:val="20"/>
                <w:szCs w:val="20"/>
                <w:color w:val="auto"/>
              </w:rPr>
            </w:pPr>
            <w:r>
              <w:rPr>
                <w:rFonts w:ascii="Arial" w:cs="Arial" w:eastAsia="Arial" w:hAnsi="Arial"/>
                <w:sz w:val="18"/>
                <w:szCs w:val="18"/>
                <w:color w:val="auto"/>
              </w:rPr>
              <w:t>Range of floating interest rate on borrowing in Mexican pesos</w:t>
            </w:r>
          </w:p>
        </w:tc>
        <w:tc>
          <w:tcPr>
            <w:tcW w:w="12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jc w:val="right"/>
              <w:spacing w:after="0"/>
              <w:rPr>
                <w:sz w:val="20"/>
                <w:szCs w:val="20"/>
                <w:color w:val="auto"/>
              </w:rPr>
            </w:pPr>
            <w:r>
              <w:rPr>
                <w:rFonts w:ascii="Arial" w:cs="Arial" w:eastAsia="Arial" w:hAnsi="Arial"/>
                <w:sz w:val="18"/>
                <w:szCs w:val="18"/>
                <w:color w:val="auto"/>
                <w:w w:val="87"/>
              </w:rPr>
              <w:t>%</w:t>
            </w:r>
          </w:p>
        </w:tc>
        <w:tc>
          <w:tcPr>
            <w:tcW w:w="0" w:type="dxa"/>
            <w:vAlign w:val="bottom"/>
          </w:tcPr>
          <w:p>
            <w:pPr>
              <w:spacing w:after="0" w:line="20" w:lineRule="exact"/>
              <w:rPr>
                <w:sz w:val="1"/>
                <w:szCs w:val="1"/>
                <w:color w:val="auto"/>
              </w:rPr>
            </w:pPr>
          </w:p>
        </w:tc>
      </w:tr>
      <w:tr>
        <w:trPr>
          <w:trHeight w:val="237"/>
        </w:trPr>
        <w:tc>
          <w:tcPr>
            <w:tcW w:w="810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7.68% to 7.89</w:t>
            </w:r>
          </w:p>
        </w:tc>
        <w:tc>
          <w:tcPr>
            <w:tcW w:w="26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5.72</w:t>
            </w:r>
          </w:p>
        </w:tc>
        <w:tc>
          <w:tcPr>
            <w:tcW w:w="16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8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end of the year</w:t>
            </w: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2.16</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1.30</w:t>
            </w:r>
          </w:p>
        </w:tc>
        <w:tc>
          <w:tcPr>
            <w:tcW w:w="160" w:type="dxa"/>
            <w:vAlign w:val="bottom"/>
            <w:tcBorders>
              <w:bottom w:val="single" w:sz="8" w:color="CCEEFF"/>
            </w:tcBorders>
            <w:gridSpan w:val="2"/>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0" w:type="dxa"/>
            <w:vAlign w:val="bottom"/>
          </w:tcPr>
          <w:p>
            <w:pPr>
              <w:spacing w:after="0"/>
              <w:rPr>
                <w:sz w:val="1"/>
                <w:szCs w:val="1"/>
                <w:color w:val="auto"/>
              </w:rPr>
            </w:pPr>
          </w:p>
        </w:tc>
      </w:tr>
      <w:tr>
        <w:trPr>
          <w:trHeight w:val="20"/>
        </w:trPr>
        <w:tc>
          <w:tcPr>
            <w:tcW w:w="8100" w:type="dxa"/>
            <w:vAlign w:val="bottom"/>
            <w:vMerge w:val="restart"/>
          </w:tcPr>
          <w:p>
            <w:pPr>
              <w:spacing w:after="0"/>
              <w:rPr>
                <w:sz w:val="20"/>
                <w:szCs w:val="20"/>
                <w:color w:val="auto"/>
              </w:rPr>
            </w:pPr>
            <w:r>
              <w:rPr>
                <w:rFonts w:ascii="Arial" w:cs="Arial" w:eastAsia="Arial" w:hAnsi="Arial"/>
                <w:sz w:val="18"/>
                <w:szCs w:val="18"/>
                <w:color w:val="auto"/>
              </w:rPr>
              <w:t>Weighted average interest rate during the year</w:t>
            </w:r>
          </w:p>
        </w:tc>
        <w:tc>
          <w:tcPr>
            <w:tcW w:w="12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jc w:val="right"/>
              <w:spacing w:after="0"/>
              <w:rPr>
                <w:sz w:val="20"/>
                <w:szCs w:val="20"/>
                <w:color w:val="auto"/>
              </w:rPr>
            </w:pPr>
            <w:r>
              <w:rPr>
                <w:rFonts w:ascii="Arial" w:cs="Arial" w:eastAsia="Arial" w:hAnsi="Arial"/>
                <w:sz w:val="18"/>
                <w:szCs w:val="18"/>
                <w:color w:val="auto"/>
                <w:w w:val="87"/>
              </w:rPr>
              <w:t>%</w:t>
            </w:r>
          </w:p>
        </w:tc>
        <w:tc>
          <w:tcPr>
            <w:tcW w:w="0" w:type="dxa"/>
            <w:vAlign w:val="bottom"/>
          </w:tcPr>
          <w:p>
            <w:pPr>
              <w:spacing w:after="0" w:line="20" w:lineRule="exact"/>
              <w:rPr>
                <w:sz w:val="1"/>
                <w:szCs w:val="1"/>
                <w:color w:val="auto"/>
              </w:rPr>
            </w:pPr>
          </w:p>
        </w:tc>
      </w:tr>
      <w:tr>
        <w:trPr>
          <w:trHeight w:val="197"/>
        </w:trPr>
        <w:tc>
          <w:tcPr>
            <w:tcW w:w="8100" w:type="dxa"/>
            <w:vAlign w:val="bottom"/>
            <w:vMerge w:val="continue"/>
          </w:tcPr>
          <w:p>
            <w:pPr>
              <w:spacing w:after="0"/>
              <w:rPr>
                <w:sz w:val="17"/>
                <w:szCs w:val="17"/>
                <w:color w:val="auto"/>
              </w:rPr>
            </w:pPr>
          </w:p>
        </w:tc>
        <w:tc>
          <w:tcPr>
            <w:tcW w:w="1220" w:type="dxa"/>
            <w:vAlign w:val="bottom"/>
          </w:tcPr>
          <w:p>
            <w:pPr>
              <w:jc w:val="right"/>
              <w:spacing w:after="0" w:line="196" w:lineRule="exact"/>
              <w:rPr>
                <w:sz w:val="20"/>
                <w:szCs w:val="20"/>
                <w:color w:val="auto"/>
              </w:rPr>
            </w:pPr>
            <w:r>
              <w:rPr>
                <w:rFonts w:ascii="Arial" w:cs="Arial" w:eastAsia="Arial" w:hAnsi="Arial"/>
                <w:sz w:val="18"/>
                <w:szCs w:val="18"/>
                <w:color w:val="auto"/>
              </w:rPr>
              <w:t>1.66</w:t>
            </w:r>
          </w:p>
        </w:tc>
        <w:tc>
          <w:tcPr>
            <w:tcW w:w="260" w:type="dxa"/>
            <w:vAlign w:val="bottom"/>
            <w:vMerge w:val="continue"/>
          </w:tcPr>
          <w:p>
            <w:pPr>
              <w:spacing w:after="0"/>
              <w:rPr>
                <w:sz w:val="17"/>
                <w:szCs w:val="17"/>
                <w:color w:val="auto"/>
              </w:rPr>
            </w:pPr>
          </w:p>
        </w:tc>
        <w:tc>
          <w:tcPr>
            <w:tcW w:w="1200" w:type="dxa"/>
            <w:vAlign w:val="bottom"/>
          </w:tcPr>
          <w:p>
            <w:pPr>
              <w:jc w:val="right"/>
              <w:spacing w:after="0" w:line="196" w:lineRule="exact"/>
              <w:rPr>
                <w:sz w:val="20"/>
                <w:szCs w:val="20"/>
                <w:color w:val="auto"/>
              </w:rPr>
            </w:pPr>
            <w:r>
              <w:rPr>
                <w:rFonts w:ascii="Arial" w:cs="Arial" w:eastAsia="Arial" w:hAnsi="Arial"/>
                <w:sz w:val="18"/>
                <w:szCs w:val="18"/>
                <w:color w:val="auto"/>
              </w:rPr>
              <w:t>1.10</w:t>
            </w:r>
          </w:p>
        </w:tc>
        <w:tc>
          <w:tcPr>
            <w:tcW w:w="160" w:type="dxa"/>
            <w:vAlign w:val="bottom"/>
            <w:gridSpan w:val="2"/>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10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80"/>
          </w:cols>
          <w:pgMar w:left="240" w:top="689" w:right="379" w:bottom="1440" w:gutter="0" w:footer="0" w:header="0"/>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balances of short-term borrowings and debt by currency, is as follows:</w: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Currency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-127635</wp:posOffset>
            </wp:positionV>
            <wp:extent cx="6955155" cy="14605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8">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US dollar</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Mexican peso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4605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39">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Total</w:t>
      </w:r>
    </w:p>
    <w:p>
      <w:pPr>
        <w:spacing w:after="0" w:line="292" w:lineRule="exact"/>
        <w:rPr>
          <w:sz w:val="20"/>
          <w:szCs w:val="20"/>
          <w:color w:val="auto"/>
        </w:rPr>
      </w:pPr>
    </w:p>
    <w:p>
      <w:pPr>
        <w:jc w:val="right"/>
        <w:ind w:right="1940"/>
        <w:spacing w:after="0"/>
        <w:rPr>
          <w:sz w:val="20"/>
          <w:szCs w:val="20"/>
          <w:color w:val="auto"/>
        </w:rPr>
      </w:pPr>
      <w:r>
        <w:rPr>
          <w:rFonts w:ascii="Arial" w:cs="Arial" w:eastAsia="Arial" w:hAnsi="Arial"/>
          <w:sz w:val="18"/>
          <w:szCs w:val="18"/>
          <w:color w:val="auto"/>
        </w:rPr>
        <w:t>F-68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r>
      <w:tr>
        <w:trPr>
          <w:trHeight w:val="425"/>
        </w:trPr>
        <w:tc>
          <w:tcPr>
            <w:tcW w:w="1200" w:type="dxa"/>
            <w:vAlign w:val="bottom"/>
          </w:tcPr>
          <w:p>
            <w:pPr>
              <w:jc w:val="right"/>
              <w:spacing w:after="0"/>
              <w:rPr>
                <w:sz w:val="20"/>
                <w:szCs w:val="20"/>
                <w:color w:val="auto"/>
              </w:rPr>
            </w:pPr>
            <w:r>
              <w:rPr>
                <w:rFonts w:ascii="Arial" w:cs="Arial" w:eastAsia="Arial" w:hAnsi="Arial"/>
                <w:sz w:val="18"/>
                <w:szCs w:val="18"/>
                <w:color w:val="auto"/>
              </w:rPr>
              <w:t>1,044,500</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1,470,000</w:t>
            </w:r>
          </w:p>
        </w:tc>
      </w:tr>
      <w:tr>
        <w:trPr>
          <w:trHeight w:val="230"/>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28,223</w:t>
            </w:r>
          </w:p>
        </w:tc>
        <w:tc>
          <w:tcPr>
            <w:tcW w:w="1200" w:type="dxa"/>
            <w:vAlign w:val="bottom"/>
          </w:tcPr>
          <w:p>
            <w:pPr>
              <w:jc w:val="right"/>
              <w:spacing w:after="0"/>
              <w:rPr>
                <w:sz w:val="20"/>
                <w:szCs w:val="20"/>
                <w:color w:val="auto"/>
              </w:rPr>
            </w:pPr>
            <w:r>
              <w:rPr>
                <w:rFonts w:ascii="Arial" w:cs="Arial" w:eastAsia="Arial" w:hAnsi="Arial"/>
                <w:sz w:val="18"/>
                <w:szCs w:val="18"/>
                <w:color w:val="auto"/>
              </w:rPr>
              <w:t>75</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1,072,723</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1,470,075</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bl>
    <w:p>
      <w:pPr>
        <w:sectPr>
          <w:pgSz w:w="11900" w:h="16838" w:orient="portrait"/>
          <w:cols w:equalWidth="0" w:num="2">
            <w:col w:w="7840" w:space="720"/>
            <w:col w:w="2720"/>
          </w:cols>
          <w:pgMar w:left="240" w:top="689" w:right="379" w:bottom="1440" w:gutter="0" w:footer="0" w:header="0"/>
          <w:type w:val="continuous"/>
        </w:sectPr>
      </w:pPr>
    </w:p>
    <w:bookmarkStart w:id="190" w:name="page191"/>
    <w:bookmarkEnd w:id="19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60" w:hanging="322"/>
        <w:spacing w:after="0"/>
        <w:tabs>
          <w:tab w:leader="none" w:pos="560" w:val="left"/>
        </w:tabs>
        <w:numPr>
          <w:ilvl w:val="0"/>
          <w:numId w:val="194"/>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12.2  Long-term borrowings and debt</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Borrowings consist of long-term and syndicated loans obtained from international banks. Debt instruments consist of public and private issuances under the Bank's Euro Medium Term Notes Program (“EMTN”) as well as public issuances in the Mexican market. The breakdown of borrowings and long-term debt (original maturity of more than one year), together with contractual interest rates gross of prepaid commission of $4,211 and $5,133 as of December 31, 2017 and 2016, respectively, is as follows:</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8100" w:type="dxa"/>
            <w:vAlign w:val="bottom"/>
          </w:tcPr>
          <w:p>
            <w:pPr>
              <w:spacing w:after="0"/>
              <w:rPr>
                <w:sz w:val="18"/>
                <w:szCs w:val="18"/>
                <w:color w:val="auto"/>
              </w:rPr>
            </w:pPr>
          </w:p>
        </w:tc>
        <w:tc>
          <w:tcPr>
            <w:tcW w:w="148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w w:val="95"/>
              </w:rPr>
              <w:t>December 31,</w:t>
            </w:r>
          </w:p>
        </w:tc>
        <w:tc>
          <w:tcPr>
            <w:tcW w:w="1360" w:type="dxa"/>
            <w:vAlign w:val="bottom"/>
            <w:gridSpan w:val="2"/>
          </w:tcPr>
          <w:p>
            <w:pPr>
              <w:jc w:val="right"/>
              <w:ind w:right="150"/>
              <w:spacing w:after="0"/>
              <w:rPr>
                <w:sz w:val="20"/>
                <w:szCs w:val="20"/>
                <w:color w:val="auto"/>
              </w:rPr>
            </w:pPr>
            <w:r>
              <w:rPr>
                <w:rFonts w:ascii="Arial" w:cs="Arial" w:eastAsia="Arial" w:hAnsi="Arial"/>
                <w:sz w:val="18"/>
                <w:szCs w:val="18"/>
                <w:b w:val="1"/>
                <w:bCs w:val="1"/>
                <w:color w:val="auto"/>
                <w:w w:val="93"/>
              </w:rPr>
              <w:t>December 31,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810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6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60" w:type="dxa"/>
            <w:vAlign w:val="bottom"/>
            <w:tcBorders>
              <w:bottom w:val="single" w:sz="8" w:color="CCEEFF"/>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Borrowings:</w:t>
            </w: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At fixed interest rates with due dates from October 2017 to February 2022</w:t>
            </w:r>
          </w:p>
        </w:tc>
        <w:tc>
          <w:tcPr>
            <w:tcW w:w="1480" w:type="dxa"/>
            <w:vAlign w:val="bottom"/>
            <w:gridSpan w:val="2"/>
          </w:tcPr>
          <w:p>
            <w:pPr>
              <w:jc w:val="right"/>
              <w:ind w:right="170"/>
              <w:spacing w:after="0"/>
              <w:rPr>
                <w:sz w:val="20"/>
                <w:szCs w:val="20"/>
                <w:color w:val="auto"/>
              </w:rPr>
            </w:pPr>
            <w:r>
              <w:rPr>
                <w:rFonts w:ascii="Arial" w:cs="Arial" w:eastAsia="Arial" w:hAnsi="Arial"/>
                <w:sz w:val="18"/>
                <w:szCs w:val="18"/>
                <w:color w:val="auto"/>
              </w:rPr>
              <w:t>44,011</w:t>
            </w:r>
          </w:p>
        </w:tc>
        <w:tc>
          <w:tcPr>
            <w:tcW w:w="1360" w:type="dxa"/>
            <w:vAlign w:val="bottom"/>
            <w:gridSpan w:val="2"/>
          </w:tcPr>
          <w:p>
            <w:pPr>
              <w:jc w:val="right"/>
              <w:ind w:right="70"/>
              <w:spacing w:after="0"/>
              <w:rPr>
                <w:sz w:val="20"/>
                <w:szCs w:val="20"/>
                <w:color w:val="auto"/>
              </w:rPr>
            </w:pPr>
            <w:r>
              <w:rPr>
                <w:rFonts w:ascii="Arial" w:cs="Arial" w:eastAsia="Arial" w:hAnsi="Arial"/>
                <w:sz w:val="18"/>
                <w:szCs w:val="18"/>
                <w:color w:val="auto"/>
              </w:rPr>
              <w:t>61,148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November 2017 to March 2021</w:t>
            </w:r>
          </w:p>
        </w:tc>
        <w:tc>
          <w:tcPr>
            <w:tcW w:w="148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379,000</w:t>
            </w:r>
          </w:p>
        </w:tc>
        <w:tc>
          <w:tcPr>
            <w:tcW w:w="136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631,326</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423,011</w:t>
            </w:r>
          </w:p>
        </w:tc>
        <w:tc>
          <w:tcPr>
            <w:tcW w:w="26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692,474</w:t>
            </w:r>
          </w:p>
        </w:tc>
        <w:tc>
          <w:tcPr>
            <w:tcW w:w="16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1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At fixed interest rates with due dates from March 2018 to March 2024</w:t>
            </w:r>
          </w:p>
        </w:tc>
        <w:tc>
          <w:tcPr>
            <w:tcW w:w="1480" w:type="dxa"/>
            <w:vAlign w:val="bottom"/>
            <w:gridSpan w:val="2"/>
          </w:tcPr>
          <w:p>
            <w:pPr>
              <w:jc w:val="right"/>
              <w:ind w:right="170"/>
              <w:spacing w:after="0"/>
              <w:rPr>
                <w:sz w:val="20"/>
                <w:szCs w:val="20"/>
                <w:color w:val="auto"/>
              </w:rPr>
            </w:pPr>
            <w:r>
              <w:rPr>
                <w:rFonts w:ascii="Arial" w:cs="Arial" w:eastAsia="Arial" w:hAnsi="Arial"/>
                <w:sz w:val="18"/>
                <w:szCs w:val="18"/>
                <w:color w:val="auto"/>
              </w:rPr>
              <w:t>532,305</w:t>
            </w:r>
          </w:p>
        </w:tc>
        <w:tc>
          <w:tcPr>
            <w:tcW w:w="1360" w:type="dxa"/>
            <w:vAlign w:val="bottom"/>
            <w:gridSpan w:val="2"/>
          </w:tcPr>
          <w:p>
            <w:pPr>
              <w:jc w:val="right"/>
              <w:ind w:right="70"/>
              <w:spacing w:after="0"/>
              <w:rPr>
                <w:sz w:val="20"/>
                <w:szCs w:val="20"/>
                <w:color w:val="auto"/>
              </w:rPr>
            </w:pPr>
            <w:r>
              <w:rPr>
                <w:rFonts w:ascii="Arial" w:cs="Arial" w:eastAsia="Arial" w:hAnsi="Arial"/>
                <w:sz w:val="18"/>
                <w:szCs w:val="18"/>
                <w:color w:val="auto"/>
              </w:rPr>
              <w:t>921,479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January 2018 to March 2022</w:t>
            </w:r>
          </w:p>
        </w:tc>
        <w:tc>
          <w:tcPr>
            <w:tcW w:w="148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187,739</w:t>
            </w:r>
          </w:p>
        </w:tc>
        <w:tc>
          <w:tcPr>
            <w:tcW w:w="136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167,918</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debt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720,044</w:t>
            </w:r>
          </w:p>
        </w:tc>
        <w:tc>
          <w:tcPr>
            <w:tcW w:w="26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1,089,397</w:t>
            </w:r>
          </w:p>
        </w:tc>
        <w:tc>
          <w:tcPr>
            <w:tcW w:w="16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Total long-term borrowings and debt</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1,143,055</w:t>
            </w:r>
          </w:p>
        </w:tc>
        <w:tc>
          <w:tcPr>
            <w:tcW w:w="26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1,781,871</w:t>
            </w:r>
          </w:p>
        </w:tc>
        <w:tc>
          <w:tcPr>
            <w:tcW w:w="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Less: Prepaid commission</w:t>
            </w:r>
          </w:p>
        </w:tc>
        <w:tc>
          <w:tcPr>
            <w:tcW w:w="1480" w:type="dxa"/>
            <w:vAlign w:val="bottom"/>
            <w:gridSpan w:val="2"/>
          </w:tcPr>
          <w:p>
            <w:pPr>
              <w:jc w:val="right"/>
              <w:ind w:right="110"/>
              <w:spacing w:after="0"/>
              <w:rPr>
                <w:sz w:val="20"/>
                <w:szCs w:val="20"/>
                <w:color w:val="auto"/>
              </w:rPr>
            </w:pPr>
            <w:r>
              <w:rPr>
                <w:rFonts w:ascii="Arial" w:cs="Arial" w:eastAsia="Arial" w:hAnsi="Arial"/>
                <w:sz w:val="18"/>
                <w:szCs w:val="18"/>
                <w:color w:val="auto"/>
              </w:rPr>
              <w:t>(4,211)</w:t>
            </w:r>
          </w:p>
        </w:tc>
        <w:tc>
          <w:tcPr>
            <w:tcW w:w="1360" w:type="dxa"/>
            <w:vAlign w:val="bottom"/>
            <w:gridSpan w:val="2"/>
          </w:tcPr>
          <w:p>
            <w:pPr>
              <w:jc w:val="right"/>
              <w:ind w:right="10"/>
              <w:spacing w:after="0"/>
              <w:rPr>
                <w:sz w:val="20"/>
                <w:szCs w:val="20"/>
                <w:color w:val="auto"/>
              </w:rPr>
            </w:pPr>
            <w:r>
              <w:rPr>
                <w:rFonts w:ascii="Arial" w:cs="Arial" w:eastAsia="Arial" w:hAnsi="Arial"/>
                <w:sz w:val="18"/>
                <w:szCs w:val="18"/>
                <w:color w:val="auto"/>
              </w:rPr>
              <w:t>(5,133)</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81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net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1,138,844</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1,776,738</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8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Net average outstanding balance during the year</w:t>
            </w:r>
          </w:p>
        </w:tc>
        <w:tc>
          <w:tcPr>
            <w:tcW w:w="148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1,477,788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1,874,435</w:t>
            </w:r>
          </w:p>
        </w:tc>
        <w:tc>
          <w:tcPr>
            <w:tcW w:w="160" w:type="dxa"/>
            <w:vAlign w:val="bottom"/>
            <w:shd w:val="clear" w:color="auto" w:fill="CCEEFF"/>
          </w:tcPr>
          <w:p>
            <w:pPr>
              <w:spacing w:after="0"/>
              <w:rPr>
                <w:sz w:val="21"/>
                <w:szCs w:val="21"/>
                <w:color w:val="auto"/>
              </w:rPr>
            </w:pP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1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outstanding balance at any month – end</w:t>
            </w: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bottom w:val="single" w:sz="8" w:color="CCEEFF"/>
            </w:tcBorders>
            <w:vMerge w:val="restart"/>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810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2,010,078</w:t>
            </w:r>
          </w:p>
        </w:tc>
        <w:tc>
          <w:tcPr>
            <w:tcW w:w="26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2,054,138</w:t>
            </w:r>
          </w:p>
        </w:tc>
        <w:tc>
          <w:tcPr>
            <w:tcW w:w="160" w:type="dxa"/>
            <w:vAlign w:val="bottom"/>
            <w:tcBorders>
              <w:bottom w:val="single" w:sz="8" w:color="CCEEFF"/>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8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and debt in U.S. dollars</w:t>
            </w: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1.35% to 3.25</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2.85% to 3.75</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10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and debt in U.S. dollars</w:t>
            </w:r>
          </w:p>
        </w:tc>
        <w:tc>
          <w:tcPr>
            <w:tcW w:w="12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810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2.61% to 3.01</w:t>
            </w:r>
          </w:p>
        </w:tc>
        <w:tc>
          <w:tcPr>
            <w:tcW w:w="26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1.66% to 2.49</w:t>
            </w:r>
          </w:p>
        </w:tc>
        <w:tc>
          <w:tcPr>
            <w:tcW w:w="16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8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pesos</w:t>
            </w: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4.89% to 9.09</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4.75% to 8.90</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10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and debt in Mexican pesos</w:t>
            </w:r>
          </w:p>
        </w:tc>
        <w:tc>
          <w:tcPr>
            <w:tcW w:w="12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810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7.99% to 8.00</w:t>
            </w:r>
          </w:p>
        </w:tc>
        <w:tc>
          <w:tcPr>
            <w:tcW w:w="26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6.19% to 6.54</w:t>
            </w:r>
          </w:p>
        </w:tc>
        <w:tc>
          <w:tcPr>
            <w:tcW w:w="16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8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Japanese yens</w:t>
            </w: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 to 0.81</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 to 0.81</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100" w:type="dxa"/>
            <w:vAlign w:val="bottom"/>
            <w:vMerge w:val="restart"/>
          </w:tcPr>
          <w:p>
            <w:pPr>
              <w:spacing w:after="0"/>
              <w:rPr>
                <w:sz w:val="20"/>
                <w:szCs w:val="20"/>
                <w:color w:val="auto"/>
              </w:rPr>
            </w:pPr>
            <w:r>
              <w:rPr>
                <w:rFonts w:ascii="Arial" w:cs="Arial" w:eastAsia="Arial" w:hAnsi="Arial"/>
                <w:sz w:val="18"/>
                <w:szCs w:val="18"/>
                <w:color w:val="auto"/>
              </w:rPr>
              <w:t>Range of fixed interest rate on debt in Euros</w:t>
            </w:r>
          </w:p>
        </w:tc>
        <w:tc>
          <w:tcPr>
            <w:tcW w:w="12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810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26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16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8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Australian dollar</w:t>
            </w: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100" w:type="dxa"/>
            <w:vAlign w:val="bottom"/>
            <w:vMerge w:val="restart"/>
          </w:tcPr>
          <w:p>
            <w:pPr>
              <w:spacing w:after="0"/>
              <w:rPr>
                <w:sz w:val="20"/>
                <w:szCs w:val="20"/>
                <w:color w:val="auto"/>
              </w:rPr>
            </w:pPr>
            <w:r>
              <w:rPr>
                <w:rFonts w:ascii="Arial" w:cs="Arial" w:eastAsia="Arial" w:hAnsi="Arial"/>
                <w:sz w:val="18"/>
                <w:szCs w:val="18"/>
                <w:color w:val="auto"/>
              </w:rPr>
              <w:t>Weighted average interest rate at the end of the year</w:t>
            </w:r>
          </w:p>
        </w:tc>
        <w:tc>
          <w:tcPr>
            <w:tcW w:w="12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810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3.60</w:t>
            </w:r>
          </w:p>
        </w:tc>
        <w:tc>
          <w:tcPr>
            <w:tcW w:w="26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2.98</w:t>
            </w:r>
          </w:p>
        </w:tc>
        <w:tc>
          <w:tcPr>
            <w:tcW w:w="16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8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year</w:t>
            </w: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3.43</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2.84</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100" w:type="dxa"/>
            <w:vAlign w:val="bottom"/>
            <w:vMerge w:val="restart"/>
          </w:tcPr>
          <w:p>
            <w:pPr>
              <w:ind w:left="5220"/>
              <w:spacing w:after="0"/>
              <w:rPr>
                <w:sz w:val="20"/>
                <w:szCs w:val="20"/>
                <w:color w:val="auto"/>
              </w:rPr>
            </w:pPr>
            <w:r>
              <w:rPr>
                <w:rFonts w:ascii="Arial" w:cs="Arial" w:eastAsia="Arial" w:hAnsi="Arial"/>
                <w:sz w:val="18"/>
                <w:szCs w:val="18"/>
                <w:color w:val="auto"/>
              </w:rPr>
              <w:t>F-69</w:t>
            </w:r>
          </w:p>
        </w:tc>
        <w:tc>
          <w:tcPr>
            <w:tcW w:w="12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Borders>
              <w:bottom w:val="single" w:sz="8" w:color="auto"/>
            </w:tcBorders>
          </w:tcPr>
          <w:p>
            <w:pPr>
              <w:spacing w:after="0"/>
              <w:rPr>
                <w:sz w:val="24"/>
                <w:szCs w:val="24"/>
                <w:color w:val="auto"/>
              </w:rPr>
            </w:pPr>
          </w:p>
        </w:tc>
        <w:tc>
          <w:tcPr>
            <w:tcW w:w="8100" w:type="dxa"/>
            <w:vAlign w:val="bottom"/>
            <w:tcBorders>
              <w:bottom w:val="single" w:sz="8" w:color="auto"/>
            </w:tcBorders>
            <w:vMerge w:val="continue"/>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8" w:right="239" w:bottom="1440" w:gutter="0" w:footer="0" w:header="0"/>
        </w:sectPr>
      </w:pPr>
    </w:p>
    <w:bookmarkStart w:id="191" w:name="page192"/>
    <w:bookmarkEnd w:id="19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tbl>
      <w:tblPr>
        <w:tblLayout w:type="fixed"/>
        <w:tblInd w:w="240" w:type="dxa"/>
        <w:tblCellMar>
          <w:top w:w="0" w:type="dxa"/>
          <w:left w:w="0" w:type="dxa"/>
          <w:bottom w:w="0" w:type="dxa"/>
          <w:right w:w="0" w:type="dxa"/>
        </w:tblCellMar>
      </w:tblPr>
      <w:tr>
        <w:trPr>
          <w:trHeight w:val="234"/>
        </w:trPr>
        <w:tc>
          <w:tcPr>
            <w:tcW w:w="8380" w:type="dxa"/>
            <w:vAlign w:val="bottom"/>
            <w:gridSpan w:val="2"/>
          </w:tcPr>
          <w:p>
            <w:pPr>
              <w:spacing w:after="0"/>
              <w:rPr>
                <w:sz w:val="20"/>
                <w:szCs w:val="20"/>
                <w:color w:val="auto"/>
              </w:rPr>
            </w:pPr>
            <w:r>
              <w:rPr>
                <w:rFonts w:ascii="Arial" w:cs="Arial" w:eastAsia="Arial" w:hAnsi="Arial"/>
                <w:sz w:val="18"/>
                <w:szCs w:val="18"/>
                <w:b w:val="1"/>
                <w:bCs w:val="1"/>
                <w:color w:val="auto"/>
              </w:rPr>
              <w:t>12. Borrowings and debt (continued)</w:t>
            </w:r>
          </w:p>
        </w:tc>
        <w:tc>
          <w:tcPr>
            <w:tcW w:w="1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8380" w:type="dxa"/>
            <w:vAlign w:val="bottom"/>
            <w:gridSpan w:val="2"/>
          </w:tcPr>
          <w:p>
            <w:pPr>
              <w:ind w:left="100"/>
              <w:spacing w:after="0"/>
              <w:rPr>
                <w:sz w:val="20"/>
                <w:szCs w:val="20"/>
                <w:color w:val="auto"/>
              </w:rPr>
            </w:pPr>
            <w:r>
              <w:rPr>
                <w:rFonts w:ascii="Arial" w:cs="Arial" w:eastAsia="Arial" w:hAnsi="Arial"/>
                <w:sz w:val="18"/>
                <w:szCs w:val="18"/>
                <w:b w:val="1"/>
                <w:bCs w:val="1"/>
                <w:color w:val="auto"/>
              </w:rPr>
              <w:t>12.2 Long-term borrowings and debt (continued)</w:t>
            </w:r>
          </w:p>
        </w:tc>
        <w:tc>
          <w:tcPr>
            <w:tcW w:w="1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2"/>
        </w:trPr>
        <w:tc>
          <w:tcPr>
            <w:tcW w:w="8380" w:type="dxa"/>
            <w:vAlign w:val="bottom"/>
            <w:gridSpan w:val="2"/>
          </w:tcPr>
          <w:p>
            <w:pPr>
              <w:ind w:left="100"/>
              <w:spacing w:after="0"/>
              <w:rPr>
                <w:sz w:val="20"/>
                <w:szCs w:val="20"/>
                <w:color w:val="auto"/>
              </w:rPr>
            </w:pPr>
            <w:r>
              <w:rPr>
                <w:rFonts w:ascii="Arial" w:cs="Arial" w:eastAsia="Arial" w:hAnsi="Arial"/>
                <w:sz w:val="18"/>
                <w:szCs w:val="18"/>
                <w:color w:val="auto"/>
              </w:rPr>
              <w:t>The balances of long-term borrowings and debt by currency, is as follows:</w:t>
            </w:r>
          </w:p>
        </w:tc>
        <w:tc>
          <w:tcPr>
            <w:tcW w:w="1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14"/>
        </w:trPr>
        <w:tc>
          <w:tcPr>
            <w:tcW w:w="420" w:type="dxa"/>
            <w:vAlign w:val="bottom"/>
          </w:tcPr>
          <w:p>
            <w:pPr>
              <w:spacing w:after="0"/>
              <w:rPr>
                <w:sz w:val="24"/>
                <w:szCs w:val="24"/>
                <w:color w:val="auto"/>
              </w:rPr>
            </w:pPr>
          </w:p>
        </w:tc>
        <w:tc>
          <w:tcPr>
            <w:tcW w:w="7960" w:type="dxa"/>
            <w:vAlign w:val="bottom"/>
          </w:tcPr>
          <w:p>
            <w:pPr>
              <w:spacing w:after="0"/>
              <w:rPr>
                <w:sz w:val="24"/>
                <w:szCs w:val="24"/>
                <w:color w:val="auto"/>
              </w:rPr>
            </w:pPr>
          </w:p>
        </w:tc>
        <w:tc>
          <w:tcPr>
            <w:tcW w:w="13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2"/>
              </w:rPr>
              <w:t>December 31,</w:t>
            </w:r>
          </w:p>
        </w:tc>
        <w:tc>
          <w:tcPr>
            <w:tcW w:w="126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0"/>
              </w:rPr>
              <w:t>December 31,</w:t>
            </w:r>
          </w:p>
        </w:tc>
      </w:tr>
      <w:tr>
        <w:trPr>
          <w:trHeight w:val="234"/>
        </w:trPr>
        <w:tc>
          <w:tcPr>
            <w:tcW w:w="420" w:type="dxa"/>
            <w:vAlign w:val="bottom"/>
          </w:tcPr>
          <w:p>
            <w:pPr>
              <w:spacing w:after="0"/>
              <w:rPr>
                <w:sz w:val="20"/>
                <w:szCs w:val="20"/>
                <w:color w:val="auto"/>
              </w:rPr>
            </w:pPr>
          </w:p>
        </w:tc>
        <w:tc>
          <w:tcPr>
            <w:tcW w:w="796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r>
      <w:tr>
        <w:trPr>
          <w:trHeight w:val="210"/>
        </w:trPr>
        <w:tc>
          <w:tcPr>
            <w:tcW w:w="420" w:type="dxa"/>
            <w:vAlign w:val="bottom"/>
          </w:tcPr>
          <w:p>
            <w:pPr>
              <w:spacing w:after="0"/>
              <w:rPr>
                <w:sz w:val="18"/>
                <w:szCs w:val="18"/>
                <w:color w:val="auto"/>
              </w:rPr>
            </w:pPr>
          </w:p>
        </w:tc>
        <w:tc>
          <w:tcPr>
            <w:tcW w:w="7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420" w:type="dxa"/>
            <w:vAlign w:val="bottom"/>
          </w:tcPr>
          <w:p>
            <w:pPr>
              <w:spacing w:after="0"/>
              <w:rPr>
                <w:sz w:val="18"/>
                <w:szCs w:val="18"/>
                <w:color w:val="auto"/>
              </w:rPr>
            </w:pPr>
          </w:p>
        </w:tc>
        <w:tc>
          <w:tcPr>
            <w:tcW w:w="7960" w:type="dxa"/>
            <w:vAlign w:val="bottom"/>
          </w:tcPr>
          <w:p>
            <w:pPr>
              <w:spacing w:after="0"/>
              <w:rPr>
                <w:sz w:val="20"/>
                <w:szCs w:val="20"/>
                <w:color w:val="auto"/>
              </w:rPr>
            </w:pPr>
            <w:r>
              <w:rPr>
                <w:rFonts w:ascii="Arial" w:cs="Arial" w:eastAsia="Arial" w:hAnsi="Arial"/>
                <w:sz w:val="18"/>
                <w:szCs w:val="18"/>
                <w:color w:val="auto"/>
              </w:rPr>
              <w:t>US dollar</w:t>
            </w:r>
          </w:p>
        </w:tc>
        <w:tc>
          <w:tcPr>
            <w:tcW w:w="1160" w:type="dxa"/>
            <w:vAlign w:val="bottom"/>
          </w:tcPr>
          <w:p>
            <w:pPr>
              <w:jc w:val="right"/>
              <w:spacing w:after="0"/>
              <w:rPr>
                <w:sz w:val="20"/>
                <w:szCs w:val="20"/>
                <w:color w:val="auto"/>
              </w:rPr>
            </w:pPr>
            <w:r>
              <w:rPr>
                <w:rFonts w:ascii="Arial" w:cs="Arial" w:eastAsia="Arial" w:hAnsi="Arial"/>
                <w:sz w:val="18"/>
                <w:szCs w:val="18"/>
                <w:color w:val="auto"/>
              </w:rPr>
              <w:t>753,981</w:t>
            </w:r>
          </w:p>
        </w:tc>
        <w:tc>
          <w:tcPr>
            <w:tcW w:w="22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1,392,995</w:t>
            </w:r>
          </w:p>
        </w:tc>
      </w:tr>
      <w:tr>
        <w:trPr>
          <w:trHeight w:val="216"/>
        </w:trPr>
        <w:tc>
          <w:tcPr>
            <w:tcW w:w="420" w:type="dxa"/>
            <w:vAlign w:val="bottom"/>
          </w:tcPr>
          <w:p>
            <w:pPr>
              <w:spacing w:after="0"/>
              <w:rPr>
                <w:sz w:val="18"/>
                <w:szCs w:val="18"/>
                <w:color w:val="auto"/>
              </w:rPr>
            </w:pPr>
          </w:p>
        </w:tc>
        <w:tc>
          <w:tcPr>
            <w:tcW w:w="7960" w:type="dxa"/>
            <w:vAlign w:val="bottom"/>
            <w:shd w:val="clear" w:color="auto" w:fill="CCEEFF"/>
          </w:tcPr>
          <w:p>
            <w:pPr>
              <w:spacing w:after="0"/>
              <w:rPr>
                <w:sz w:val="20"/>
                <w:szCs w:val="20"/>
                <w:color w:val="auto"/>
              </w:rPr>
            </w:pPr>
            <w:r>
              <w:rPr>
                <w:rFonts w:ascii="Arial" w:cs="Arial" w:eastAsia="Arial" w:hAnsi="Arial"/>
                <w:sz w:val="18"/>
                <w:szCs w:val="18"/>
                <w:color w:val="auto"/>
              </w:rPr>
              <w:t>Mexican peso</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206,750</w:t>
            </w:r>
          </w:p>
        </w:tc>
        <w:tc>
          <w:tcPr>
            <w:tcW w:w="2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219,347</w:t>
            </w:r>
          </w:p>
        </w:tc>
      </w:tr>
      <w:tr>
        <w:trPr>
          <w:trHeight w:val="216"/>
        </w:trPr>
        <w:tc>
          <w:tcPr>
            <w:tcW w:w="420" w:type="dxa"/>
            <w:vAlign w:val="bottom"/>
          </w:tcPr>
          <w:p>
            <w:pPr>
              <w:spacing w:after="0"/>
              <w:rPr>
                <w:sz w:val="18"/>
                <w:szCs w:val="18"/>
                <w:color w:val="auto"/>
              </w:rPr>
            </w:pPr>
          </w:p>
        </w:tc>
        <w:tc>
          <w:tcPr>
            <w:tcW w:w="7960" w:type="dxa"/>
            <w:vAlign w:val="bottom"/>
          </w:tcPr>
          <w:p>
            <w:pPr>
              <w:spacing w:after="0"/>
              <w:rPr>
                <w:sz w:val="20"/>
                <w:szCs w:val="20"/>
                <w:color w:val="auto"/>
              </w:rPr>
            </w:pPr>
            <w:r>
              <w:rPr>
                <w:rFonts w:ascii="Arial" w:cs="Arial" w:eastAsia="Arial" w:hAnsi="Arial"/>
                <w:sz w:val="18"/>
                <w:szCs w:val="18"/>
                <w:color w:val="auto"/>
              </w:rPr>
              <w:t>Japanese yen</w:t>
            </w:r>
          </w:p>
        </w:tc>
        <w:tc>
          <w:tcPr>
            <w:tcW w:w="1160" w:type="dxa"/>
            <w:vAlign w:val="bottom"/>
          </w:tcPr>
          <w:p>
            <w:pPr>
              <w:jc w:val="right"/>
              <w:spacing w:after="0"/>
              <w:rPr>
                <w:sz w:val="20"/>
                <w:szCs w:val="20"/>
                <w:color w:val="auto"/>
              </w:rPr>
            </w:pPr>
            <w:r>
              <w:rPr>
                <w:rFonts w:ascii="Arial" w:cs="Arial" w:eastAsia="Arial" w:hAnsi="Arial"/>
                <w:sz w:val="18"/>
                <w:szCs w:val="18"/>
                <w:color w:val="auto"/>
              </w:rPr>
              <w:t>98,711</w:t>
            </w:r>
          </w:p>
        </w:tc>
        <w:tc>
          <w:tcPr>
            <w:tcW w:w="22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95,238</w:t>
            </w:r>
          </w:p>
        </w:tc>
      </w:tr>
      <w:tr>
        <w:trPr>
          <w:trHeight w:val="216"/>
        </w:trPr>
        <w:tc>
          <w:tcPr>
            <w:tcW w:w="420" w:type="dxa"/>
            <w:vAlign w:val="bottom"/>
          </w:tcPr>
          <w:p>
            <w:pPr>
              <w:spacing w:after="0"/>
              <w:rPr>
                <w:sz w:val="18"/>
                <w:szCs w:val="18"/>
                <w:color w:val="auto"/>
              </w:rPr>
            </w:pPr>
          </w:p>
        </w:tc>
        <w:tc>
          <w:tcPr>
            <w:tcW w:w="7960" w:type="dxa"/>
            <w:vAlign w:val="bottom"/>
            <w:shd w:val="clear" w:color="auto" w:fill="CCEEFF"/>
          </w:tcPr>
          <w:p>
            <w:pPr>
              <w:spacing w:after="0"/>
              <w:rPr>
                <w:sz w:val="20"/>
                <w:szCs w:val="20"/>
                <w:color w:val="auto"/>
              </w:rPr>
            </w:pPr>
            <w:r>
              <w:rPr>
                <w:rFonts w:ascii="Arial" w:cs="Arial" w:eastAsia="Arial" w:hAnsi="Arial"/>
                <w:sz w:val="18"/>
                <w:szCs w:val="18"/>
                <w:color w:val="auto"/>
              </w:rPr>
              <w:t>Euro</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60,178</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52,574</w:t>
            </w:r>
          </w:p>
        </w:tc>
      </w:tr>
      <w:tr>
        <w:trPr>
          <w:trHeight w:val="230"/>
        </w:trPr>
        <w:tc>
          <w:tcPr>
            <w:tcW w:w="420" w:type="dxa"/>
            <w:vAlign w:val="bottom"/>
          </w:tcPr>
          <w:p>
            <w:pPr>
              <w:spacing w:after="0"/>
              <w:rPr>
                <w:sz w:val="19"/>
                <w:szCs w:val="19"/>
                <w:color w:val="auto"/>
              </w:rPr>
            </w:pPr>
          </w:p>
        </w:tc>
        <w:tc>
          <w:tcPr>
            <w:tcW w:w="7960" w:type="dxa"/>
            <w:vAlign w:val="bottom"/>
          </w:tcPr>
          <w:p>
            <w:pPr>
              <w:spacing w:after="0"/>
              <w:rPr>
                <w:sz w:val="20"/>
                <w:szCs w:val="20"/>
                <w:color w:val="auto"/>
              </w:rPr>
            </w:pPr>
            <w:r>
              <w:rPr>
                <w:rFonts w:ascii="Arial" w:cs="Arial" w:eastAsia="Arial" w:hAnsi="Arial"/>
                <w:sz w:val="18"/>
                <w:szCs w:val="18"/>
                <w:color w:val="auto"/>
              </w:rPr>
              <w:t>Australian dollar</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23,435</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21,717</w:t>
            </w:r>
          </w:p>
        </w:tc>
      </w:tr>
      <w:tr>
        <w:trPr>
          <w:trHeight w:val="223"/>
        </w:trPr>
        <w:tc>
          <w:tcPr>
            <w:tcW w:w="420" w:type="dxa"/>
            <w:vAlign w:val="bottom"/>
          </w:tcPr>
          <w:p>
            <w:pPr>
              <w:spacing w:after="0"/>
              <w:rPr>
                <w:sz w:val="19"/>
                <w:szCs w:val="19"/>
                <w:color w:val="auto"/>
              </w:rPr>
            </w:pPr>
          </w:p>
        </w:tc>
        <w:tc>
          <w:tcPr>
            <w:tcW w:w="79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1,143,055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1,781,871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20" w:type="dxa"/>
            <w:vAlign w:val="bottom"/>
          </w:tcPr>
          <w:p>
            <w:pPr>
              <w:spacing w:after="0" w:line="20" w:lineRule="exact"/>
              <w:rPr>
                <w:sz w:val="1"/>
                <w:szCs w:val="1"/>
                <w:color w:val="auto"/>
              </w:rPr>
            </w:pPr>
          </w:p>
        </w:tc>
        <w:tc>
          <w:tcPr>
            <w:tcW w:w="79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w:t>
      </w:r>
    </w:p>
    <w:p>
      <w:pPr>
        <w:spacing w:after="0" w:line="19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December 31, 2017 the Bank was in compliance with all covenants.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future payments of long-term borrowings and debt outstanding as of December 31, 2017, are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300" w:type="dxa"/>
            <w:vAlign w:val="bottom"/>
          </w:tcPr>
          <w:p>
            <w:pPr>
              <w:spacing w:after="0"/>
              <w:rPr>
                <w:sz w:val="20"/>
                <w:szCs w:val="20"/>
                <w:color w:val="auto"/>
              </w:rPr>
            </w:pPr>
          </w:p>
        </w:tc>
        <w:tc>
          <w:tcPr>
            <w:tcW w:w="3240" w:type="dxa"/>
            <w:vAlign w:val="bottom"/>
          </w:tcPr>
          <w:p>
            <w:pPr>
              <w:jc w:val="center"/>
              <w:ind w:left="2410"/>
              <w:spacing w:after="0"/>
              <w:rPr>
                <w:sz w:val="20"/>
                <w:szCs w:val="20"/>
                <w:color w:val="auto"/>
              </w:rPr>
            </w:pPr>
            <w:r>
              <w:rPr>
                <w:rFonts w:ascii="Arial" w:cs="Arial" w:eastAsia="Arial" w:hAnsi="Arial"/>
                <w:sz w:val="18"/>
                <w:szCs w:val="18"/>
                <w:b w:val="1"/>
                <w:bCs w:val="1"/>
                <w:color w:val="auto"/>
                <w:w w:val="86"/>
              </w:rPr>
              <w:t>Payments</w:t>
            </w:r>
          </w:p>
        </w:tc>
        <w:tc>
          <w:tcPr>
            <w:tcW w:w="258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8"/>
                <w:szCs w:val="18"/>
                <w:b w:val="1"/>
                <w:bCs w:val="1"/>
                <w:color w:val="auto"/>
                <w:w w:val="88"/>
              </w:rPr>
              <w:t>Outstanding</w:t>
            </w:r>
          </w:p>
        </w:tc>
        <w:tc>
          <w:tcPr>
            <w:tcW w:w="2280" w:type="dxa"/>
            <w:vAlign w:val="bottom"/>
          </w:tcPr>
          <w:p>
            <w:pPr>
              <w:spacing w:after="0"/>
              <w:rPr>
                <w:sz w:val="20"/>
                <w:szCs w:val="20"/>
                <w:color w:val="auto"/>
              </w:rPr>
            </w:pPr>
          </w:p>
        </w:tc>
      </w:tr>
      <w:tr>
        <w:trPr>
          <w:trHeight w:val="210"/>
        </w:trPr>
        <w:tc>
          <w:tcPr>
            <w:tcW w:w="23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2580" w:type="dxa"/>
            <w:vAlign w:val="bottom"/>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2280" w:type="dxa"/>
            <w:vAlign w:val="bottom"/>
          </w:tcPr>
          <w:p>
            <w:pPr>
              <w:spacing w:after="0"/>
              <w:rPr>
                <w:sz w:val="18"/>
                <w:szCs w:val="18"/>
                <w:color w:val="auto"/>
              </w:rPr>
            </w:pPr>
          </w:p>
        </w:tc>
      </w:tr>
      <w:tr>
        <w:trPr>
          <w:trHeight w:val="216"/>
        </w:trPr>
        <w:tc>
          <w:tcPr>
            <w:tcW w:w="2300" w:type="dxa"/>
            <w:vAlign w:val="bottom"/>
          </w:tcPr>
          <w:p>
            <w:pPr>
              <w:spacing w:after="0"/>
              <w:rPr>
                <w:sz w:val="18"/>
                <w:szCs w:val="18"/>
                <w:color w:val="auto"/>
              </w:rPr>
            </w:pPr>
          </w:p>
        </w:tc>
        <w:tc>
          <w:tcPr>
            <w:tcW w:w="3240" w:type="dxa"/>
            <w:vAlign w:val="bottom"/>
            <w:shd w:val="clear" w:color="auto" w:fill="CCEEFF"/>
          </w:tcPr>
          <w:p>
            <w:pPr>
              <w:jc w:val="center"/>
              <w:ind w:left="2390"/>
              <w:spacing w:after="0"/>
              <w:rPr>
                <w:sz w:val="20"/>
                <w:szCs w:val="20"/>
                <w:color w:val="auto"/>
              </w:rPr>
            </w:pPr>
            <w:r>
              <w:rPr>
                <w:rFonts w:ascii="Arial" w:cs="Arial" w:eastAsia="Arial" w:hAnsi="Arial"/>
                <w:sz w:val="18"/>
                <w:szCs w:val="18"/>
                <w:color w:val="auto"/>
                <w:w w:val="89"/>
              </w:rPr>
              <w:t>2018</w:t>
            </w:r>
          </w:p>
        </w:tc>
        <w:tc>
          <w:tcPr>
            <w:tcW w:w="36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139,070</w:t>
            </w:r>
          </w:p>
        </w:tc>
        <w:tc>
          <w:tcPr>
            <w:tcW w:w="2280" w:type="dxa"/>
            <w:vAlign w:val="bottom"/>
          </w:tcPr>
          <w:p>
            <w:pPr>
              <w:spacing w:after="0"/>
              <w:rPr>
                <w:sz w:val="18"/>
                <w:szCs w:val="18"/>
                <w:color w:val="auto"/>
              </w:rPr>
            </w:pPr>
          </w:p>
        </w:tc>
      </w:tr>
      <w:tr>
        <w:trPr>
          <w:trHeight w:val="216"/>
        </w:trPr>
        <w:tc>
          <w:tcPr>
            <w:tcW w:w="2300" w:type="dxa"/>
            <w:vAlign w:val="bottom"/>
          </w:tcPr>
          <w:p>
            <w:pPr>
              <w:spacing w:after="0"/>
              <w:rPr>
                <w:sz w:val="18"/>
                <w:szCs w:val="18"/>
                <w:color w:val="auto"/>
              </w:rPr>
            </w:pPr>
          </w:p>
        </w:tc>
        <w:tc>
          <w:tcPr>
            <w:tcW w:w="3240" w:type="dxa"/>
            <w:vAlign w:val="bottom"/>
          </w:tcPr>
          <w:p>
            <w:pPr>
              <w:jc w:val="center"/>
              <w:ind w:left="2390"/>
              <w:spacing w:after="0"/>
              <w:rPr>
                <w:sz w:val="20"/>
                <w:szCs w:val="20"/>
                <w:color w:val="auto"/>
              </w:rPr>
            </w:pPr>
            <w:r>
              <w:rPr>
                <w:rFonts w:ascii="Arial" w:cs="Arial" w:eastAsia="Arial" w:hAnsi="Arial"/>
                <w:sz w:val="18"/>
                <w:szCs w:val="18"/>
                <w:color w:val="auto"/>
                <w:w w:val="89"/>
              </w:rPr>
              <w:t>2019</w:t>
            </w:r>
          </w:p>
        </w:tc>
        <w:tc>
          <w:tcPr>
            <w:tcW w:w="3600" w:type="dxa"/>
            <w:vAlign w:val="bottom"/>
            <w:gridSpan w:val="2"/>
          </w:tcPr>
          <w:p>
            <w:pPr>
              <w:jc w:val="right"/>
              <w:spacing w:after="0"/>
              <w:rPr>
                <w:sz w:val="20"/>
                <w:szCs w:val="20"/>
                <w:color w:val="auto"/>
              </w:rPr>
            </w:pPr>
            <w:r>
              <w:rPr>
                <w:rFonts w:ascii="Arial" w:cs="Arial" w:eastAsia="Arial" w:hAnsi="Arial"/>
                <w:sz w:val="18"/>
                <w:szCs w:val="18"/>
                <w:color w:val="auto"/>
              </w:rPr>
              <w:t>357,434</w:t>
            </w:r>
          </w:p>
        </w:tc>
        <w:tc>
          <w:tcPr>
            <w:tcW w:w="2280" w:type="dxa"/>
            <w:vAlign w:val="bottom"/>
          </w:tcPr>
          <w:p>
            <w:pPr>
              <w:spacing w:after="0"/>
              <w:rPr>
                <w:sz w:val="18"/>
                <w:szCs w:val="18"/>
                <w:color w:val="auto"/>
              </w:rPr>
            </w:pPr>
          </w:p>
        </w:tc>
      </w:tr>
      <w:tr>
        <w:trPr>
          <w:trHeight w:val="216"/>
        </w:trPr>
        <w:tc>
          <w:tcPr>
            <w:tcW w:w="2300" w:type="dxa"/>
            <w:vAlign w:val="bottom"/>
          </w:tcPr>
          <w:p>
            <w:pPr>
              <w:spacing w:after="0"/>
              <w:rPr>
                <w:sz w:val="18"/>
                <w:szCs w:val="18"/>
                <w:color w:val="auto"/>
              </w:rPr>
            </w:pPr>
          </w:p>
        </w:tc>
        <w:tc>
          <w:tcPr>
            <w:tcW w:w="3240" w:type="dxa"/>
            <w:vAlign w:val="bottom"/>
            <w:shd w:val="clear" w:color="auto" w:fill="CCEEFF"/>
          </w:tcPr>
          <w:p>
            <w:pPr>
              <w:jc w:val="center"/>
              <w:ind w:left="2390"/>
              <w:spacing w:after="0"/>
              <w:rPr>
                <w:sz w:val="20"/>
                <w:szCs w:val="20"/>
                <w:color w:val="auto"/>
              </w:rPr>
            </w:pPr>
            <w:r>
              <w:rPr>
                <w:rFonts w:ascii="Arial" w:cs="Arial" w:eastAsia="Arial" w:hAnsi="Arial"/>
                <w:sz w:val="18"/>
                <w:szCs w:val="18"/>
                <w:color w:val="auto"/>
                <w:w w:val="89"/>
              </w:rPr>
              <w:t>2020</w:t>
            </w:r>
          </w:p>
        </w:tc>
        <w:tc>
          <w:tcPr>
            <w:tcW w:w="36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375,592</w:t>
            </w:r>
          </w:p>
        </w:tc>
        <w:tc>
          <w:tcPr>
            <w:tcW w:w="2280" w:type="dxa"/>
            <w:vAlign w:val="bottom"/>
          </w:tcPr>
          <w:p>
            <w:pPr>
              <w:spacing w:after="0"/>
              <w:rPr>
                <w:sz w:val="18"/>
                <w:szCs w:val="18"/>
                <w:color w:val="auto"/>
              </w:rPr>
            </w:pPr>
          </w:p>
        </w:tc>
      </w:tr>
      <w:tr>
        <w:trPr>
          <w:trHeight w:val="216"/>
        </w:trPr>
        <w:tc>
          <w:tcPr>
            <w:tcW w:w="2300" w:type="dxa"/>
            <w:vAlign w:val="bottom"/>
          </w:tcPr>
          <w:p>
            <w:pPr>
              <w:spacing w:after="0"/>
              <w:rPr>
                <w:sz w:val="18"/>
                <w:szCs w:val="18"/>
                <w:color w:val="auto"/>
              </w:rPr>
            </w:pPr>
          </w:p>
        </w:tc>
        <w:tc>
          <w:tcPr>
            <w:tcW w:w="3240" w:type="dxa"/>
            <w:vAlign w:val="bottom"/>
          </w:tcPr>
          <w:p>
            <w:pPr>
              <w:jc w:val="center"/>
              <w:ind w:left="2390"/>
              <w:spacing w:after="0"/>
              <w:rPr>
                <w:sz w:val="20"/>
                <w:szCs w:val="20"/>
                <w:color w:val="auto"/>
              </w:rPr>
            </w:pPr>
            <w:r>
              <w:rPr>
                <w:rFonts w:ascii="Arial" w:cs="Arial" w:eastAsia="Arial" w:hAnsi="Arial"/>
                <w:sz w:val="18"/>
                <w:szCs w:val="18"/>
                <w:color w:val="auto"/>
                <w:w w:val="89"/>
              </w:rPr>
              <w:t>2021</w:t>
            </w:r>
          </w:p>
        </w:tc>
        <w:tc>
          <w:tcPr>
            <w:tcW w:w="3600" w:type="dxa"/>
            <w:vAlign w:val="bottom"/>
            <w:gridSpan w:val="2"/>
          </w:tcPr>
          <w:p>
            <w:pPr>
              <w:jc w:val="right"/>
              <w:spacing w:after="0"/>
              <w:rPr>
                <w:sz w:val="20"/>
                <w:szCs w:val="20"/>
                <w:color w:val="auto"/>
              </w:rPr>
            </w:pPr>
            <w:r>
              <w:rPr>
                <w:rFonts w:ascii="Arial" w:cs="Arial" w:eastAsia="Arial" w:hAnsi="Arial"/>
                <w:sz w:val="18"/>
                <w:szCs w:val="18"/>
                <w:color w:val="auto"/>
              </w:rPr>
              <w:t>200,731</w:t>
            </w:r>
          </w:p>
        </w:tc>
        <w:tc>
          <w:tcPr>
            <w:tcW w:w="2280" w:type="dxa"/>
            <w:vAlign w:val="bottom"/>
          </w:tcPr>
          <w:p>
            <w:pPr>
              <w:spacing w:after="0"/>
              <w:rPr>
                <w:sz w:val="18"/>
                <w:szCs w:val="18"/>
                <w:color w:val="auto"/>
              </w:rPr>
            </w:pPr>
          </w:p>
        </w:tc>
      </w:tr>
      <w:tr>
        <w:trPr>
          <w:trHeight w:val="216"/>
        </w:trPr>
        <w:tc>
          <w:tcPr>
            <w:tcW w:w="2300" w:type="dxa"/>
            <w:vAlign w:val="bottom"/>
          </w:tcPr>
          <w:p>
            <w:pPr>
              <w:spacing w:after="0"/>
              <w:rPr>
                <w:sz w:val="18"/>
                <w:szCs w:val="18"/>
                <w:color w:val="auto"/>
              </w:rPr>
            </w:pPr>
          </w:p>
        </w:tc>
        <w:tc>
          <w:tcPr>
            <w:tcW w:w="3240" w:type="dxa"/>
            <w:vAlign w:val="bottom"/>
            <w:shd w:val="clear" w:color="auto" w:fill="CCEEFF"/>
          </w:tcPr>
          <w:p>
            <w:pPr>
              <w:jc w:val="center"/>
              <w:ind w:left="2390"/>
              <w:spacing w:after="0"/>
              <w:rPr>
                <w:sz w:val="20"/>
                <w:szCs w:val="20"/>
                <w:color w:val="auto"/>
              </w:rPr>
            </w:pPr>
            <w:r>
              <w:rPr>
                <w:rFonts w:ascii="Arial" w:cs="Arial" w:eastAsia="Arial" w:hAnsi="Arial"/>
                <w:sz w:val="18"/>
                <w:szCs w:val="18"/>
                <w:color w:val="auto"/>
                <w:w w:val="89"/>
              </w:rPr>
              <w:t>2022</w:t>
            </w:r>
          </w:p>
        </w:tc>
        <w:tc>
          <w:tcPr>
            <w:tcW w:w="36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10,050</w:t>
            </w:r>
          </w:p>
        </w:tc>
        <w:tc>
          <w:tcPr>
            <w:tcW w:w="2280" w:type="dxa"/>
            <w:vAlign w:val="bottom"/>
          </w:tcPr>
          <w:p>
            <w:pPr>
              <w:spacing w:after="0"/>
              <w:rPr>
                <w:sz w:val="18"/>
                <w:szCs w:val="18"/>
                <w:color w:val="auto"/>
              </w:rPr>
            </w:pPr>
          </w:p>
        </w:tc>
      </w:tr>
      <w:tr>
        <w:trPr>
          <w:trHeight w:val="230"/>
        </w:trPr>
        <w:tc>
          <w:tcPr>
            <w:tcW w:w="2300" w:type="dxa"/>
            <w:vAlign w:val="bottom"/>
          </w:tcPr>
          <w:p>
            <w:pPr>
              <w:spacing w:after="0"/>
              <w:rPr>
                <w:sz w:val="19"/>
                <w:szCs w:val="19"/>
                <w:color w:val="auto"/>
              </w:rPr>
            </w:pPr>
          </w:p>
        </w:tc>
        <w:tc>
          <w:tcPr>
            <w:tcW w:w="3240" w:type="dxa"/>
            <w:vAlign w:val="bottom"/>
          </w:tcPr>
          <w:p>
            <w:pPr>
              <w:jc w:val="center"/>
              <w:ind w:left="2390"/>
              <w:spacing w:after="0"/>
              <w:rPr>
                <w:sz w:val="20"/>
                <w:szCs w:val="20"/>
                <w:color w:val="auto"/>
              </w:rPr>
            </w:pPr>
            <w:r>
              <w:rPr>
                <w:rFonts w:ascii="Arial" w:cs="Arial" w:eastAsia="Arial" w:hAnsi="Arial"/>
                <w:sz w:val="18"/>
                <w:szCs w:val="18"/>
                <w:color w:val="auto"/>
                <w:w w:val="89"/>
              </w:rPr>
              <w:t>2024</w:t>
            </w:r>
          </w:p>
        </w:tc>
        <w:tc>
          <w:tcPr>
            <w:tcW w:w="3600" w:type="dxa"/>
            <w:vAlign w:val="bottom"/>
            <w:gridSpan w:val="2"/>
          </w:tcPr>
          <w:p>
            <w:pPr>
              <w:jc w:val="right"/>
              <w:spacing w:after="0"/>
              <w:rPr>
                <w:sz w:val="20"/>
                <w:szCs w:val="20"/>
                <w:color w:val="auto"/>
              </w:rPr>
            </w:pPr>
            <w:r>
              <w:rPr>
                <w:rFonts w:ascii="Arial" w:cs="Arial" w:eastAsia="Arial" w:hAnsi="Arial"/>
                <w:sz w:val="18"/>
                <w:szCs w:val="18"/>
                <w:color w:val="auto"/>
              </w:rPr>
              <w:t>60,178</w:t>
            </w:r>
          </w:p>
        </w:tc>
        <w:tc>
          <w:tcPr>
            <w:tcW w:w="2280" w:type="dxa"/>
            <w:vAlign w:val="bottom"/>
          </w:tcPr>
          <w:p>
            <w:pPr>
              <w:spacing w:after="0"/>
              <w:rPr>
                <w:sz w:val="19"/>
                <w:szCs w:val="19"/>
                <w:color w:val="auto"/>
              </w:rPr>
            </w:pPr>
          </w:p>
        </w:tc>
      </w:tr>
      <w:tr>
        <w:trPr>
          <w:trHeight w:val="223"/>
        </w:trPr>
        <w:tc>
          <w:tcPr>
            <w:tcW w:w="2300" w:type="dxa"/>
            <w:vAlign w:val="bottom"/>
          </w:tcPr>
          <w:p>
            <w:pPr>
              <w:spacing w:after="0"/>
              <w:rPr>
                <w:sz w:val="19"/>
                <w:szCs w:val="19"/>
                <w:color w:val="auto"/>
              </w:rPr>
            </w:pPr>
          </w:p>
        </w:tc>
        <w:tc>
          <w:tcPr>
            <w:tcW w:w="3240" w:type="dxa"/>
            <w:vAlign w:val="bottom"/>
            <w:tcBorders>
              <w:top w:val="single" w:sz="8" w:color="CCEEFF"/>
              <w:bottom w:val="single" w:sz="8" w:color="CCEEFF"/>
            </w:tcBorders>
            <w:shd w:val="clear" w:color="auto" w:fill="CCEEFF"/>
          </w:tcPr>
          <w:p>
            <w:pPr>
              <w:spacing w:after="0"/>
              <w:rPr>
                <w:sz w:val="19"/>
                <w:szCs w:val="19"/>
                <w:color w:val="auto"/>
              </w:rPr>
            </w:pPr>
          </w:p>
        </w:tc>
        <w:tc>
          <w:tcPr>
            <w:tcW w:w="258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1,143,055</w:t>
            </w:r>
          </w:p>
        </w:tc>
        <w:tc>
          <w:tcPr>
            <w:tcW w:w="2280" w:type="dxa"/>
            <w:vAlign w:val="bottom"/>
          </w:tcPr>
          <w:p>
            <w:pPr>
              <w:spacing w:after="0"/>
              <w:rPr>
                <w:sz w:val="19"/>
                <w:szCs w:val="19"/>
                <w:color w:val="auto"/>
              </w:rPr>
            </w:pPr>
          </w:p>
        </w:tc>
      </w:tr>
      <w:tr>
        <w:trPr>
          <w:trHeight w:val="20"/>
        </w:trPr>
        <w:tc>
          <w:tcPr>
            <w:tcW w:w="230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25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r>
      <w:tr>
        <w:trPr>
          <w:trHeight w:val="413"/>
        </w:trPr>
        <w:tc>
          <w:tcPr>
            <w:tcW w:w="230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tcPr>
          <w:p>
            <w:pPr>
              <w:spacing w:after="0"/>
              <w:rPr>
                <w:sz w:val="24"/>
                <w:szCs w:val="24"/>
                <w:color w:val="auto"/>
              </w:rPr>
            </w:pPr>
          </w:p>
        </w:tc>
        <w:tc>
          <w:tcPr>
            <w:tcW w:w="3600" w:type="dxa"/>
            <w:vAlign w:val="bottom"/>
            <w:tcBorders>
              <w:bottom w:val="single" w:sz="8" w:color="auto"/>
            </w:tcBorders>
            <w:gridSpan w:val="2"/>
          </w:tcPr>
          <w:p>
            <w:pPr>
              <w:jc w:val="right"/>
              <w:ind w:right="3150"/>
              <w:spacing w:after="0"/>
              <w:rPr>
                <w:sz w:val="20"/>
                <w:szCs w:val="20"/>
                <w:color w:val="auto"/>
              </w:rPr>
            </w:pPr>
            <w:r>
              <w:rPr>
                <w:rFonts w:ascii="Arial" w:cs="Arial" w:eastAsia="Arial" w:hAnsi="Arial"/>
                <w:sz w:val="18"/>
                <w:szCs w:val="18"/>
                <w:color w:val="auto"/>
                <w:w w:val="91"/>
              </w:rPr>
              <w:t>F-70</w:t>
            </w:r>
          </w:p>
        </w:tc>
        <w:tc>
          <w:tcPr>
            <w:tcW w:w="2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8" w:right="239" w:bottom="1440" w:gutter="0" w:footer="0" w:header="0"/>
        </w:sectPr>
      </w:pPr>
    </w:p>
    <w:bookmarkStart w:id="192" w:name="page193"/>
    <w:bookmarkEnd w:id="19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8280" w:type="dxa"/>
            <w:vAlign w:val="bottom"/>
            <w:gridSpan w:val="2"/>
          </w:tcPr>
          <w:p>
            <w:pPr>
              <w:ind w:left="120"/>
              <w:spacing w:after="0"/>
              <w:rPr>
                <w:sz w:val="20"/>
                <w:szCs w:val="20"/>
                <w:color w:val="auto"/>
              </w:rPr>
            </w:pPr>
            <w:r>
              <w:rPr>
                <w:rFonts w:ascii="Arial" w:cs="Arial" w:eastAsia="Arial" w:hAnsi="Arial"/>
                <w:sz w:val="18"/>
                <w:szCs w:val="18"/>
                <w:b w:val="1"/>
                <w:bCs w:val="1"/>
                <w:color w:val="auto"/>
              </w:rPr>
              <w:t>13. Other liabilities</w:t>
            </w:r>
          </w:p>
        </w:tc>
        <w:tc>
          <w:tcPr>
            <w:tcW w:w="1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8280" w:type="dxa"/>
            <w:vAlign w:val="bottom"/>
            <w:gridSpan w:val="2"/>
          </w:tcPr>
          <w:p>
            <w:pPr>
              <w:spacing w:after="0"/>
              <w:rPr>
                <w:sz w:val="20"/>
                <w:szCs w:val="20"/>
                <w:color w:val="auto"/>
              </w:rPr>
            </w:pPr>
            <w:r>
              <w:rPr>
                <w:rFonts w:ascii="Arial" w:cs="Arial" w:eastAsia="Arial" w:hAnsi="Arial"/>
                <w:sz w:val="18"/>
                <w:szCs w:val="18"/>
                <w:color w:val="auto"/>
              </w:rPr>
              <w:t>Following is a summary of other liabilities:</w:t>
            </w:r>
          </w:p>
        </w:tc>
        <w:tc>
          <w:tcPr>
            <w:tcW w:w="1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14"/>
        </w:trPr>
        <w:tc>
          <w:tcPr>
            <w:tcW w:w="320" w:type="dxa"/>
            <w:vAlign w:val="bottom"/>
          </w:tcPr>
          <w:p>
            <w:pPr>
              <w:spacing w:after="0"/>
              <w:rPr>
                <w:sz w:val="24"/>
                <w:szCs w:val="24"/>
                <w:color w:val="auto"/>
              </w:rPr>
            </w:pPr>
          </w:p>
        </w:tc>
        <w:tc>
          <w:tcPr>
            <w:tcW w:w="7960" w:type="dxa"/>
            <w:vAlign w:val="bottom"/>
          </w:tcPr>
          <w:p>
            <w:pPr>
              <w:spacing w:after="0"/>
              <w:rPr>
                <w:sz w:val="24"/>
                <w:szCs w:val="24"/>
                <w:color w:val="auto"/>
              </w:rPr>
            </w:pPr>
          </w:p>
        </w:tc>
        <w:tc>
          <w:tcPr>
            <w:tcW w:w="138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c>
          <w:tcPr>
            <w:tcW w:w="1260" w:type="dxa"/>
            <w:vAlign w:val="bottom"/>
            <w:gridSpan w:val="3"/>
          </w:tcPr>
          <w:p>
            <w:pPr>
              <w:ind w:left="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320" w:type="dxa"/>
            <w:vAlign w:val="bottom"/>
          </w:tcPr>
          <w:p>
            <w:pPr>
              <w:spacing w:after="0"/>
              <w:rPr>
                <w:sz w:val="20"/>
                <w:szCs w:val="20"/>
                <w:color w:val="auto"/>
              </w:rPr>
            </w:pPr>
          </w:p>
        </w:tc>
        <w:tc>
          <w:tcPr>
            <w:tcW w:w="796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2016</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320" w:type="dxa"/>
            <w:vAlign w:val="bottom"/>
          </w:tcPr>
          <w:p>
            <w:pPr>
              <w:spacing w:after="0"/>
              <w:rPr>
                <w:sz w:val="18"/>
                <w:szCs w:val="18"/>
                <w:color w:val="auto"/>
              </w:rPr>
            </w:pPr>
          </w:p>
        </w:tc>
        <w:tc>
          <w:tcPr>
            <w:tcW w:w="7960" w:type="dxa"/>
            <w:vAlign w:val="bottom"/>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8,018</w:t>
            </w: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4,170</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20" w:type="dxa"/>
            <w:vAlign w:val="bottom"/>
          </w:tcPr>
          <w:p>
            <w:pPr>
              <w:spacing w:after="0"/>
              <w:rPr>
                <w:sz w:val="18"/>
                <w:szCs w:val="18"/>
                <w:color w:val="auto"/>
              </w:rPr>
            </w:pPr>
          </w:p>
        </w:tc>
        <w:tc>
          <w:tcPr>
            <w:tcW w:w="7960" w:type="dxa"/>
            <w:vAlign w:val="bottom"/>
          </w:tcPr>
          <w:p>
            <w:pPr>
              <w:spacing w:after="0"/>
              <w:rPr>
                <w:sz w:val="20"/>
                <w:szCs w:val="20"/>
                <w:color w:val="auto"/>
              </w:rPr>
            </w:pPr>
            <w:r>
              <w:rPr>
                <w:rFonts w:ascii="Arial" w:cs="Arial" w:eastAsia="Arial" w:hAnsi="Arial"/>
                <w:sz w:val="18"/>
                <w:szCs w:val="18"/>
                <w:color w:val="auto"/>
              </w:rPr>
              <w:t>Accounts payable</w:t>
            </w:r>
          </w:p>
        </w:tc>
        <w:tc>
          <w:tcPr>
            <w:tcW w:w="1160" w:type="dxa"/>
            <w:vAlign w:val="bottom"/>
          </w:tcPr>
          <w:p>
            <w:pPr>
              <w:jc w:val="right"/>
              <w:spacing w:after="0"/>
              <w:rPr>
                <w:sz w:val="20"/>
                <w:szCs w:val="20"/>
                <w:color w:val="auto"/>
              </w:rPr>
            </w:pPr>
            <w:r>
              <w:rPr>
                <w:rFonts w:ascii="Arial" w:cs="Arial" w:eastAsia="Arial" w:hAnsi="Arial"/>
                <w:sz w:val="18"/>
                <w:szCs w:val="18"/>
                <w:color w:val="auto"/>
              </w:rPr>
              <w:t>9,307</w:t>
            </w:r>
          </w:p>
        </w:tc>
        <w:tc>
          <w:tcPr>
            <w:tcW w:w="22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11,179</w:t>
            </w:r>
          </w:p>
        </w:tc>
        <w:tc>
          <w:tcPr>
            <w:tcW w:w="80" w:type="dxa"/>
            <w:vAlign w:val="bottom"/>
          </w:tcPr>
          <w:p>
            <w:pPr>
              <w:spacing w:after="0"/>
              <w:rPr>
                <w:sz w:val="18"/>
                <w:szCs w:val="18"/>
                <w:color w:val="auto"/>
              </w:rPr>
            </w:pPr>
          </w:p>
        </w:tc>
      </w:tr>
      <w:tr>
        <w:trPr>
          <w:trHeight w:val="230"/>
        </w:trPr>
        <w:tc>
          <w:tcPr>
            <w:tcW w:w="320" w:type="dxa"/>
            <w:vAlign w:val="bottom"/>
          </w:tcPr>
          <w:p>
            <w:pPr>
              <w:spacing w:after="0"/>
              <w:rPr>
                <w:sz w:val="19"/>
                <w:szCs w:val="19"/>
                <w:color w:val="auto"/>
              </w:rPr>
            </w:pPr>
          </w:p>
        </w:tc>
        <w:tc>
          <w:tcPr>
            <w:tcW w:w="796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3,226</w:t>
            </w:r>
          </w:p>
        </w:tc>
        <w:tc>
          <w:tcPr>
            <w:tcW w:w="2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2,979</w:t>
            </w:r>
          </w:p>
        </w:tc>
        <w:tc>
          <w:tcPr>
            <w:tcW w:w="80" w:type="dxa"/>
            <w:vAlign w:val="bottom"/>
            <w:shd w:val="clear" w:color="auto" w:fill="CCEEFF"/>
          </w:tcPr>
          <w:p>
            <w:pPr>
              <w:spacing w:after="0"/>
              <w:rPr>
                <w:sz w:val="19"/>
                <w:szCs w:val="19"/>
                <w:color w:val="auto"/>
              </w:rPr>
            </w:pPr>
          </w:p>
        </w:tc>
      </w:tr>
      <w:tr>
        <w:trPr>
          <w:trHeight w:val="223"/>
        </w:trPr>
        <w:tc>
          <w:tcPr>
            <w:tcW w:w="320" w:type="dxa"/>
            <w:vAlign w:val="bottom"/>
          </w:tcPr>
          <w:p>
            <w:pPr>
              <w:spacing w:after="0"/>
              <w:rPr>
                <w:sz w:val="19"/>
                <w:szCs w:val="19"/>
                <w:color w:val="auto"/>
              </w:rPr>
            </w:pPr>
          </w:p>
        </w:tc>
        <w:tc>
          <w:tcPr>
            <w:tcW w:w="796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20,551</w:t>
            </w:r>
          </w:p>
        </w:tc>
        <w:tc>
          <w:tcPr>
            <w:tcW w:w="22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18,328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20" w:type="dxa"/>
            <w:vAlign w:val="bottom"/>
          </w:tcPr>
          <w:p>
            <w:pPr>
              <w:spacing w:after="0" w:line="20" w:lineRule="exact"/>
              <w:rPr>
                <w:sz w:val="1"/>
                <w:szCs w:val="1"/>
                <w:color w:val="auto"/>
              </w:rPr>
            </w:pPr>
          </w:p>
        </w:tc>
        <w:tc>
          <w:tcPr>
            <w:tcW w:w="79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400"/>
        <w:spacing w:after="0"/>
        <w:rPr>
          <w:sz w:val="20"/>
          <w:szCs w:val="20"/>
          <w:color w:val="auto"/>
        </w:rPr>
      </w:pPr>
      <w:r>
        <w:rPr>
          <w:rFonts w:ascii="Arial" w:cs="Arial" w:eastAsia="Arial" w:hAnsi="Arial"/>
          <w:sz w:val="18"/>
          <w:szCs w:val="18"/>
          <w:b w:val="1"/>
          <w:bCs w:val="1"/>
          <w:color w:val="auto"/>
        </w:rPr>
        <w:t>14. Earnings per share</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a reconciliation of the income and share data used in the basic and diluted earnings per share (“EPS”) computations for the dates indicated: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60" w:type="dxa"/>
            <w:vAlign w:val="bottom"/>
          </w:tcPr>
          <w:p>
            <w:pPr>
              <w:spacing w:after="0"/>
              <w:rPr>
                <w:sz w:val="18"/>
                <w:szCs w:val="18"/>
                <w:color w:val="auto"/>
              </w:rPr>
            </w:pPr>
          </w:p>
        </w:tc>
        <w:tc>
          <w:tcPr>
            <w:tcW w:w="6580" w:type="dxa"/>
            <w:vAlign w:val="bottom"/>
          </w:tcPr>
          <w:p>
            <w:pPr>
              <w:spacing w:after="0"/>
              <w:rPr>
                <w:sz w:val="18"/>
                <w:szCs w:val="18"/>
                <w:color w:val="auto"/>
              </w:rPr>
            </w:pPr>
          </w:p>
        </w:tc>
        <w:tc>
          <w:tcPr>
            <w:tcW w:w="13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2"/>
              </w:rPr>
              <w:t>December 31,</w:t>
            </w:r>
          </w:p>
        </w:tc>
        <w:tc>
          <w:tcPr>
            <w:tcW w:w="140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w w:val="92"/>
              </w:rPr>
              <w:t>December 31,</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660" w:type="dxa"/>
            <w:vAlign w:val="bottom"/>
          </w:tcPr>
          <w:p>
            <w:pPr>
              <w:spacing w:after="0"/>
              <w:rPr>
                <w:sz w:val="20"/>
                <w:szCs w:val="20"/>
                <w:color w:val="auto"/>
              </w:rPr>
            </w:pPr>
          </w:p>
        </w:tc>
        <w:tc>
          <w:tcPr>
            <w:tcW w:w="658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6580" w:type="dxa"/>
            <w:vAlign w:val="bottom"/>
            <w:shd w:val="clear" w:color="auto" w:fill="CCEEFF"/>
          </w:tcPr>
          <w:p>
            <w:pPr>
              <w:spacing w:after="0"/>
              <w:rPr>
                <w:sz w:val="20"/>
                <w:szCs w:val="20"/>
                <w:color w:val="auto"/>
              </w:rPr>
            </w:pPr>
            <w:r>
              <w:rPr>
                <w:rFonts w:ascii="Arial" w:cs="Arial" w:eastAsia="Arial" w:hAnsi="Arial"/>
                <w:sz w:val="18"/>
                <w:szCs w:val="18"/>
                <w:i w:val="1"/>
                <w:iCs w:val="1"/>
                <w:color w:val="auto"/>
              </w:rPr>
              <w:t>(Thousands of U.S. dollars)</w:t>
            </w: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6580" w:type="dxa"/>
            <w:vAlign w:val="bottom"/>
          </w:tcPr>
          <w:p>
            <w:pPr>
              <w:spacing w:after="0"/>
              <w:rPr>
                <w:sz w:val="20"/>
                <w:szCs w:val="20"/>
                <w:color w:val="auto"/>
              </w:rPr>
            </w:pPr>
            <w:r>
              <w:rPr>
                <w:rFonts w:ascii="Arial" w:cs="Arial" w:eastAsia="Arial" w:hAnsi="Arial"/>
                <w:sz w:val="18"/>
                <w:szCs w:val="18"/>
                <w:color w:val="auto"/>
              </w:rPr>
              <w:t>Profit for the year</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81,999</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87,045</w:t>
            </w:r>
          </w:p>
        </w:tc>
        <w:tc>
          <w:tcPr>
            <w:tcW w:w="1240" w:type="dxa"/>
            <w:vAlign w:val="bottom"/>
            <w:gridSpan w:val="2"/>
          </w:tcPr>
          <w:p>
            <w:pPr>
              <w:jc w:val="right"/>
              <w:ind w:right="100"/>
              <w:spacing w:after="0"/>
              <w:rPr>
                <w:sz w:val="20"/>
                <w:szCs w:val="20"/>
                <w:color w:val="auto"/>
              </w:rPr>
            </w:pPr>
            <w:r>
              <w:rPr>
                <w:rFonts w:ascii="Arial" w:cs="Arial" w:eastAsia="Arial" w:hAnsi="Arial"/>
                <w:sz w:val="18"/>
                <w:szCs w:val="18"/>
                <w:color w:val="auto"/>
              </w:rPr>
              <w:t>103,984</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vMerge w:val="restart"/>
          </w:tcPr>
          <w:p>
            <w:pPr>
              <w:spacing w:after="0"/>
              <w:rPr>
                <w:sz w:val="18"/>
                <w:szCs w:val="18"/>
                <w:color w:val="auto"/>
              </w:rPr>
            </w:pPr>
          </w:p>
        </w:tc>
        <w:tc>
          <w:tcPr>
            <w:tcW w:w="65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continue"/>
          </w:tcPr>
          <w:p>
            <w:pPr>
              <w:spacing w:after="0"/>
              <w:rPr>
                <w:sz w:val="18"/>
                <w:szCs w:val="18"/>
                <w:color w:val="auto"/>
              </w:rPr>
            </w:pPr>
          </w:p>
        </w:tc>
        <w:tc>
          <w:tcPr>
            <w:tcW w:w="6580" w:type="dxa"/>
            <w:vAlign w:val="bottom"/>
          </w:tcPr>
          <w:p>
            <w:pPr>
              <w:spacing w:after="0"/>
              <w:rPr>
                <w:sz w:val="20"/>
                <w:szCs w:val="20"/>
                <w:color w:val="auto"/>
              </w:rPr>
            </w:pPr>
            <w:r>
              <w:rPr>
                <w:rFonts w:ascii="Arial" w:cs="Arial" w:eastAsia="Arial" w:hAnsi="Arial"/>
                <w:sz w:val="18"/>
                <w:szCs w:val="18"/>
                <w:color w:val="auto"/>
              </w:rPr>
              <w:t>(U.S. dollars)</w:t>
            </w: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658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2.23</w:t>
            </w: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2.67</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65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Diluted earnings per share</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2.08</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2.22</w:t>
            </w:r>
          </w:p>
        </w:tc>
        <w:tc>
          <w:tcPr>
            <w:tcW w:w="22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2.66</w:t>
            </w:r>
          </w:p>
        </w:tc>
        <w:tc>
          <w:tcPr>
            <w:tcW w:w="100" w:type="dxa"/>
            <w:vAlign w:val="bottom"/>
            <w:tcBorders>
              <w:bottom w:val="single" w:sz="8" w:color="CCEEFF"/>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60" w:type="dxa"/>
            <w:vAlign w:val="bottom"/>
            <w:vMerge w:val="restart"/>
          </w:tcPr>
          <w:p>
            <w:pPr>
              <w:spacing w:after="0"/>
              <w:rPr>
                <w:sz w:val="18"/>
                <w:szCs w:val="18"/>
                <w:color w:val="auto"/>
              </w:rPr>
            </w:pPr>
          </w:p>
        </w:tc>
        <w:tc>
          <w:tcPr>
            <w:tcW w:w="658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continue"/>
          </w:tcPr>
          <w:p>
            <w:pPr>
              <w:spacing w:after="0"/>
              <w:rPr>
                <w:sz w:val="18"/>
                <w:szCs w:val="18"/>
                <w:color w:val="auto"/>
              </w:rPr>
            </w:pPr>
          </w:p>
        </w:tc>
        <w:tc>
          <w:tcPr>
            <w:tcW w:w="6580" w:type="dxa"/>
            <w:vAlign w:val="bottom"/>
          </w:tcPr>
          <w:p>
            <w:pPr>
              <w:spacing w:after="0"/>
              <w:rPr>
                <w:sz w:val="20"/>
                <w:szCs w:val="20"/>
                <w:color w:val="auto"/>
              </w:rPr>
            </w:pPr>
            <w:r>
              <w:rPr>
                <w:rFonts w:ascii="Arial" w:cs="Arial" w:eastAsia="Arial" w:hAnsi="Arial"/>
                <w:sz w:val="18"/>
                <w:szCs w:val="18"/>
                <w:i w:val="1"/>
                <w:iCs w:val="1"/>
                <w:color w:val="auto"/>
              </w:rPr>
              <w:t>(Share units)</w:t>
            </w: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658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common shares outstanding - applicable to basic</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39,311</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39,085</w:t>
            </w: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38,925</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restart"/>
          </w:tcPr>
          <w:p>
            <w:pPr>
              <w:spacing w:after="0"/>
              <w:rPr>
                <w:sz w:val="18"/>
                <w:szCs w:val="18"/>
                <w:color w:val="auto"/>
              </w:rPr>
            </w:pPr>
          </w:p>
        </w:tc>
        <w:tc>
          <w:tcPr>
            <w:tcW w:w="65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continue"/>
          </w:tcPr>
          <w:p>
            <w:pPr>
              <w:spacing w:after="0"/>
              <w:rPr>
                <w:sz w:val="18"/>
                <w:szCs w:val="18"/>
                <w:color w:val="auto"/>
              </w:rPr>
            </w:pPr>
          </w:p>
        </w:tc>
        <w:tc>
          <w:tcPr>
            <w:tcW w:w="6580" w:type="dxa"/>
            <w:vAlign w:val="bottom"/>
            <w:shd w:val="clear" w:color="auto" w:fill="CCEEFF"/>
          </w:tcPr>
          <w:p>
            <w:pPr>
              <w:spacing w:after="0"/>
              <w:rPr>
                <w:sz w:val="20"/>
                <w:szCs w:val="20"/>
                <w:color w:val="auto"/>
              </w:rPr>
            </w:pPr>
            <w:r>
              <w:rPr>
                <w:rFonts w:ascii="Arial" w:cs="Arial" w:eastAsia="Arial" w:hAnsi="Arial"/>
                <w:sz w:val="18"/>
                <w:szCs w:val="18"/>
                <w:color w:val="auto"/>
              </w:rPr>
              <w:t>Effect of diluted securities:</w:t>
            </w: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6580" w:type="dxa"/>
            <w:vAlign w:val="bottom"/>
          </w:tcPr>
          <w:p>
            <w:pPr>
              <w:spacing w:after="0"/>
              <w:rPr>
                <w:sz w:val="20"/>
                <w:szCs w:val="20"/>
                <w:color w:val="auto"/>
              </w:rPr>
            </w:pPr>
            <w:r>
              <w:rPr>
                <w:rFonts w:ascii="Arial" w:cs="Arial" w:eastAsia="Arial" w:hAnsi="Arial"/>
                <w:sz w:val="18"/>
                <w:szCs w:val="18"/>
                <w:color w:val="auto"/>
              </w:rPr>
              <w:t>Stock options and restricted stock units plans</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18</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125</w:t>
            </w:r>
          </w:p>
        </w:tc>
        <w:tc>
          <w:tcPr>
            <w:tcW w:w="1240" w:type="dxa"/>
            <w:vAlign w:val="bottom"/>
            <w:gridSpan w:val="2"/>
          </w:tcPr>
          <w:p>
            <w:pPr>
              <w:jc w:val="right"/>
              <w:ind w:right="100"/>
              <w:spacing w:after="0"/>
              <w:rPr>
                <w:sz w:val="20"/>
                <w:szCs w:val="20"/>
                <w:color w:val="auto"/>
              </w:rPr>
            </w:pPr>
            <w:r>
              <w:rPr>
                <w:rFonts w:ascii="Arial" w:cs="Arial" w:eastAsia="Arial" w:hAnsi="Arial"/>
                <w:sz w:val="18"/>
                <w:szCs w:val="18"/>
                <w:color w:val="auto"/>
              </w:rPr>
              <w:t>188</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65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Adjusted weighted average common shares outstanding applicable to diluted EPS</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39,329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39,210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39,113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6580" w:type="dxa"/>
            <w:vAlign w:val="bottom"/>
            <w:vMerge w:val="restart"/>
          </w:tcPr>
          <w:p>
            <w:pPr>
              <w:ind w:left="4900"/>
              <w:spacing w:after="0"/>
              <w:rPr>
                <w:sz w:val="20"/>
                <w:szCs w:val="20"/>
                <w:color w:val="auto"/>
              </w:rPr>
            </w:pPr>
            <w:r>
              <w:rPr>
                <w:rFonts w:ascii="Arial" w:cs="Arial" w:eastAsia="Arial" w:hAnsi="Arial"/>
                <w:sz w:val="18"/>
                <w:szCs w:val="18"/>
                <w:color w:val="auto"/>
              </w:rPr>
              <w:t>F-71</w:t>
            </w: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660" w:type="dxa"/>
            <w:vAlign w:val="bottom"/>
            <w:tcBorders>
              <w:bottom w:val="single" w:sz="8" w:color="auto"/>
            </w:tcBorders>
          </w:tcPr>
          <w:p>
            <w:pPr>
              <w:spacing w:after="0"/>
              <w:rPr>
                <w:sz w:val="24"/>
                <w:szCs w:val="24"/>
                <w:color w:val="auto"/>
              </w:rPr>
            </w:pPr>
          </w:p>
        </w:tc>
        <w:tc>
          <w:tcPr>
            <w:tcW w:w="6580" w:type="dxa"/>
            <w:vAlign w:val="bottom"/>
            <w:tcBorders>
              <w:bottom w:val="single" w:sz="8" w:color="auto"/>
            </w:tcBorders>
            <w:vMerge w:val="continue"/>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1175" w:right="239" w:bottom="1440" w:gutter="0" w:footer="0" w:header="0"/>
        </w:sectPr>
      </w:pPr>
    </w:p>
    <w:bookmarkStart w:id="193" w:name="page194"/>
    <w:bookmarkEnd w:id="19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0" w:lineRule="exact"/>
        <w:rPr>
          <w:sz w:val="20"/>
          <w:szCs w:val="20"/>
          <w:color w:val="auto"/>
        </w:rPr>
      </w:pPr>
    </w:p>
    <w:p>
      <w:pPr>
        <w:spacing w:after="0" w:line="223" w:lineRule="exact"/>
        <w:rPr>
          <w:sz w:val="20"/>
          <w:szCs w:val="20"/>
          <w:color w:val="auto"/>
        </w:rPr>
      </w:pPr>
    </w:p>
    <w:p>
      <w:pPr>
        <w:ind w:left="340" w:right="9100" w:firstLine="19"/>
        <w:spacing w:after="0" w:line="566" w:lineRule="auto"/>
        <w:tabs>
          <w:tab w:leader="none" w:pos="691" w:val="left"/>
        </w:tabs>
        <w:numPr>
          <w:ilvl w:val="0"/>
          <w:numId w:val="195"/>
        </w:numPr>
        <w:rPr>
          <w:rFonts w:ascii="Arial" w:cs="Arial" w:eastAsia="Arial" w:hAnsi="Arial"/>
          <w:sz w:val="16"/>
          <w:szCs w:val="16"/>
          <w:b w:val="1"/>
          <w:bCs w:val="1"/>
          <w:color w:val="auto"/>
        </w:rPr>
      </w:pPr>
      <w:r>
        <w:rPr>
          <w:rFonts w:ascii="Arial" w:cs="Arial" w:eastAsia="Arial" w:hAnsi="Arial"/>
          <w:sz w:val="16"/>
          <w:szCs w:val="16"/>
          <w:b w:val="1"/>
          <w:bCs w:val="1"/>
          <w:color w:val="auto"/>
        </w:rPr>
        <w:t>Capital and Reserves 15.1 Common stock</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Bank’s common stock is divided into four categories:</w:t>
      </w:r>
    </w:p>
    <w:p>
      <w:pPr>
        <w:spacing w:after="0" w:line="225" w:lineRule="exact"/>
        <w:rPr>
          <w:sz w:val="20"/>
          <w:szCs w:val="20"/>
          <w:color w:val="auto"/>
        </w:rPr>
      </w:pPr>
    </w:p>
    <w:p>
      <w:pPr>
        <w:ind w:left="1220" w:right="20" w:hanging="321"/>
        <w:spacing w:after="0" w:line="258" w:lineRule="auto"/>
        <w:tabs>
          <w:tab w:leader="none" w:pos="1220" w:val="left"/>
        </w:tabs>
        <w:numPr>
          <w:ilvl w:val="0"/>
          <w:numId w:val="196"/>
        </w:numPr>
        <w:rPr>
          <w:rFonts w:ascii="Arial" w:cs="Arial" w:eastAsia="Arial" w:hAnsi="Arial"/>
          <w:sz w:val="18"/>
          <w:szCs w:val="18"/>
          <w:color w:val="auto"/>
        </w:rPr>
      </w:pPr>
      <w:r>
        <w:rPr>
          <w:rFonts w:ascii="Arial" w:cs="Arial" w:eastAsia="Arial" w:hAnsi="Arial"/>
          <w:sz w:val="18"/>
          <w:szCs w:val="18"/>
          <w:color w:val="auto"/>
        </w:rPr>
        <w:t>“Class A”; shares may only be issued to Latin American Central Banks or banks in which the state or other government agency is the majority shareholder.</w:t>
      </w:r>
    </w:p>
    <w:p>
      <w:pPr>
        <w:spacing w:after="0" w:line="1" w:lineRule="exact"/>
        <w:rPr>
          <w:rFonts w:ascii="Arial" w:cs="Arial" w:eastAsia="Arial" w:hAnsi="Arial"/>
          <w:sz w:val="18"/>
          <w:szCs w:val="18"/>
          <w:color w:val="auto"/>
        </w:rPr>
      </w:pPr>
    </w:p>
    <w:p>
      <w:pPr>
        <w:ind w:left="1220" w:hanging="321"/>
        <w:spacing w:after="0"/>
        <w:tabs>
          <w:tab w:leader="none" w:pos="1220" w:val="left"/>
        </w:tabs>
        <w:numPr>
          <w:ilvl w:val="0"/>
          <w:numId w:val="196"/>
        </w:numPr>
        <w:rPr>
          <w:rFonts w:ascii="Arial" w:cs="Arial" w:eastAsia="Arial" w:hAnsi="Arial"/>
          <w:sz w:val="18"/>
          <w:szCs w:val="18"/>
          <w:color w:val="auto"/>
        </w:rPr>
      </w:pPr>
      <w:r>
        <w:rPr>
          <w:rFonts w:ascii="Arial" w:cs="Arial" w:eastAsia="Arial" w:hAnsi="Arial"/>
          <w:sz w:val="18"/>
          <w:szCs w:val="18"/>
          <w:color w:val="auto"/>
        </w:rPr>
        <w:t>“Class B”; shares may only be issued to banks or financial institutions.</w:t>
      </w:r>
    </w:p>
    <w:p>
      <w:pPr>
        <w:spacing w:after="0" w:line="9" w:lineRule="exact"/>
        <w:rPr>
          <w:rFonts w:ascii="Arial" w:cs="Arial" w:eastAsia="Arial" w:hAnsi="Arial"/>
          <w:sz w:val="18"/>
          <w:szCs w:val="18"/>
          <w:color w:val="auto"/>
        </w:rPr>
      </w:pPr>
    </w:p>
    <w:p>
      <w:pPr>
        <w:ind w:left="1220" w:hanging="321"/>
        <w:spacing w:after="0"/>
        <w:tabs>
          <w:tab w:leader="none" w:pos="1220" w:val="left"/>
        </w:tabs>
        <w:numPr>
          <w:ilvl w:val="0"/>
          <w:numId w:val="196"/>
        </w:numPr>
        <w:rPr>
          <w:rFonts w:ascii="Arial" w:cs="Arial" w:eastAsia="Arial" w:hAnsi="Arial"/>
          <w:sz w:val="18"/>
          <w:szCs w:val="18"/>
          <w:color w:val="auto"/>
        </w:rPr>
      </w:pPr>
      <w:r>
        <w:rPr>
          <w:rFonts w:ascii="Arial" w:cs="Arial" w:eastAsia="Arial" w:hAnsi="Arial"/>
          <w:sz w:val="18"/>
          <w:szCs w:val="18"/>
          <w:color w:val="auto"/>
        </w:rPr>
        <w:t>“Class E”; shares may be issued to any person whether a natural person or a legal entity.</w:t>
      </w:r>
    </w:p>
    <w:p>
      <w:pPr>
        <w:spacing w:after="0" w:line="9" w:lineRule="exact"/>
        <w:rPr>
          <w:rFonts w:ascii="Arial" w:cs="Arial" w:eastAsia="Arial" w:hAnsi="Arial"/>
          <w:sz w:val="18"/>
          <w:szCs w:val="18"/>
          <w:color w:val="auto"/>
        </w:rPr>
      </w:pPr>
    </w:p>
    <w:p>
      <w:pPr>
        <w:ind w:left="1220" w:hanging="321"/>
        <w:spacing w:after="0" w:line="290" w:lineRule="auto"/>
        <w:tabs>
          <w:tab w:leader="none" w:pos="1220" w:val="left"/>
        </w:tabs>
        <w:numPr>
          <w:ilvl w:val="0"/>
          <w:numId w:val="196"/>
        </w:numPr>
        <w:rPr>
          <w:rFonts w:ascii="Arial" w:cs="Arial" w:eastAsia="Arial" w:hAnsi="Arial"/>
          <w:sz w:val="17"/>
          <w:szCs w:val="17"/>
          <w:color w:val="auto"/>
        </w:rPr>
      </w:pPr>
      <w:r>
        <w:rPr>
          <w:rFonts w:ascii="Arial" w:cs="Arial" w:eastAsia="Arial" w:hAnsi="Arial"/>
          <w:sz w:val="17"/>
          <w:szCs w:val="17"/>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6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holders of “Class B” shares have the right to convert or exchange their “Class B” shares, at any time, and without restriction, for “Class E” shares, at a rate of one-to-one.</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 provides detailed information on the Bank’s common stock activity per class for each of the periods in the three-years ended</w:t>
      </w:r>
    </w:p>
    <w:p>
      <w:pPr>
        <w:spacing w:after="0" w:line="3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December 31, 2017, 2016 and 2015:</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420" w:type="dxa"/>
            <w:vAlign w:val="bottom"/>
            <w:gridSpan w:val="2"/>
          </w:tcPr>
          <w:p>
            <w:pPr>
              <w:spacing w:after="0"/>
              <w:rPr>
                <w:sz w:val="20"/>
                <w:szCs w:val="20"/>
                <w:color w:val="auto"/>
              </w:rPr>
            </w:pPr>
            <w:r>
              <w:rPr>
                <w:rFonts w:ascii="Arial" w:cs="Arial" w:eastAsia="Arial" w:hAnsi="Arial"/>
                <w:sz w:val="18"/>
                <w:szCs w:val="18"/>
                <w:b w:val="1"/>
                <w:bCs w:val="1"/>
                <w:color w:val="auto"/>
              </w:rPr>
              <w:t>(Share units)</w:t>
            </w:r>
          </w:p>
        </w:tc>
        <w:tc>
          <w:tcPr>
            <w:tcW w:w="1160" w:type="dxa"/>
            <w:vAlign w:val="bottom"/>
          </w:tcPr>
          <w:p>
            <w:pPr>
              <w:spacing w:after="0"/>
              <w:rPr>
                <w:sz w:val="20"/>
                <w:szCs w:val="20"/>
                <w:color w:val="auto"/>
              </w:rPr>
            </w:pPr>
          </w:p>
        </w:tc>
        <w:tc>
          <w:tcPr>
            <w:tcW w:w="1120" w:type="dxa"/>
            <w:vAlign w:val="bottom"/>
            <w:gridSpan w:val="2"/>
          </w:tcPr>
          <w:p>
            <w:pPr>
              <w:ind w:left="60"/>
              <w:spacing w:after="0"/>
              <w:rPr>
                <w:sz w:val="20"/>
                <w:szCs w:val="20"/>
                <w:color w:val="auto"/>
              </w:rPr>
            </w:pPr>
            <w:r>
              <w:rPr>
                <w:rFonts w:ascii="Arial" w:cs="Arial" w:eastAsia="Arial" w:hAnsi="Arial"/>
                <w:sz w:val="18"/>
                <w:szCs w:val="18"/>
                <w:b w:val="1"/>
                <w:bCs w:val="1"/>
                <w:color w:val="auto"/>
              </w:rPr>
              <w:t>“Class A”</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7"/>
              </w:rPr>
              <w:t>“Class B”</w:t>
            </w:r>
          </w:p>
        </w:tc>
        <w:tc>
          <w:tcPr>
            <w:tcW w:w="1240" w:type="dxa"/>
            <w:vAlign w:val="bottom"/>
            <w:gridSpan w:val="2"/>
          </w:tcPr>
          <w:p>
            <w:pPr>
              <w:ind w:left="140"/>
              <w:spacing w:after="0"/>
              <w:rPr>
                <w:sz w:val="20"/>
                <w:szCs w:val="20"/>
                <w:color w:val="auto"/>
              </w:rPr>
            </w:pPr>
            <w:r>
              <w:rPr>
                <w:rFonts w:ascii="Arial" w:cs="Arial" w:eastAsia="Arial" w:hAnsi="Arial"/>
                <w:sz w:val="18"/>
                <w:szCs w:val="18"/>
                <w:b w:val="1"/>
                <w:bCs w:val="1"/>
                <w:color w:val="auto"/>
              </w:rPr>
              <w:t>“Class E”</w:t>
            </w:r>
          </w:p>
        </w:tc>
        <w:tc>
          <w:tcPr>
            <w:tcW w:w="12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“Class F”</w:t>
            </w:r>
          </w:p>
        </w:tc>
        <w:tc>
          <w:tcPr>
            <w:tcW w:w="11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Authorized</w:t>
            </w:r>
          </w:p>
        </w:tc>
        <w:tc>
          <w:tcPr>
            <w:tcW w:w="116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40,000,000</w:t>
            </w:r>
          </w:p>
        </w:tc>
        <w:tc>
          <w:tcPr>
            <w:tcW w:w="20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40,000,000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100,000,000</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100,000,000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280,000,000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4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2015</w:t>
            </w:r>
          </w:p>
        </w:tc>
        <w:tc>
          <w:tcPr>
            <w:tcW w:w="2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6,342,189</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2,479,050</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29,956,100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38,777,339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00" w:type="dxa"/>
            <w:vAlign w:val="bottom"/>
          </w:tcPr>
          <w:p>
            <w:pPr>
              <w:spacing w:after="0"/>
              <w:rPr>
                <w:sz w:val="20"/>
                <w:szCs w:val="20"/>
                <w:color w:val="auto"/>
              </w:rPr>
            </w:pPr>
            <w:r>
              <w:rPr>
                <w:rFonts w:ascii="Arial" w:cs="Arial" w:eastAsia="Arial" w:hAnsi="Arial"/>
                <w:sz w:val="18"/>
                <w:szCs w:val="18"/>
                <w:color w:val="auto"/>
              </w:rPr>
              <w:t>Conversions</w:t>
            </w:r>
          </w:p>
        </w:tc>
        <w:tc>
          <w:tcPr>
            <w:tcW w:w="22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(4,581)</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4,581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Repurchase common stock</w:t>
            </w:r>
          </w:p>
        </w:tc>
        <w:tc>
          <w:tcPr>
            <w:tcW w:w="2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00" w:type="dxa"/>
            <w:vAlign w:val="bottom"/>
          </w:tcPr>
          <w:p>
            <w:pPr>
              <w:spacing w:after="0"/>
              <w:rPr>
                <w:sz w:val="20"/>
                <w:szCs w:val="20"/>
                <w:color w:val="auto"/>
              </w:rPr>
            </w:pPr>
            <w:r>
              <w:rPr>
                <w:rFonts w:ascii="Arial" w:cs="Arial" w:eastAsia="Arial" w:hAnsi="Arial"/>
                <w:sz w:val="18"/>
                <w:szCs w:val="18"/>
                <w:color w:val="auto"/>
              </w:rPr>
              <w:t>Restricted stock issued – directors</w:t>
            </w:r>
          </w:p>
        </w:tc>
        <w:tc>
          <w:tcPr>
            <w:tcW w:w="22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57,000</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2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70,358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70,358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40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22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64,208</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64,208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December 31, 2015</w:t>
            </w:r>
          </w:p>
        </w:tc>
        <w:tc>
          <w:tcPr>
            <w:tcW w:w="116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20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2,474,469</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30,152,247</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38,968,905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4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Conversions</w:t>
            </w:r>
          </w:p>
        </w:tc>
        <w:tc>
          <w:tcPr>
            <w:tcW w:w="2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00" w:type="dxa"/>
            <w:vAlign w:val="bottom"/>
          </w:tcPr>
          <w:p>
            <w:pPr>
              <w:spacing w:after="0"/>
              <w:rPr>
                <w:sz w:val="20"/>
                <w:szCs w:val="20"/>
                <w:color w:val="auto"/>
              </w:rPr>
            </w:pPr>
            <w:r>
              <w:rPr>
                <w:rFonts w:ascii="Arial" w:cs="Arial" w:eastAsia="Arial" w:hAnsi="Arial"/>
                <w:sz w:val="18"/>
                <w:szCs w:val="18"/>
                <w:color w:val="auto"/>
              </w:rPr>
              <w:t>Restricted stock issued – directors</w:t>
            </w:r>
          </w:p>
        </w:tc>
        <w:tc>
          <w:tcPr>
            <w:tcW w:w="22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57,000</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2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68,785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68,785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40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22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65,358</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65,358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December 31, 2016</w:t>
            </w:r>
          </w:p>
        </w:tc>
        <w:tc>
          <w:tcPr>
            <w:tcW w:w="116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20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2,474,469</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30,343,390</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39,160,048</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4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Conversions</w:t>
            </w:r>
          </w:p>
        </w:tc>
        <w:tc>
          <w:tcPr>
            <w:tcW w:w="2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(64,663)</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64,663</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00" w:type="dxa"/>
            <w:vAlign w:val="bottom"/>
          </w:tcPr>
          <w:p>
            <w:pPr>
              <w:spacing w:after="0"/>
              <w:rPr>
                <w:sz w:val="20"/>
                <w:szCs w:val="20"/>
                <w:color w:val="auto"/>
              </w:rPr>
            </w:pPr>
            <w:r>
              <w:rPr>
                <w:rFonts w:ascii="Arial" w:cs="Arial" w:eastAsia="Arial" w:hAnsi="Arial"/>
                <w:sz w:val="18"/>
                <w:szCs w:val="18"/>
                <w:color w:val="auto"/>
              </w:rPr>
              <w:t>Repurchase common stock</w:t>
            </w:r>
          </w:p>
        </w:tc>
        <w:tc>
          <w:tcPr>
            <w:tcW w:w="22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(1,000)</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40"/>
              <w:spacing w:after="0"/>
              <w:rPr>
                <w:sz w:val="20"/>
                <w:szCs w:val="20"/>
                <w:color w:val="auto"/>
              </w:rPr>
            </w:pPr>
            <w:r>
              <w:rPr>
                <w:rFonts w:ascii="Arial" w:cs="Arial" w:eastAsia="Arial" w:hAnsi="Arial"/>
                <w:sz w:val="18"/>
                <w:szCs w:val="18"/>
                <w:color w:val="auto"/>
              </w:rPr>
              <w:t>(1,000)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2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57,000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00" w:type="dxa"/>
            <w:vAlign w:val="bottom"/>
          </w:tcPr>
          <w:p>
            <w:pPr>
              <w:spacing w:after="0"/>
              <w:rPr>
                <w:sz w:val="20"/>
                <w:szCs w:val="20"/>
                <w:color w:val="auto"/>
              </w:rPr>
            </w:pPr>
            <w:r>
              <w:rPr>
                <w:rFonts w:ascii="Arial" w:cs="Arial" w:eastAsia="Arial" w:hAnsi="Arial"/>
                <w:sz w:val="18"/>
                <w:szCs w:val="18"/>
                <w:color w:val="auto"/>
              </w:rPr>
              <w:t>Exercised stock options - compensation plans</w:t>
            </w:r>
          </w:p>
        </w:tc>
        <w:tc>
          <w:tcPr>
            <w:tcW w:w="22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142,268</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142,268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2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70,519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70,519</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400" w:type="dxa"/>
            <w:vAlign w:val="bottom"/>
          </w:tcPr>
          <w:p>
            <w:pPr>
              <w:spacing w:after="0"/>
              <w:rPr>
                <w:sz w:val="20"/>
                <w:szCs w:val="20"/>
                <w:color w:val="auto"/>
              </w:rPr>
            </w:pPr>
            <w:r>
              <w:rPr>
                <w:rFonts w:ascii="Arial" w:cs="Arial" w:eastAsia="Arial" w:hAnsi="Arial"/>
                <w:sz w:val="18"/>
                <w:szCs w:val="18"/>
                <w:b w:val="1"/>
                <w:bCs w:val="1"/>
                <w:color w:val="auto"/>
              </w:rPr>
              <w:t>Outstanding at December 31, 2017</w:t>
            </w:r>
          </w:p>
        </w:tc>
        <w:tc>
          <w:tcPr>
            <w:tcW w:w="116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20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2,408,806</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30,677,840</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39,428,835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0" w:type="dxa"/>
            <w:vAlign w:val="bottom"/>
          </w:tcPr>
          <w:p>
            <w:pPr>
              <w:spacing w:after="0"/>
              <w:rPr>
                <w:sz w:val="24"/>
                <w:szCs w:val="24"/>
                <w:color w:val="auto"/>
              </w:rPr>
            </w:pPr>
          </w:p>
        </w:tc>
        <w:tc>
          <w:tcPr>
            <w:tcW w:w="440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gridSpan w:val="3"/>
          </w:tcPr>
          <w:p>
            <w:pPr>
              <w:ind w:left="1140"/>
              <w:spacing w:after="0"/>
              <w:rPr>
                <w:sz w:val="20"/>
                <w:szCs w:val="20"/>
                <w:color w:val="auto"/>
              </w:rPr>
            </w:pPr>
            <w:r>
              <w:rPr>
                <w:rFonts w:ascii="Arial" w:cs="Arial" w:eastAsia="Arial" w:hAnsi="Arial"/>
                <w:sz w:val="18"/>
                <w:szCs w:val="18"/>
                <w:color w:val="auto"/>
              </w:rPr>
              <w:t>F-72</w:t>
            </w: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1148" w:right="239" w:bottom="1440" w:gutter="0" w:footer="0" w:header="0"/>
        </w:sectPr>
      </w:pPr>
    </w:p>
    <w:bookmarkStart w:id="194" w:name="page195"/>
    <w:bookmarkEnd w:id="19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40" w:hanging="316"/>
        <w:spacing w:after="0"/>
        <w:tabs>
          <w:tab w:leader="none" w:pos="540" w:val="left"/>
        </w:tabs>
        <w:numPr>
          <w:ilvl w:val="0"/>
          <w:numId w:val="197"/>
        </w:numPr>
        <w:rPr>
          <w:rFonts w:ascii="Arial" w:cs="Arial" w:eastAsia="Arial" w:hAnsi="Arial"/>
          <w:sz w:val="18"/>
          <w:szCs w:val="18"/>
          <w:b w:val="1"/>
          <w:bCs w:val="1"/>
          <w:color w:val="auto"/>
        </w:rPr>
      </w:pPr>
      <w:r>
        <w:rPr>
          <w:rFonts w:ascii="Arial" w:cs="Arial" w:eastAsia="Arial" w:hAnsi="Arial"/>
          <w:sz w:val="18"/>
          <w:szCs w:val="18"/>
          <w:b w:val="1"/>
          <w:bCs w:val="1"/>
          <w:color w:val="auto"/>
        </w:rPr>
        <w:t>Capital and Reserves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15.1 Common stock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 presents information regarding shares repurchased but not retired by the Bank and accordingly classified as treasury stock:</w:t>
      </w:r>
    </w:p>
    <w:p>
      <w:pPr>
        <w:spacing w:after="0" w:line="200" w:lineRule="exact"/>
        <w:rPr>
          <w:sz w:val="20"/>
          <w:szCs w:val="20"/>
          <w:color w:val="auto"/>
        </w:rPr>
      </w:pPr>
    </w:p>
    <w:p>
      <w:pPr>
        <w:spacing w:after="0" w:line="26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2080" w:type="dxa"/>
            <w:vAlign w:val="bottom"/>
            <w:gridSpan w:val="4"/>
          </w:tcPr>
          <w:p>
            <w:pPr>
              <w:ind w:left="540"/>
              <w:spacing w:after="0"/>
              <w:rPr>
                <w:sz w:val="20"/>
                <w:szCs w:val="20"/>
                <w:color w:val="auto"/>
              </w:rPr>
            </w:pPr>
            <w:r>
              <w:rPr>
                <w:rFonts w:ascii="Arial" w:cs="Arial" w:eastAsia="Arial" w:hAnsi="Arial"/>
                <w:sz w:val="18"/>
                <w:szCs w:val="18"/>
                <w:b w:val="1"/>
                <w:bCs w:val="1"/>
                <w:color w:val="auto"/>
              </w:rPr>
              <w:t>“Class A”</w:t>
            </w:r>
          </w:p>
        </w:tc>
        <w:tc>
          <w:tcPr>
            <w:tcW w:w="2000" w:type="dxa"/>
            <w:vAlign w:val="bottom"/>
            <w:gridSpan w:val="4"/>
          </w:tcPr>
          <w:p>
            <w:pPr>
              <w:jc w:val="right"/>
              <w:ind w:right="720"/>
              <w:spacing w:after="0"/>
              <w:rPr>
                <w:sz w:val="20"/>
                <w:szCs w:val="20"/>
                <w:color w:val="auto"/>
              </w:rPr>
            </w:pPr>
            <w:r>
              <w:rPr>
                <w:rFonts w:ascii="Arial" w:cs="Arial" w:eastAsia="Arial" w:hAnsi="Arial"/>
                <w:sz w:val="18"/>
                <w:szCs w:val="18"/>
                <w:b w:val="1"/>
                <w:bCs w:val="1"/>
                <w:color w:val="auto"/>
              </w:rPr>
              <w:t>“Class B”</w:t>
            </w:r>
          </w:p>
        </w:tc>
        <w:tc>
          <w:tcPr>
            <w:tcW w:w="2060" w:type="dxa"/>
            <w:vAlign w:val="bottom"/>
            <w:gridSpan w:val="4"/>
          </w:tcPr>
          <w:p>
            <w:pPr>
              <w:jc w:val="right"/>
              <w:ind w:right="760"/>
              <w:spacing w:after="0"/>
              <w:rPr>
                <w:sz w:val="20"/>
                <w:szCs w:val="20"/>
                <w:color w:val="auto"/>
              </w:rPr>
            </w:pPr>
            <w:r>
              <w:rPr>
                <w:rFonts w:ascii="Arial" w:cs="Arial" w:eastAsia="Arial" w:hAnsi="Arial"/>
                <w:sz w:val="18"/>
                <w:szCs w:val="18"/>
                <w:b w:val="1"/>
                <w:bCs w:val="1"/>
                <w:color w:val="auto"/>
              </w:rPr>
              <w:t>“Class E”</w:t>
            </w:r>
          </w:p>
        </w:tc>
        <w:tc>
          <w:tcPr>
            <w:tcW w:w="1120" w:type="dxa"/>
            <w:vAlign w:val="bottom"/>
            <w:gridSpan w:val="3"/>
          </w:tcPr>
          <w:p>
            <w:pPr>
              <w:ind w:left="720"/>
              <w:spacing w:after="0"/>
              <w:rPr>
                <w:sz w:val="20"/>
                <w:szCs w:val="20"/>
                <w:color w:val="auto"/>
              </w:rPr>
            </w:pPr>
            <w:r>
              <w:rPr>
                <w:rFonts w:ascii="Arial" w:cs="Arial" w:eastAsia="Arial" w:hAnsi="Arial"/>
                <w:sz w:val="18"/>
                <w:szCs w:val="18"/>
                <w:b w:val="1"/>
                <w:bCs w:val="1"/>
                <w:color w:val="auto"/>
                <w:w w:val="88"/>
              </w:rPr>
              <w:t>Total</w:t>
            </w:r>
          </w:p>
        </w:tc>
        <w:tc>
          <w:tcPr>
            <w:tcW w:w="7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320" w:type="dxa"/>
            <w:vAlign w:val="bottom"/>
          </w:tcPr>
          <w:p>
            <w:pPr>
              <w:spacing w:after="0"/>
              <w:rPr>
                <w:sz w:val="19"/>
                <w:szCs w:val="19"/>
                <w:color w:val="auto"/>
              </w:rPr>
            </w:pPr>
          </w:p>
        </w:tc>
        <w:tc>
          <w:tcPr>
            <w:tcW w:w="1040" w:type="dxa"/>
            <w:vAlign w:val="bottom"/>
            <w:tcBorders>
              <w:top w:val="single" w:sz="8" w:color="auto"/>
            </w:tcBorders>
            <w:gridSpan w:val="2"/>
          </w:tcPr>
          <w:p>
            <w:pPr>
              <w:ind w:left="140"/>
              <w:spacing w:after="0"/>
              <w:rPr>
                <w:sz w:val="20"/>
                <w:szCs w:val="20"/>
                <w:color w:val="auto"/>
              </w:rPr>
            </w:pPr>
            <w:r>
              <w:rPr>
                <w:rFonts w:ascii="Arial" w:cs="Arial" w:eastAsia="Arial" w:hAnsi="Arial"/>
                <w:sz w:val="18"/>
                <w:szCs w:val="18"/>
                <w:b w:val="1"/>
                <w:bCs w:val="1"/>
                <w:color w:val="auto"/>
              </w:rPr>
              <w:t>Shares</w:t>
            </w:r>
          </w:p>
        </w:tc>
        <w:tc>
          <w:tcPr>
            <w:tcW w:w="820" w:type="dxa"/>
            <w:vAlign w:val="bottom"/>
            <w:tcBorders>
              <w:top w:val="single" w:sz="8" w:color="auto"/>
            </w:tcBorders>
          </w:tcPr>
          <w:p>
            <w:pPr>
              <w:jc w:val="right"/>
              <w:ind w:right="1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19"/>
                <w:szCs w:val="19"/>
                <w:color w:val="auto"/>
              </w:rPr>
            </w:pPr>
          </w:p>
        </w:tc>
        <w:tc>
          <w:tcPr>
            <w:tcW w:w="100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Shares</w:t>
            </w: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Amount</w:t>
            </w:r>
          </w:p>
        </w:tc>
        <w:tc>
          <w:tcPr>
            <w:tcW w:w="220" w:type="dxa"/>
            <w:vAlign w:val="bottom"/>
          </w:tcPr>
          <w:p>
            <w:pPr>
              <w:spacing w:after="0"/>
              <w:rPr>
                <w:sz w:val="19"/>
                <w:szCs w:val="19"/>
                <w:color w:val="auto"/>
              </w:rPr>
            </w:pPr>
          </w:p>
        </w:tc>
        <w:tc>
          <w:tcPr>
            <w:tcW w:w="1060" w:type="dxa"/>
            <w:vAlign w:val="bottom"/>
            <w:tcBorders>
              <w:top w:val="single" w:sz="8" w:color="auto"/>
            </w:tcBorders>
            <w:gridSpan w:val="2"/>
          </w:tcPr>
          <w:p>
            <w:pPr>
              <w:jc w:val="right"/>
              <w:ind w:right="380"/>
              <w:spacing w:after="0"/>
              <w:rPr>
                <w:sz w:val="20"/>
                <w:szCs w:val="20"/>
                <w:color w:val="auto"/>
              </w:rPr>
            </w:pPr>
            <w:r>
              <w:rPr>
                <w:rFonts w:ascii="Arial" w:cs="Arial" w:eastAsia="Arial" w:hAnsi="Arial"/>
                <w:sz w:val="18"/>
                <w:szCs w:val="18"/>
                <w:b w:val="1"/>
                <w:bCs w:val="1"/>
                <w:color w:val="auto"/>
              </w:rPr>
              <w:t>Shares</w:t>
            </w: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Amount</w:t>
            </w:r>
          </w:p>
        </w:tc>
        <w:tc>
          <w:tcPr>
            <w:tcW w:w="220" w:type="dxa"/>
            <w:vAlign w:val="bottom"/>
          </w:tcPr>
          <w:p>
            <w:pPr>
              <w:spacing w:after="0"/>
              <w:rPr>
                <w:sz w:val="19"/>
                <w:szCs w:val="19"/>
                <w:color w:val="auto"/>
              </w:rPr>
            </w:pPr>
          </w:p>
        </w:tc>
        <w:tc>
          <w:tcPr>
            <w:tcW w:w="1120" w:type="dxa"/>
            <w:vAlign w:val="bottom"/>
            <w:tcBorders>
              <w:top w:val="single" w:sz="8" w:color="auto"/>
            </w:tcBorders>
            <w:gridSpan w:val="3"/>
          </w:tcPr>
          <w:p>
            <w:pPr>
              <w:ind w:left="160"/>
              <w:spacing w:after="0"/>
              <w:rPr>
                <w:sz w:val="20"/>
                <w:szCs w:val="20"/>
                <w:color w:val="auto"/>
              </w:rPr>
            </w:pPr>
            <w:r>
              <w:rPr>
                <w:rFonts w:ascii="Arial" w:cs="Arial" w:eastAsia="Arial" w:hAnsi="Arial"/>
                <w:sz w:val="18"/>
                <w:szCs w:val="18"/>
                <w:b w:val="1"/>
                <w:bCs w:val="1"/>
                <w:color w:val="auto"/>
              </w:rPr>
              <w:t>Shares</w:t>
            </w:r>
          </w:p>
        </w:tc>
        <w:tc>
          <w:tcPr>
            <w:tcW w:w="7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1"/>
              </w:rPr>
              <w:t>Amount</w:t>
            </w:r>
          </w:p>
        </w:tc>
        <w:tc>
          <w:tcPr>
            <w:tcW w:w="100" w:type="dxa"/>
            <w:vAlign w:val="bottom"/>
            <w:gridSpan w:val="2"/>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2015</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318,140</w:t>
            </w:r>
          </w:p>
        </w:tc>
        <w:tc>
          <w:tcPr>
            <w:tcW w:w="24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10,708</w:t>
            </w: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589,174</w:t>
            </w: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16,242</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2,295,186</w:t>
            </w: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50,677</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3,202,500</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77,627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320" w:type="dxa"/>
            <w:vAlign w:val="bottom"/>
          </w:tcPr>
          <w:p>
            <w:pPr>
              <w:spacing w:after="0"/>
              <w:rPr>
                <w:sz w:val="20"/>
                <w:szCs w:val="20"/>
                <w:color w:val="auto"/>
              </w:rPr>
            </w:pPr>
            <w:r>
              <w:rPr>
                <w:rFonts w:ascii="Arial" w:cs="Arial" w:eastAsia="Arial" w:hAnsi="Arial"/>
                <w:sz w:val="18"/>
                <w:szCs w:val="18"/>
                <w:color w:val="auto"/>
              </w:rPr>
              <w:t>Repurchase of common stock</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(57,000)</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(1,259)</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(57,000)</w:t>
            </w:r>
          </w:p>
        </w:tc>
        <w:tc>
          <w:tcPr>
            <w:tcW w:w="80" w:type="dxa"/>
            <w:vAlign w:val="bottom"/>
            <w:shd w:val="clear" w:color="auto" w:fill="CCEEFF"/>
          </w:tcPr>
          <w:p>
            <w:pPr>
              <w:spacing w:after="0"/>
              <w:rPr>
                <w:sz w:val="18"/>
                <w:szCs w:val="18"/>
                <w:color w:val="auto"/>
              </w:rPr>
            </w:pPr>
          </w:p>
        </w:tc>
        <w:tc>
          <w:tcPr>
            <w:tcW w:w="8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(1,259)</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320" w:type="dxa"/>
            <w:vAlign w:val="bottom"/>
          </w:tcPr>
          <w:p>
            <w:pPr>
              <w:spacing w:after="0" w:line="201" w:lineRule="exact"/>
              <w:rPr>
                <w:sz w:val="20"/>
                <w:szCs w:val="20"/>
                <w:color w:val="auto"/>
              </w:rPr>
            </w:pPr>
            <w:r>
              <w:rPr>
                <w:rFonts w:ascii="Arial" w:cs="Arial" w:eastAsia="Arial" w:hAnsi="Arial"/>
                <w:sz w:val="18"/>
                <w:szCs w:val="18"/>
                <w:color w:val="auto"/>
              </w:rPr>
              <w:t>Exercised stock options - compensation</w:t>
            </w:r>
          </w:p>
        </w:tc>
        <w:tc>
          <w:tcPr>
            <w:tcW w:w="8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340" w:type="dxa"/>
            <w:vAlign w:val="bottom"/>
            <w:gridSpan w:val="2"/>
          </w:tcPr>
          <w:p>
            <w:pPr>
              <w:spacing w:after="0"/>
              <w:rPr>
                <w:sz w:val="20"/>
                <w:szCs w:val="20"/>
                <w:color w:val="auto"/>
              </w:rPr>
            </w:pPr>
            <w:r>
              <w:rPr>
                <w:rFonts w:ascii="Arial" w:cs="Arial" w:eastAsia="Arial" w:hAnsi="Arial"/>
                <w:sz w:val="18"/>
                <w:szCs w:val="18"/>
                <w:color w:val="auto"/>
              </w:rPr>
              <w:t>plans</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(70,358)</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(1,553)</w:t>
            </w: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(70,358)</w:t>
            </w:r>
          </w:p>
        </w:tc>
        <w:tc>
          <w:tcPr>
            <w:tcW w:w="80" w:type="dxa"/>
            <w:vAlign w:val="bottom"/>
          </w:tcPr>
          <w:p>
            <w:pPr>
              <w:spacing w:after="0"/>
              <w:rPr>
                <w:sz w:val="20"/>
                <w:szCs w:val="20"/>
                <w:color w:val="auto"/>
              </w:rPr>
            </w:pPr>
          </w:p>
        </w:tc>
        <w:tc>
          <w:tcPr>
            <w:tcW w:w="820" w:type="dxa"/>
            <w:vAlign w:val="bottom"/>
            <w:gridSpan w:val="3"/>
          </w:tcPr>
          <w:p>
            <w:pPr>
              <w:jc w:val="right"/>
              <w:ind w:right="40"/>
              <w:spacing w:after="0"/>
              <w:rPr>
                <w:sz w:val="20"/>
                <w:szCs w:val="20"/>
                <w:color w:val="auto"/>
              </w:rPr>
            </w:pPr>
            <w:r>
              <w:rPr>
                <w:rFonts w:ascii="Arial" w:cs="Arial" w:eastAsia="Arial" w:hAnsi="Arial"/>
                <w:sz w:val="18"/>
                <w:szCs w:val="18"/>
                <w:color w:val="auto"/>
              </w:rPr>
              <w:t>(1,553)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(64,208)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(1,418)</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(64,208)</w:t>
            </w:r>
          </w:p>
        </w:tc>
        <w:tc>
          <w:tcPr>
            <w:tcW w:w="80" w:type="dxa"/>
            <w:vAlign w:val="bottom"/>
            <w:shd w:val="clear" w:color="auto" w:fill="CCEEFF"/>
          </w:tcPr>
          <w:p>
            <w:pPr>
              <w:spacing w:after="0"/>
              <w:rPr>
                <w:sz w:val="19"/>
                <w:szCs w:val="19"/>
                <w:color w:val="auto"/>
              </w:rPr>
            </w:pPr>
          </w:p>
        </w:tc>
        <w:tc>
          <w:tcPr>
            <w:tcW w:w="8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(1,418)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3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Outstanding at December 31, 2015</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318,140</w:t>
            </w:r>
          </w:p>
        </w:tc>
        <w:tc>
          <w:tcPr>
            <w:tcW w:w="240" w:type="dxa"/>
            <w:vAlign w:val="bottom"/>
            <w:tcBorders>
              <w:bottom w:val="single" w:sz="8" w:color="CCEEFF"/>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10,708</w:t>
            </w:r>
          </w:p>
        </w:tc>
        <w:tc>
          <w:tcPr>
            <w:tcW w:w="220" w:type="dxa"/>
            <w:vAlign w:val="bottom"/>
            <w:tcBorders>
              <w:bottom w:val="single" w:sz="8" w:color="CCEEFF"/>
            </w:tcBorders>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589,174</w:t>
            </w:r>
          </w:p>
        </w:tc>
        <w:tc>
          <w:tcPr>
            <w:tcW w:w="220" w:type="dxa"/>
            <w:vAlign w:val="bottom"/>
            <w:tcBorders>
              <w:bottom w:val="single" w:sz="8" w:color="CCEEFF"/>
            </w:tcBorders>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16,242</w:t>
            </w:r>
          </w:p>
        </w:tc>
        <w:tc>
          <w:tcPr>
            <w:tcW w:w="220" w:type="dxa"/>
            <w:vAlign w:val="bottom"/>
            <w:tcBorders>
              <w:bottom w:val="single" w:sz="8" w:color="CCEEFF"/>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2,103,620</w:t>
            </w:r>
          </w:p>
        </w:tc>
        <w:tc>
          <w:tcPr>
            <w:tcW w:w="220" w:type="dxa"/>
            <w:vAlign w:val="bottom"/>
            <w:tcBorders>
              <w:bottom w:val="single" w:sz="8" w:color="CCEEFF"/>
            </w:tcBorders>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46,447</w:t>
            </w:r>
          </w:p>
        </w:tc>
        <w:tc>
          <w:tcPr>
            <w:tcW w:w="220" w:type="dxa"/>
            <w:vAlign w:val="bottom"/>
            <w:tcBorders>
              <w:bottom w:val="single" w:sz="8" w:color="CCEEFF"/>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3,010,934</w:t>
            </w:r>
          </w:p>
        </w:tc>
        <w:tc>
          <w:tcPr>
            <w:tcW w:w="200" w:type="dxa"/>
            <w:vAlign w:val="bottom"/>
            <w:tcBorders>
              <w:bottom w:val="single" w:sz="8" w:color="CCEEFF"/>
            </w:tcBorders>
          </w:tcPr>
          <w:p>
            <w:pPr>
              <w:spacing w:after="0"/>
              <w:rPr>
                <w:sz w:val="18"/>
                <w:szCs w:val="18"/>
                <w:color w:val="auto"/>
              </w:rPr>
            </w:pPr>
          </w:p>
        </w:tc>
        <w:tc>
          <w:tcPr>
            <w:tcW w:w="80" w:type="dxa"/>
            <w:vAlign w:val="bottom"/>
            <w:tcBorders>
              <w:top w:val="single" w:sz="8" w:color="auto"/>
              <w:bottom w:val="single" w:sz="8" w:color="auto"/>
            </w:tcBorders>
          </w:tcPr>
          <w:p>
            <w:pPr>
              <w:spacing w:after="0"/>
              <w:rPr>
                <w:sz w:val="18"/>
                <w:szCs w:val="18"/>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73,397</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3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320" w:type="dxa"/>
            <w:vAlign w:val="bottom"/>
          </w:tcPr>
          <w:p>
            <w:pPr>
              <w:spacing w:after="0"/>
              <w:rPr>
                <w:sz w:val="20"/>
                <w:szCs w:val="20"/>
                <w:color w:val="auto"/>
              </w:rPr>
            </w:pPr>
            <w:r>
              <w:rPr>
                <w:rFonts w:ascii="Arial" w:cs="Arial" w:eastAsia="Arial" w:hAnsi="Arial"/>
                <w:sz w:val="18"/>
                <w:szCs w:val="18"/>
                <w:color w:val="auto"/>
              </w:rPr>
              <w:t>Repurchase of common stock</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(57,000)</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(1,259)</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(57,000)</w:t>
            </w:r>
          </w:p>
        </w:tc>
        <w:tc>
          <w:tcPr>
            <w:tcW w:w="80" w:type="dxa"/>
            <w:vAlign w:val="bottom"/>
            <w:shd w:val="clear" w:color="auto" w:fill="CCEEFF"/>
          </w:tcPr>
          <w:p>
            <w:pPr>
              <w:spacing w:after="0"/>
              <w:rPr>
                <w:sz w:val="18"/>
                <w:szCs w:val="18"/>
                <w:color w:val="auto"/>
              </w:rPr>
            </w:pPr>
          </w:p>
        </w:tc>
        <w:tc>
          <w:tcPr>
            <w:tcW w:w="8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(1,259)</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320" w:type="dxa"/>
            <w:vAlign w:val="bottom"/>
          </w:tcPr>
          <w:p>
            <w:pPr>
              <w:spacing w:after="0" w:line="201" w:lineRule="exact"/>
              <w:rPr>
                <w:sz w:val="20"/>
                <w:szCs w:val="20"/>
                <w:color w:val="auto"/>
              </w:rPr>
            </w:pPr>
            <w:r>
              <w:rPr>
                <w:rFonts w:ascii="Arial" w:cs="Arial" w:eastAsia="Arial" w:hAnsi="Arial"/>
                <w:sz w:val="18"/>
                <w:szCs w:val="18"/>
                <w:color w:val="auto"/>
              </w:rPr>
              <w:t>Exercised stock options - compensation</w:t>
            </w:r>
          </w:p>
        </w:tc>
        <w:tc>
          <w:tcPr>
            <w:tcW w:w="8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340" w:type="dxa"/>
            <w:vAlign w:val="bottom"/>
            <w:gridSpan w:val="2"/>
          </w:tcPr>
          <w:p>
            <w:pPr>
              <w:spacing w:after="0"/>
              <w:rPr>
                <w:sz w:val="20"/>
                <w:szCs w:val="20"/>
                <w:color w:val="auto"/>
              </w:rPr>
            </w:pPr>
            <w:r>
              <w:rPr>
                <w:rFonts w:ascii="Arial" w:cs="Arial" w:eastAsia="Arial" w:hAnsi="Arial"/>
                <w:sz w:val="18"/>
                <w:szCs w:val="18"/>
                <w:color w:val="auto"/>
              </w:rPr>
              <w:t>plans</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(68,785)</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(1,519)</w:t>
            </w: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(68,785)</w:t>
            </w:r>
          </w:p>
        </w:tc>
        <w:tc>
          <w:tcPr>
            <w:tcW w:w="80" w:type="dxa"/>
            <w:vAlign w:val="bottom"/>
          </w:tcPr>
          <w:p>
            <w:pPr>
              <w:spacing w:after="0"/>
              <w:rPr>
                <w:sz w:val="20"/>
                <w:szCs w:val="20"/>
                <w:color w:val="auto"/>
              </w:rPr>
            </w:pPr>
          </w:p>
        </w:tc>
        <w:tc>
          <w:tcPr>
            <w:tcW w:w="820" w:type="dxa"/>
            <w:vAlign w:val="bottom"/>
            <w:gridSpan w:val="3"/>
          </w:tcPr>
          <w:p>
            <w:pPr>
              <w:jc w:val="right"/>
              <w:ind w:right="40"/>
              <w:spacing w:after="0"/>
              <w:rPr>
                <w:sz w:val="20"/>
                <w:szCs w:val="20"/>
                <w:color w:val="auto"/>
              </w:rPr>
            </w:pPr>
            <w:r>
              <w:rPr>
                <w:rFonts w:ascii="Arial" w:cs="Arial" w:eastAsia="Arial" w:hAnsi="Arial"/>
                <w:sz w:val="18"/>
                <w:szCs w:val="18"/>
                <w:color w:val="auto"/>
              </w:rPr>
              <w:t>(1,519)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(65,358)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(1,443)</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(65,358)</w:t>
            </w:r>
          </w:p>
        </w:tc>
        <w:tc>
          <w:tcPr>
            <w:tcW w:w="80" w:type="dxa"/>
            <w:vAlign w:val="bottom"/>
            <w:shd w:val="clear" w:color="auto" w:fill="CCEEFF"/>
          </w:tcPr>
          <w:p>
            <w:pPr>
              <w:spacing w:after="0"/>
              <w:rPr>
                <w:sz w:val="19"/>
                <w:szCs w:val="19"/>
                <w:color w:val="auto"/>
              </w:rPr>
            </w:pPr>
          </w:p>
        </w:tc>
        <w:tc>
          <w:tcPr>
            <w:tcW w:w="8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(1,443)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3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Outstanding at December 31, 2016</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318,140</w:t>
            </w:r>
          </w:p>
        </w:tc>
        <w:tc>
          <w:tcPr>
            <w:tcW w:w="240" w:type="dxa"/>
            <w:vAlign w:val="bottom"/>
            <w:tcBorders>
              <w:bottom w:val="single" w:sz="8" w:color="CCEEFF"/>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10,708</w:t>
            </w:r>
          </w:p>
        </w:tc>
        <w:tc>
          <w:tcPr>
            <w:tcW w:w="220" w:type="dxa"/>
            <w:vAlign w:val="bottom"/>
            <w:tcBorders>
              <w:bottom w:val="single" w:sz="8" w:color="CCEEFF"/>
            </w:tcBorders>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589,174</w:t>
            </w:r>
          </w:p>
        </w:tc>
        <w:tc>
          <w:tcPr>
            <w:tcW w:w="220" w:type="dxa"/>
            <w:vAlign w:val="bottom"/>
            <w:tcBorders>
              <w:bottom w:val="single" w:sz="8" w:color="CCEEFF"/>
            </w:tcBorders>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16,242</w:t>
            </w:r>
          </w:p>
        </w:tc>
        <w:tc>
          <w:tcPr>
            <w:tcW w:w="220" w:type="dxa"/>
            <w:vAlign w:val="bottom"/>
            <w:tcBorders>
              <w:bottom w:val="single" w:sz="8" w:color="CCEEFF"/>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1,912,477</w:t>
            </w:r>
          </w:p>
        </w:tc>
        <w:tc>
          <w:tcPr>
            <w:tcW w:w="220" w:type="dxa"/>
            <w:vAlign w:val="bottom"/>
            <w:tcBorders>
              <w:bottom w:val="single" w:sz="8" w:color="CCEEFF"/>
            </w:tcBorders>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42,226</w:t>
            </w:r>
          </w:p>
        </w:tc>
        <w:tc>
          <w:tcPr>
            <w:tcW w:w="220" w:type="dxa"/>
            <w:vAlign w:val="bottom"/>
            <w:tcBorders>
              <w:bottom w:val="single" w:sz="8" w:color="CCEEFF"/>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2,819,791</w:t>
            </w:r>
          </w:p>
        </w:tc>
        <w:tc>
          <w:tcPr>
            <w:tcW w:w="200" w:type="dxa"/>
            <w:vAlign w:val="bottom"/>
            <w:tcBorders>
              <w:bottom w:val="single" w:sz="8" w:color="CCEEFF"/>
            </w:tcBorders>
          </w:tcPr>
          <w:p>
            <w:pPr>
              <w:spacing w:after="0"/>
              <w:rPr>
                <w:sz w:val="18"/>
                <w:szCs w:val="18"/>
                <w:color w:val="auto"/>
              </w:rPr>
            </w:pPr>
          </w:p>
        </w:tc>
        <w:tc>
          <w:tcPr>
            <w:tcW w:w="80" w:type="dxa"/>
            <w:vAlign w:val="bottom"/>
            <w:tcBorders>
              <w:top w:val="single" w:sz="8" w:color="auto"/>
              <w:bottom w:val="single" w:sz="8" w:color="auto"/>
            </w:tcBorders>
          </w:tcPr>
          <w:p>
            <w:pPr>
              <w:spacing w:after="0"/>
              <w:rPr>
                <w:sz w:val="18"/>
                <w:szCs w:val="18"/>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69,176</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3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320" w:type="dxa"/>
            <w:vAlign w:val="bottom"/>
          </w:tcPr>
          <w:p>
            <w:pPr>
              <w:spacing w:after="0"/>
              <w:rPr>
                <w:sz w:val="20"/>
                <w:szCs w:val="20"/>
                <w:color w:val="auto"/>
              </w:rPr>
            </w:pPr>
            <w:r>
              <w:rPr>
                <w:rFonts w:ascii="Arial" w:cs="Arial" w:eastAsia="Arial" w:hAnsi="Arial"/>
                <w:sz w:val="18"/>
                <w:szCs w:val="18"/>
                <w:color w:val="auto"/>
              </w:rPr>
              <w:t>Repurchase of common stock</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1,000</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28</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1,000</w:t>
            </w:r>
          </w:p>
        </w:tc>
        <w:tc>
          <w:tcPr>
            <w:tcW w:w="80" w:type="dxa"/>
            <w:vAlign w:val="bottom"/>
          </w:tcPr>
          <w:p>
            <w:pPr>
              <w:spacing w:after="0"/>
              <w:rPr>
                <w:sz w:val="18"/>
                <w:szCs w:val="18"/>
                <w:color w:val="auto"/>
              </w:rPr>
            </w:pPr>
          </w:p>
        </w:tc>
        <w:tc>
          <w:tcPr>
            <w:tcW w:w="740" w:type="dxa"/>
            <w:vAlign w:val="bottom"/>
            <w:gridSpan w:val="2"/>
          </w:tcPr>
          <w:p>
            <w:pPr>
              <w:jc w:val="right"/>
              <w:ind w:right="20"/>
              <w:spacing w:after="0"/>
              <w:rPr>
                <w:sz w:val="20"/>
                <w:szCs w:val="20"/>
                <w:color w:val="auto"/>
              </w:rPr>
            </w:pPr>
            <w:r>
              <w:rPr>
                <w:rFonts w:ascii="Arial" w:cs="Arial" w:eastAsia="Arial" w:hAnsi="Arial"/>
                <w:sz w:val="18"/>
                <w:szCs w:val="18"/>
                <w:color w:val="auto"/>
              </w:rPr>
              <w:t>28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(57,000)</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(1,259)</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(57,000)</w:t>
            </w:r>
          </w:p>
        </w:tc>
        <w:tc>
          <w:tcPr>
            <w:tcW w:w="80" w:type="dxa"/>
            <w:vAlign w:val="bottom"/>
            <w:shd w:val="clear" w:color="auto" w:fill="CCEEFF"/>
          </w:tcPr>
          <w:p>
            <w:pPr>
              <w:spacing w:after="0"/>
              <w:rPr>
                <w:sz w:val="18"/>
                <w:szCs w:val="18"/>
                <w:color w:val="auto"/>
              </w:rPr>
            </w:pPr>
          </w:p>
        </w:tc>
        <w:tc>
          <w:tcPr>
            <w:tcW w:w="8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(1,259)</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320" w:type="dxa"/>
            <w:vAlign w:val="bottom"/>
          </w:tcPr>
          <w:p>
            <w:pPr>
              <w:spacing w:after="0" w:line="201" w:lineRule="exact"/>
              <w:rPr>
                <w:sz w:val="20"/>
                <w:szCs w:val="20"/>
                <w:color w:val="auto"/>
              </w:rPr>
            </w:pPr>
            <w:r>
              <w:rPr>
                <w:rFonts w:ascii="Arial" w:cs="Arial" w:eastAsia="Arial" w:hAnsi="Arial"/>
                <w:sz w:val="18"/>
                <w:szCs w:val="18"/>
                <w:color w:val="auto"/>
              </w:rPr>
              <w:t>Exercised stock options - compensation</w:t>
            </w:r>
          </w:p>
        </w:tc>
        <w:tc>
          <w:tcPr>
            <w:tcW w:w="8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340" w:type="dxa"/>
            <w:vAlign w:val="bottom"/>
            <w:gridSpan w:val="2"/>
          </w:tcPr>
          <w:p>
            <w:pPr>
              <w:spacing w:after="0"/>
              <w:rPr>
                <w:sz w:val="20"/>
                <w:szCs w:val="20"/>
                <w:color w:val="auto"/>
              </w:rPr>
            </w:pPr>
            <w:r>
              <w:rPr>
                <w:rFonts w:ascii="Arial" w:cs="Arial" w:eastAsia="Arial" w:hAnsi="Arial"/>
                <w:sz w:val="18"/>
                <w:szCs w:val="18"/>
                <w:color w:val="auto"/>
              </w:rPr>
              <w:t>plans</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(142,268)</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(3,140)</w:t>
            </w: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(142,268)</w:t>
            </w:r>
          </w:p>
        </w:tc>
        <w:tc>
          <w:tcPr>
            <w:tcW w:w="80" w:type="dxa"/>
            <w:vAlign w:val="bottom"/>
          </w:tcPr>
          <w:p>
            <w:pPr>
              <w:spacing w:after="0"/>
              <w:rPr>
                <w:sz w:val="20"/>
                <w:szCs w:val="20"/>
                <w:color w:val="auto"/>
              </w:rPr>
            </w:pPr>
          </w:p>
        </w:tc>
        <w:tc>
          <w:tcPr>
            <w:tcW w:w="820" w:type="dxa"/>
            <w:vAlign w:val="bottom"/>
            <w:gridSpan w:val="3"/>
          </w:tcPr>
          <w:p>
            <w:pPr>
              <w:jc w:val="right"/>
              <w:ind w:right="40"/>
              <w:spacing w:after="0"/>
              <w:rPr>
                <w:sz w:val="20"/>
                <w:szCs w:val="20"/>
                <w:color w:val="auto"/>
              </w:rPr>
            </w:pPr>
            <w:r>
              <w:rPr>
                <w:rFonts w:ascii="Arial" w:cs="Arial" w:eastAsia="Arial" w:hAnsi="Arial"/>
                <w:sz w:val="18"/>
                <w:szCs w:val="18"/>
                <w:color w:val="auto"/>
              </w:rPr>
              <w:t>(3,140)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(70,519)</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(1,557)</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(70,519)</w:t>
            </w:r>
          </w:p>
        </w:tc>
        <w:tc>
          <w:tcPr>
            <w:tcW w:w="80" w:type="dxa"/>
            <w:vAlign w:val="bottom"/>
            <w:shd w:val="clear" w:color="auto" w:fill="CCEEFF"/>
          </w:tcPr>
          <w:p>
            <w:pPr>
              <w:spacing w:after="0"/>
              <w:rPr>
                <w:sz w:val="19"/>
                <w:szCs w:val="19"/>
                <w:color w:val="auto"/>
              </w:rPr>
            </w:pPr>
          </w:p>
        </w:tc>
        <w:tc>
          <w:tcPr>
            <w:tcW w:w="8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(1,557)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320" w:type="dxa"/>
            <w:vAlign w:val="bottom"/>
          </w:tcPr>
          <w:p>
            <w:pPr>
              <w:spacing w:after="0"/>
              <w:rPr>
                <w:sz w:val="20"/>
                <w:szCs w:val="20"/>
                <w:color w:val="auto"/>
              </w:rPr>
            </w:pPr>
            <w:r>
              <w:rPr>
                <w:rFonts w:ascii="Arial" w:cs="Arial" w:eastAsia="Arial" w:hAnsi="Arial"/>
                <w:sz w:val="18"/>
                <w:szCs w:val="18"/>
                <w:b w:val="1"/>
                <w:bCs w:val="1"/>
                <w:color w:val="auto"/>
              </w:rPr>
              <w:t>Outstanding at December 31, 2017</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318,140</w:t>
            </w:r>
          </w:p>
        </w:tc>
        <w:tc>
          <w:tcPr>
            <w:tcW w:w="240" w:type="dxa"/>
            <w:vAlign w:val="bottom"/>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10,708</w:t>
            </w:r>
          </w:p>
        </w:tc>
        <w:tc>
          <w:tcPr>
            <w:tcW w:w="220" w:type="dxa"/>
            <w:vAlign w:val="bottom"/>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590,174</w:t>
            </w:r>
          </w:p>
        </w:tc>
        <w:tc>
          <w:tcPr>
            <w:tcW w:w="220" w:type="dxa"/>
            <w:vAlign w:val="bottom"/>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16,270</w:t>
            </w:r>
          </w:p>
        </w:tc>
        <w:tc>
          <w:tcPr>
            <w:tcW w:w="220" w:type="dxa"/>
            <w:vAlign w:val="bottom"/>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1,642,690</w:t>
            </w:r>
          </w:p>
        </w:tc>
        <w:tc>
          <w:tcPr>
            <w:tcW w:w="220" w:type="dxa"/>
            <w:vAlign w:val="bottom"/>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36,270</w:t>
            </w:r>
          </w:p>
        </w:tc>
        <w:tc>
          <w:tcPr>
            <w:tcW w:w="220" w:type="dxa"/>
            <w:vAlign w:val="bottom"/>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2,551,004</w:t>
            </w:r>
          </w:p>
        </w:tc>
        <w:tc>
          <w:tcPr>
            <w:tcW w:w="200" w:type="dxa"/>
            <w:vAlign w:val="bottom"/>
          </w:tcPr>
          <w:p>
            <w:pPr>
              <w:spacing w:after="0"/>
              <w:rPr>
                <w:sz w:val="18"/>
                <w:szCs w:val="18"/>
                <w:color w:val="auto"/>
              </w:rPr>
            </w:pPr>
          </w:p>
        </w:tc>
        <w:tc>
          <w:tcPr>
            <w:tcW w:w="80" w:type="dxa"/>
            <w:vAlign w:val="bottom"/>
            <w:tcBorders>
              <w:top w:val="single" w:sz="8" w:color="auto"/>
              <w:bottom w:val="single" w:sz="8" w:color="auto"/>
            </w:tcBorders>
          </w:tcPr>
          <w:p>
            <w:pPr>
              <w:spacing w:after="0"/>
              <w:rPr>
                <w:sz w:val="18"/>
                <w:szCs w:val="18"/>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63,248</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1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15.2 Reserves</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Banking Law in the Republic of Panama requires banks with general banking license to maintain a total capital adequacy index that shall not be lower than 8% of total assets and off-balance sheet irrevocable contingency transactions, weighted according to their risk; and primary capital equivalent that shall not be less than 4.5% of its assets and loans commitments and financial guarantees contracts, weighted according to their risk. As of December 31, 2017, the Bank’s total capital adequacy ratio is 18.71% which is in compliance with the minimum capital adequacy ratios required by the Banking Law in the Republic of Panama.</w:t>
      </w:r>
    </w:p>
    <w:p>
      <w:pPr>
        <w:spacing w:after="0" w:line="1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5" w:right="239" w:bottom="1440" w:gutter="0" w:footer="0" w:header="0"/>
        </w:sectPr>
      </w:pPr>
    </w:p>
    <w:bookmarkStart w:id="195" w:name="page196"/>
    <w:bookmarkEnd w:id="19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40" w:hanging="316"/>
        <w:spacing w:after="0"/>
        <w:tabs>
          <w:tab w:leader="none" w:pos="540" w:val="left"/>
        </w:tabs>
        <w:numPr>
          <w:ilvl w:val="0"/>
          <w:numId w:val="198"/>
        </w:numPr>
        <w:rPr>
          <w:rFonts w:ascii="Arial" w:cs="Arial" w:eastAsia="Arial" w:hAnsi="Arial"/>
          <w:sz w:val="18"/>
          <w:szCs w:val="18"/>
          <w:b w:val="1"/>
          <w:bCs w:val="1"/>
          <w:color w:val="auto"/>
        </w:rPr>
      </w:pPr>
      <w:r>
        <w:rPr>
          <w:rFonts w:ascii="Arial" w:cs="Arial" w:eastAsia="Arial" w:hAnsi="Arial"/>
          <w:sz w:val="18"/>
          <w:szCs w:val="18"/>
          <w:b w:val="1"/>
          <w:bCs w:val="1"/>
          <w:color w:val="auto"/>
        </w:rPr>
        <w:t>Capital and Reserves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15.3 Restriction on retained earnings</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does not have restrictions on its ability to access its retained earnings other than those resulting from the supervisory framework which the Bank is subject to, in order to operate. The supervisory framework requires banks to keep an additional reserve as part of equity to cover credit risk of their lending facilities. As of December 31, 2017 and 2016, $129,254 and $62,459, respectively, of the Bank’s retained earnings are restricted from dividend distribution for purposes of complying with local regulatory requirements.</w:t>
      </w:r>
    </w:p>
    <w:p>
      <w:pPr>
        <w:spacing w:after="0" w:line="183" w:lineRule="exact"/>
        <w:rPr>
          <w:sz w:val="20"/>
          <w:szCs w:val="20"/>
          <w:color w:val="auto"/>
        </w:rPr>
      </w:pPr>
    </w:p>
    <w:tbl>
      <w:tblPr>
        <w:tblLayout w:type="fixed"/>
        <w:tblInd w:w="660" w:type="dxa"/>
        <w:tblCellMar>
          <w:top w:w="0" w:type="dxa"/>
          <w:left w:w="0" w:type="dxa"/>
          <w:bottom w:w="0" w:type="dxa"/>
          <w:right w:w="0" w:type="dxa"/>
        </w:tblCellMar>
      </w:tblPr>
      <w:tr>
        <w:trPr>
          <w:trHeight w:val="216"/>
        </w:trPr>
        <w:tc>
          <w:tcPr>
            <w:tcW w:w="7960" w:type="dxa"/>
            <w:vAlign w:val="bottom"/>
          </w:tcPr>
          <w:p>
            <w:pPr>
              <w:spacing w:after="0"/>
              <w:rPr>
                <w:sz w:val="18"/>
                <w:szCs w:val="18"/>
                <w:color w:val="auto"/>
              </w:rPr>
            </w:pPr>
          </w:p>
        </w:tc>
        <w:tc>
          <w:tcPr>
            <w:tcW w:w="13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2"/>
              </w:rPr>
              <w:t>December 31,</w:t>
            </w:r>
          </w:p>
        </w:tc>
        <w:tc>
          <w:tcPr>
            <w:tcW w:w="12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2"/>
              </w:rPr>
              <w:t>December 31,</w:t>
            </w:r>
          </w:p>
        </w:tc>
      </w:tr>
      <w:tr>
        <w:trPr>
          <w:trHeight w:val="234"/>
        </w:trPr>
        <w:tc>
          <w:tcPr>
            <w:tcW w:w="796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r>
      <w:tr>
        <w:trPr>
          <w:trHeight w:val="210"/>
        </w:trPr>
        <w:tc>
          <w:tcPr>
            <w:tcW w:w="796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108,756</w:t>
            </w: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43,826</w:t>
            </w:r>
          </w:p>
        </w:tc>
        <w:tc>
          <w:tcPr>
            <w:tcW w:w="100" w:type="dxa"/>
            <w:vAlign w:val="bottom"/>
            <w:shd w:val="clear" w:color="auto" w:fill="CCEEFF"/>
          </w:tcPr>
          <w:p>
            <w:pPr>
              <w:spacing w:after="0"/>
              <w:rPr>
                <w:sz w:val="18"/>
                <w:szCs w:val="18"/>
                <w:color w:val="auto"/>
              </w:rPr>
            </w:pPr>
          </w:p>
        </w:tc>
      </w:tr>
      <w:tr>
        <w:trPr>
          <w:trHeight w:val="230"/>
        </w:trPr>
        <w:tc>
          <w:tcPr>
            <w:tcW w:w="7960" w:type="dxa"/>
            <w:vAlign w:val="bottom"/>
          </w:tcPr>
          <w:p>
            <w:pPr>
              <w:spacing w:after="0"/>
              <w:rPr>
                <w:sz w:val="20"/>
                <w:szCs w:val="20"/>
                <w:color w:val="auto"/>
              </w:rPr>
            </w:pPr>
            <w:r>
              <w:rPr>
                <w:rFonts w:ascii="Arial" w:cs="Arial" w:eastAsia="Arial" w:hAnsi="Arial"/>
                <w:sz w:val="18"/>
                <w:szCs w:val="18"/>
                <w:color w:val="auto"/>
              </w:rPr>
              <w:t>Regulatory reserve</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20,498</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18,633</w:t>
            </w:r>
          </w:p>
        </w:tc>
      </w:tr>
      <w:tr>
        <w:trPr>
          <w:trHeight w:val="223"/>
        </w:trPr>
        <w:tc>
          <w:tcPr>
            <w:tcW w:w="796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129,254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62,459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9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15.4 Additional paid-in capital</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As of December 31, 2017 and 2016, the additional paid-in capital consists of additional cash contributions to the common capital paid by shareholders.</w:t>
      </w:r>
    </w:p>
    <w:p>
      <w:pPr>
        <w:spacing w:after="0" w:line="244"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16. Cash and stock-based compensation plans</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has established equity compensation plans under which it manages restricted stock, restricted stock units and stock purchase option plans to attract, retain and motivate directors and top employees and compensate them for their contributions to the growth and profitability of the Bank. Vesting conditions for each of the Bank’s plans are only comprised of specified requisite service periods.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 xml:space="preserve">A. </w:t>
      </w:r>
      <w:r>
        <w:rPr>
          <w:rFonts w:ascii="Arial" w:cs="Arial" w:eastAsia="Arial" w:hAnsi="Arial"/>
          <w:sz w:val="18"/>
          <w:szCs w:val="18"/>
          <w:u w:val="single" w:color="auto"/>
          <w:color w:val="auto"/>
        </w:rPr>
        <w:t>2008 Stock Incentive Plan – Directors and Executives</w:t>
      </w:r>
    </w:p>
    <w:p>
      <w:pPr>
        <w:spacing w:after="0" w:line="225"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In February 2008, the Board of Directors of the Bank approved an incentive plan for directors and executives allowing the Bank to grant restricted stock, restricted stock units, stock purchase options, and/or other similar compensation instruments. The maximum aggregate number of shares which may be granted under this plan is three million “Class E” common shares. The 2008 Stock Incentive Plan is administered by the Board of Directors which has the authority in its discretion to select the directors and executives to whom the awards may be granted; to determine whether and to what extent awards are granted, and to amend the terms of any outstanding award under this plan.</w:t>
      </w:r>
    </w:p>
    <w:p>
      <w:pPr>
        <w:spacing w:after="0" w:line="17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Restricted stocks are issued at the grant date, but are withheld by the Bank until the vesting date. Restricted stocks are entitled to receive dividends. A restricted stock unit is a grant valued in terms of the Bank’s stock, but no stock is issued at the grant date. Restricted stock units are not entitled to dividends. The Bank issues and delivers common stock at the vesting date of the restricted stock units.</w:t>
      </w:r>
    </w:p>
    <w:p>
      <w:pPr>
        <w:spacing w:after="0" w:line="18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During 2017 and 2016, the Board of Directors approved the grant of restricted stock to directors and stock options and restricted stock units to certain executives of the Bank, as follows: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 Directors</w:t>
      </w:r>
    </w:p>
    <w:p>
      <w:pPr>
        <w:spacing w:after="0" w:line="225" w:lineRule="exact"/>
        <w:rPr>
          <w:sz w:val="20"/>
          <w:szCs w:val="20"/>
          <w:color w:val="auto"/>
        </w:rPr>
      </w:pPr>
    </w:p>
    <w:p>
      <w:pPr>
        <w:jc w:val="both"/>
        <w:ind w:left="340"/>
        <w:spacing w:after="0" w:line="312" w:lineRule="auto"/>
        <w:rPr>
          <w:sz w:val="20"/>
          <w:szCs w:val="20"/>
          <w:color w:val="auto"/>
        </w:rPr>
      </w:pPr>
      <w:r>
        <w:rPr>
          <w:rFonts w:ascii="Arial" w:cs="Arial" w:eastAsia="Arial" w:hAnsi="Arial"/>
          <w:sz w:val="16"/>
          <w:szCs w:val="16"/>
          <w:color w:val="auto"/>
        </w:rPr>
        <w:t>During the years 2017 and 2016 the Board of Directors granted 57,000 of “Class E” common shares. The fair value of restricted stock granted was based on the stock closing price in the New York Stock Exchange of the “Class E” shares on April 19, 2017 and April 13, 2016. The fair value of restricted stock granted totaled $1,585 in 2017 and $1,376 in 2016, of which $788 y $617 were charged against income during 2017 and 2016, respectively.</w:t>
      </w:r>
    </w:p>
    <w:p>
      <w:pPr>
        <w:spacing w:after="0" w:line="14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5" w:right="239" w:bottom="1440" w:gutter="0" w:footer="0" w:header="0"/>
        </w:sectPr>
      </w:pPr>
    </w:p>
    <w:bookmarkStart w:id="196" w:name="page197"/>
    <w:bookmarkEnd w:id="19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460" w:hanging="317"/>
        <w:spacing w:after="0"/>
        <w:tabs>
          <w:tab w:leader="none" w:pos="460" w:val="left"/>
        </w:tabs>
        <w:numPr>
          <w:ilvl w:val="0"/>
          <w:numId w:val="199"/>
        </w:numPr>
        <w:rPr>
          <w:rFonts w:ascii="Arial" w:cs="Arial" w:eastAsia="Arial" w:hAnsi="Arial"/>
          <w:sz w:val="18"/>
          <w:szCs w:val="18"/>
          <w:b w:val="1"/>
          <w:bCs w:val="1"/>
          <w:color w:val="auto"/>
        </w:rPr>
      </w:pPr>
      <w:r>
        <w:rPr>
          <w:rFonts w:ascii="Arial" w:cs="Arial" w:eastAsia="Arial" w:hAnsi="Arial"/>
          <w:sz w:val="18"/>
          <w:szCs w:val="18"/>
          <w:b w:val="1"/>
          <w:bCs w:val="1"/>
          <w:color w:val="auto"/>
        </w:rPr>
        <w:t>Cash and stock-based compensation plans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 xml:space="preserve">A. </w:t>
      </w:r>
      <w:r>
        <w:rPr>
          <w:rFonts w:ascii="Arial" w:cs="Arial" w:eastAsia="Arial" w:hAnsi="Arial"/>
          <w:sz w:val="18"/>
          <w:szCs w:val="18"/>
          <w:u w:val="single" w:color="auto"/>
          <w:color w:val="auto"/>
        </w:rPr>
        <w:t>2008 Stock Incentive Plan – Directors and Executives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 Directors (continued)</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total expense recorded during 2017, 2016 and 2015 of restricted stock – directors $1,697, $1,548 and $1,553. The remaining cost pending amortization of $1,033 at December 31, 2017 will be amortized over 2.3 years.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stocks lose their restriction from the year following the anniversary date, as follows: 35% in the first and second year, and 30% in the third year.</w:t>
      </w:r>
    </w:p>
    <w:p>
      <w:pPr>
        <w:spacing w:after="0" w:line="248"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280" w:type="dxa"/>
            <w:vAlign w:val="bottom"/>
            <w:gridSpan w:val="3"/>
          </w:tcPr>
          <w:p>
            <w:pPr>
              <w:spacing w:after="0"/>
              <w:rPr>
                <w:sz w:val="20"/>
                <w:szCs w:val="20"/>
                <w:color w:val="auto"/>
              </w:rPr>
            </w:pPr>
            <w:r>
              <w:rPr>
                <w:rFonts w:ascii="Arial" w:cs="Arial" w:eastAsia="Arial" w:hAnsi="Arial"/>
                <w:sz w:val="18"/>
                <w:szCs w:val="18"/>
                <w:color w:val="auto"/>
              </w:rPr>
              <w:t>A summary of the restricted stock granted to Directors is presented below:</w:t>
            </w:r>
          </w:p>
        </w:tc>
        <w:tc>
          <w:tcPr>
            <w:tcW w:w="6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320" w:type="dxa"/>
            <w:vAlign w:val="bottom"/>
          </w:tcPr>
          <w:p>
            <w:pPr>
              <w:spacing w:after="0"/>
              <w:rPr>
                <w:sz w:val="24"/>
                <w:szCs w:val="24"/>
                <w:color w:val="auto"/>
              </w:rPr>
            </w:pPr>
          </w:p>
        </w:tc>
        <w:tc>
          <w:tcPr>
            <w:tcW w:w="650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3"/>
              </w:rPr>
              <w:t>Weighted average</w:t>
            </w:r>
          </w:p>
        </w:tc>
      </w:tr>
      <w:tr>
        <w:trPr>
          <w:trHeight w:val="234"/>
        </w:trPr>
        <w:tc>
          <w:tcPr>
            <w:tcW w:w="320" w:type="dxa"/>
            <w:vAlign w:val="bottom"/>
          </w:tcPr>
          <w:p>
            <w:pPr>
              <w:spacing w:after="0"/>
              <w:rPr>
                <w:sz w:val="20"/>
                <w:szCs w:val="20"/>
                <w:color w:val="auto"/>
              </w:rPr>
            </w:pPr>
          </w:p>
        </w:tc>
        <w:tc>
          <w:tcPr>
            <w:tcW w:w="6500" w:type="dxa"/>
            <w:vAlign w:val="bottom"/>
          </w:tcPr>
          <w:p>
            <w:pPr>
              <w:spacing w:after="0"/>
              <w:rPr>
                <w:sz w:val="20"/>
                <w:szCs w:val="20"/>
                <w:color w:val="auto"/>
              </w:rPr>
            </w:pPr>
          </w:p>
        </w:tc>
        <w:tc>
          <w:tcPr>
            <w:tcW w:w="1460" w:type="dxa"/>
            <w:vAlign w:val="bottom"/>
          </w:tcPr>
          <w:p>
            <w:pPr>
              <w:ind w:left="800"/>
              <w:spacing w:after="0"/>
              <w:rPr>
                <w:sz w:val="20"/>
                <w:szCs w:val="20"/>
                <w:color w:val="auto"/>
              </w:rPr>
            </w:pPr>
            <w:r>
              <w:rPr>
                <w:rFonts w:ascii="Arial" w:cs="Arial" w:eastAsia="Arial" w:hAnsi="Arial"/>
                <w:sz w:val="18"/>
                <w:szCs w:val="18"/>
                <w:b w:val="1"/>
                <w:bCs w:val="1"/>
                <w:color w:val="auto"/>
              </w:rPr>
              <w:t>Shares</w:t>
            </w:r>
          </w:p>
        </w:tc>
        <w:tc>
          <w:tcPr>
            <w:tcW w:w="6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66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90"/>
              </w:rPr>
              <w:t>grant date fair value</w:t>
            </w:r>
          </w:p>
        </w:tc>
      </w:tr>
      <w:tr>
        <w:trPr>
          <w:trHeight w:val="210"/>
        </w:trPr>
        <w:tc>
          <w:tcPr>
            <w:tcW w:w="320" w:type="dxa"/>
            <w:vAlign w:val="bottom"/>
          </w:tcPr>
          <w:p>
            <w:pPr>
              <w:spacing w:after="0"/>
              <w:rPr>
                <w:sz w:val="18"/>
                <w:szCs w:val="18"/>
                <w:color w:val="auto"/>
              </w:rPr>
            </w:pPr>
          </w:p>
        </w:tc>
        <w:tc>
          <w:tcPr>
            <w:tcW w:w="6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January 1, 2015</w:t>
            </w:r>
          </w:p>
        </w:tc>
        <w:tc>
          <w:tcPr>
            <w:tcW w:w="146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78,336</w:t>
            </w:r>
          </w:p>
        </w:tc>
        <w:tc>
          <w:tcPr>
            <w:tcW w:w="30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24.37</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20" w:type="dxa"/>
            <w:vAlign w:val="bottom"/>
          </w:tcPr>
          <w:p>
            <w:pPr>
              <w:spacing w:after="0"/>
              <w:rPr>
                <w:sz w:val="18"/>
                <w:szCs w:val="18"/>
                <w:color w:val="auto"/>
              </w:rPr>
            </w:pPr>
          </w:p>
        </w:tc>
        <w:tc>
          <w:tcPr>
            <w:tcW w:w="7960" w:type="dxa"/>
            <w:vAlign w:val="bottom"/>
            <w:gridSpan w:val="2"/>
          </w:tcPr>
          <w:p>
            <w:pPr>
              <w:spacing w:after="0"/>
              <w:rPr>
                <w:sz w:val="20"/>
                <w:szCs w:val="20"/>
                <w:color w:val="auto"/>
              </w:rPr>
            </w:pPr>
            <w:r>
              <w:rPr>
                <w:rFonts w:ascii="Arial" w:cs="Arial" w:eastAsia="Arial" w:hAnsi="Arial"/>
                <w:sz w:val="18"/>
                <w:szCs w:val="18"/>
                <w:color w:val="auto"/>
              </w:rPr>
              <w:t>Granted</w:t>
            </w:r>
          </w:p>
        </w:tc>
        <w:tc>
          <w:tcPr>
            <w:tcW w:w="980" w:type="dxa"/>
            <w:vAlign w:val="bottom"/>
            <w:gridSpan w:val="2"/>
          </w:tcPr>
          <w:p>
            <w:pPr>
              <w:jc w:val="right"/>
              <w:ind w:right="300"/>
              <w:spacing w:after="0"/>
              <w:rPr>
                <w:sz w:val="20"/>
                <w:szCs w:val="20"/>
                <w:color w:val="auto"/>
              </w:rPr>
            </w:pPr>
            <w:r>
              <w:rPr>
                <w:rFonts w:ascii="Arial" w:cs="Arial" w:eastAsia="Arial" w:hAnsi="Arial"/>
                <w:sz w:val="18"/>
                <w:szCs w:val="18"/>
                <w:color w:val="auto"/>
              </w:rPr>
              <w:t>57,000</w:t>
            </w:r>
          </w:p>
        </w:tc>
        <w:tc>
          <w:tcPr>
            <w:tcW w:w="1660" w:type="dxa"/>
            <w:vAlign w:val="bottom"/>
            <w:gridSpan w:val="2"/>
          </w:tcPr>
          <w:p>
            <w:pPr>
              <w:jc w:val="right"/>
              <w:ind w:right="100"/>
              <w:spacing w:after="0"/>
              <w:rPr>
                <w:sz w:val="20"/>
                <w:szCs w:val="20"/>
                <w:color w:val="auto"/>
              </w:rPr>
            </w:pPr>
            <w:r>
              <w:rPr>
                <w:rFonts w:ascii="Arial" w:cs="Arial" w:eastAsia="Arial" w:hAnsi="Arial"/>
                <w:sz w:val="18"/>
                <w:szCs w:val="18"/>
                <w:color w:val="auto"/>
              </w:rPr>
              <w:t>33.78</w:t>
            </w:r>
          </w:p>
        </w:tc>
      </w:tr>
      <w:tr>
        <w:trPr>
          <w:trHeight w:val="230"/>
        </w:trPr>
        <w:tc>
          <w:tcPr>
            <w:tcW w:w="320" w:type="dxa"/>
            <w:vAlign w:val="bottom"/>
          </w:tcPr>
          <w:p>
            <w:pPr>
              <w:spacing w:after="0"/>
              <w:rPr>
                <w:sz w:val="19"/>
                <w:szCs w:val="19"/>
                <w:color w:val="auto"/>
              </w:rPr>
            </w:pPr>
          </w:p>
        </w:tc>
        <w:tc>
          <w:tcPr>
            <w:tcW w:w="79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Vested</w:t>
            </w: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(39,015)</w:t>
            </w:r>
          </w:p>
        </w:tc>
        <w:tc>
          <w:tcPr>
            <w:tcW w:w="16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22.69</w:t>
            </w:r>
          </w:p>
        </w:tc>
      </w:tr>
      <w:tr>
        <w:trPr>
          <w:trHeight w:val="210"/>
        </w:trPr>
        <w:tc>
          <w:tcPr>
            <w:tcW w:w="320" w:type="dxa"/>
            <w:vAlign w:val="bottom"/>
          </w:tcPr>
          <w:p>
            <w:pPr>
              <w:spacing w:after="0"/>
              <w:rPr>
                <w:sz w:val="18"/>
                <w:szCs w:val="18"/>
                <w:color w:val="auto"/>
              </w:rPr>
            </w:pPr>
          </w:p>
        </w:tc>
        <w:tc>
          <w:tcPr>
            <w:tcW w:w="6500" w:type="dxa"/>
            <w:vAlign w:val="bottom"/>
          </w:tcPr>
          <w:p>
            <w:pPr>
              <w:spacing w:after="0"/>
              <w:rPr>
                <w:sz w:val="20"/>
                <w:szCs w:val="20"/>
                <w:color w:val="auto"/>
              </w:rPr>
            </w:pPr>
            <w:r>
              <w:rPr>
                <w:rFonts w:ascii="Arial" w:cs="Arial" w:eastAsia="Arial" w:hAnsi="Arial"/>
                <w:sz w:val="18"/>
                <w:szCs w:val="18"/>
                <w:color w:val="auto"/>
              </w:rPr>
              <w:t>Outstanding at December 31, 2015</w:t>
            </w:r>
          </w:p>
        </w:tc>
        <w:tc>
          <w:tcPr>
            <w:tcW w:w="146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96,321</w:t>
            </w:r>
          </w:p>
        </w:tc>
        <w:tc>
          <w:tcPr>
            <w:tcW w:w="300" w:type="dxa"/>
            <w:vAlign w:val="bottom"/>
          </w:tcPr>
          <w:p>
            <w:pPr>
              <w:spacing w:after="0"/>
              <w:rPr>
                <w:sz w:val="18"/>
                <w:szCs w:val="18"/>
                <w:color w:val="auto"/>
              </w:rPr>
            </w:pPr>
          </w:p>
        </w:tc>
        <w:tc>
          <w:tcPr>
            <w:tcW w:w="1660" w:type="dxa"/>
            <w:vAlign w:val="bottom"/>
            <w:gridSpan w:val="2"/>
          </w:tcPr>
          <w:p>
            <w:pPr>
              <w:jc w:val="right"/>
              <w:ind w:right="100"/>
              <w:spacing w:after="0"/>
              <w:rPr>
                <w:sz w:val="20"/>
                <w:szCs w:val="20"/>
                <w:color w:val="auto"/>
              </w:rPr>
            </w:pPr>
            <w:r>
              <w:rPr>
                <w:rFonts w:ascii="Arial" w:cs="Arial" w:eastAsia="Arial" w:hAnsi="Arial"/>
                <w:sz w:val="18"/>
                <w:szCs w:val="18"/>
                <w:color w:val="auto"/>
              </w:rPr>
              <w:t>30.62</w:t>
            </w:r>
          </w:p>
        </w:tc>
      </w:tr>
      <w:tr>
        <w:trPr>
          <w:trHeight w:val="216"/>
        </w:trPr>
        <w:tc>
          <w:tcPr>
            <w:tcW w:w="320" w:type="dxa"/>
            <w:vAlign w:val="bottom"/>
          </w:tcPr>
          <w:p>
            <w:pPr>
              <w:spacing w:after="0"/>
              <w:rPr>
                <w:sz w:val="18"/>
                <w:szCs w:val="18"/>
                <w:color w:val="auto"/>
              </w:rPr>
            </w:pPr>
          </w:p>
        </w:tc>
        <w:tc>
          <w:tcPr>
            <w:tcW w:w="79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Granted</w:t>
            </w:r>
          </w:p>
        </w:tc>
        <w:tc>
          <w:tcPr>
            <w:tcW w:w="9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57,000</w:t>
            </w:r>
          </w:p>
        </w:tc>
        <w:tc>
          <w:tcPr>
            <w:tcW w:w="16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24.14</w:t>
            </w:r>
          </w:p>
        </w:tc>
      </w:tr>
      <w:tr>
        <w:trPr>
          <w:trHeight w:val="230"/>
        </w:trPr>
        <w:tc>
          <w:tcPr>
            <w:tcW w:w="320" w:type="dxa"/>
            <w:vAlign w:val="bottom"/>
          </w:tcPr>
          <w:p>
            <w:pPr>
              <w:spacing w:after="0"/>
              <w:rPr>
                <w:sz w:val="19"/>
                <w:szCs w:val="19"/>
                <w:color w:val="auto"/>
              </w:rPr>
            </w:pPr>
          </w:p>
        </w:tc>
        <w:tc>
          <w:tcPr>
            <w:tcW w:w="7960" w:type="dxa"/>
            <w:vAlign w:val="bottom"/>
            <w:gridSpan w:val="2"/>
          </w:tcPr>
          <w:p>
            <w:pPr>
              <w:spacing w:after="0"/>
              <w:rPr>
                <w:sz w:val="20"/>
                <w:szCs w:val="20"/>
                <w:color w:val="auto"/>
              </w:rPr>
            </w:pPr>
            <w:r>
              <w:rPr>
                <w:rFonts w:ascii="Arial" w:cs="Arial" w:eastAsia="Arial" w:hAnsi="Arial"/>
                <w:sz w:val="18"/>
                <w:szCs w:val="18"/>
                <w:color w:val="auto"/>
              </w:rPr>
              <w:t>Vested</w:t>
            </w:r>
          </w:p>
        </w:tc>
        <w:tc>
          <w:tcPr>
            <w:tcW w:w="980" w:type="dxa"/>
            <w:vAlign w:val="bottom"/>
            <w:gridSpan w:val="2"/>
          </w:tcPr>
          <w:p>
            <w:pPr>
              <w:jc w:val="right"/>
              <w:ind w:right="240"/>
              <w:spacing w:after="0"/>
              <w:rPr>
                <w:sz w:val="20"/>
                <w:szCs w:val="20"/>
                <w:color w:val="auto"/>
              </w:rPr>
            </w:pPr>
            <w:r>
              <w:rPr>
                <w:rFonts w:ascii="Arial" w:cs="Arial" w:eastAsia="Arial" w:hAnsi="Arial"/>
                <w:sz w:val="18"/>
                <w:szCs w:val="18"/>
                <w:color w:val="auto"/>
              </w:rPr>
              <w:t>(56,421)</w:t>
            </w:r>
          </w:p>
        </w:tc>
        <w:tc>
          <w:tcPr>
            <w:tcW w:w="1660" w:type="dxa"/>
            <w:vAlign w:val="bottom"/>
            <w:gridSpan w:val="2"/>
          </w:tcPr>
          <w:p>
            <w:pPr>
              <w:jc w:val="right"/>
              <w:ind w:right="100"/>
              <w:spacing w:after="0"/>
              <w:rPr>
                <w:sz w:val="20"/>
                <w:szCs w:val="20"/>
                <w:color w:val="auto"/>
              </w:rPr>
            </w:pPr>
            <w:r>
              <w:rPr>
                <w:rFonts w:ascii="Arial" w:cs="Arial" w:eastAsia="Arial" w:hAnsi="Arial"/>
                <w:sz w:val="18"/>
                <w:szCs w:val="18"/>
                <w:color w:val="auto"/>
              </w:rPr>
              <w:t>28.80</w:t>
            </w:r>
          </w:p>
        </w:tc>
      </w:tr>
      <w:tr>
        <w:trPr>
          <w:trHeight w:val="210"/>
        </w:trPr>
        <w:tc>
          <w:tcPr>
            <w:tcW w:w="320" w:type="dxa"/>
            <w:vAlign w:val="bottom"/>
          </w:tcPr>
          <w:p>
            <w:pPr>
              <w:spacing w:after="0"/>
              <w:rPr>
                <w:sz w:val="18"/>
                <w:szCs w:val="18"/>
                <w:color w:val="auto"/>
              </w:rPr>
            </w:pPr>
          </w:p>
        </w:tc>
        <w:tc>
          <w:tcPr>
            <w:tcW w:w="6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2016</w:t>
            </w:r>
          </w:p>
        </w:tc>
        <w:tc>
          <w:tcPr>
            <w:tcW w:w="146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96,900</w:t>
            </w:r>
          </w:p>
        </w:tc>
        <w:tc>
          <w:tcPr>
            <w:tcW w:w="30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27.86</w:t>
            </w:r>
          </w:p>
        </w:tc>
      </w:tr>
      <w:tr>
        <w:trPr>
          <w:trHeight w:val="216"/>
        </w:trPr>
        <w:tc>
          <w:tcPr>
            <w:tcW w:w="320" w:type="dxa"/>
            <w:vAlign w:val="bottom"/>
          </w:tcPr>
          <w:p>
            <w:pPr>
              <w:spacing w:after="0"/>
              <w:rPr>
                <w:sz w:val="18"/>
                <w:szCs w:val="18"/>
                <w:color w:val="auto"/>
              </w:rPr>
            </w:pPr>
          </w:p>
        </w:tc>
        <w:tc>
          <w:tcPr>
            <w:tcW w:w="7960" w:type="dxa"/>
            <w:vAlign w:val="bottom"/>
            <w:gridSpan w:val="2"/>
          </w:tcPr>
          <w:p>
            <w:pPr>
              <w:spacing w:after="0"/>
              <w:rPr>
                <w:sz w:val="20"/>
                <w:szCs w:val="20"/>
                <w:color w:val="auto"/>
              </w:rPr>
            </w:pPr>
            <w:r>
              <w:rPr>
                <w:rFonts w:ascii="Arial" w:cs="Arial" w:eastAsia="Arial" w:hAnsi="Arial"/>
                <w:sz w:val="18"/>
                <w:szCs w:val="18"/>
                <w:color w:val="auto"/>
              </w:rPr>
              <w:t>Granted</w:t>
            </w:r>
          </w:p>
        </w:tc>
        <w:tc>
          <w:tcPr>
            <w:tcW w:w="980" w:type="dxa"/>
            <w:vAlign w:val="bottom"/>
            <w:gridSpan w:val="2"/>
          </w:tcPr>
          <w:p>
            <w:pPr>
              <w:jc w:val="right"/>
              <w:ind w:right="300"/>
              <w:spacing w:after="0"/>
              <w:rPr>
                <w:sz w:val="20"/>
                <w:szCs w:val="20"/>
                <w:color w:val="auto"/>
              </w:rPr>
            </w:pPr>
            <w:r>
              <w:rPr>
                <w:rFonts w:ascii="Arial" w:cs="Arial" w:eastAsia="Arial" w:hAnsi="Arial"/>
                <w:sz w:val="18"/>
                <w:szCs w:val="18"/>
                <w:color w:val="auto"/>
              </w:rPr>
              <w:t>57,000</w:t>
            </w:r>
          </w:p>
        </w:tc>
        <w:tc>
          <w:tcPr>
            <w:tcW w:w="1660" w:type="dxa"/>
            <w:vAlign w:val="bottom"/>
            <w:gridSpan w:val="2"/>
          </w:tcPr>
          <w:p>
            <w:pPr>
              <w:jc w:val="right"/>
              <w:ind w:right="100"/>
              <w:spacing w:after="0"/>
              <w:rPr>
                <w:sz w:val="20"/>
                <w:szCs w:val="20"/>
                <w:color w:val="auto"/>
              </w:rPr>
            </w:pPr>
            <w:r>
              <w:rPr>
                <w:rFonts w:ascii="Arial" w:cs="Arial" w:eastAsia="Arial" w:hAnsi="Arial"/>
                <w:sz w:val="18"/>
                <w:szCs w:val="18"/>
                <w:color w:val="auto"/>
              </w:rPr>
              <w:t>27.80</w:t>
            </w:r>
          </w:p>
        </w:tc>
      </w:tr>
      <w:tr>
        <w:trPr>
          <w:trHeight w:val="230"/>
        </w:trPr>
        <w:tc>
          <w:tcPr>
            <w:tcW w:w="320" w:type="dxa"/>
            <w:vAlign w:val="bottom"/>
          </w:tcPr>
          <w:p>
            <w:pPr>
              <w:spacing w:after="0"/>
              <w:rPr>
                <w:sz w:val="19"/>
                <w:szCs w:val="19"/>
                <w:color w:val="auto"/>
              </w:rPr>
            </w:pPr>
          </w:p>
        </w:tc>
        <w:tc>
          <w:tcPr>
            <w:tcW w:w="79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Vested</w:t>
            </w: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(61,950)</w:t>
            </w:r>
          </w:p>
        </w:tc>
        <w:tc>
          <w:tcPr>
            <w:tcW w:w="16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28.50</w:t>
            </w:r>
          </w:p>
        </w:tc>
      </w:tr>
      <w:tr>
        <w:trPr>
          <w:trHeight w:val="263"/>
        </w:trPr>
        <w:tc>
          <w:tcPr>
            <w:tcW w:w="320" w:type="dxa"/>
            <w:vAlign w:val="bottom"/>
          </w:tcPr>
          <w:p>
            <w:pPr>
              <w:spacing w:after="0"/>
              <w:rPr>
                <w:sz w:val="22"/>
                <w:szCs w:val="22"/>
                <w:color w:val="auto"/>
              </w:rPr>
            </w:pPr>
          </w:p>
        </w:tc>
        <w:tc>
          <w:tcPr>
            <w:tcW w:w="65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Outstanding at December 31, 2017</w:t>
            </w:r>
          </w:p>
        </w:tc>
        <w:tc>
          <w:tcPr>
            <w:tcW w:w="1460" w:type="dxa"/>
            <w:vAlign w:val="bottom"/>
            <w:tcBorders>
              <w:top w:val="single" w:sz="8" w:color="auto"/>
              <w:bottom w:val="single" w:sz="8" w:color="auto"/>
            </w:tcBorders>
          </w:tcPr>
          <w:p>
            <w:pPr>
              <w:spacing w:after="0"/>
              <w:rPr>
                <w:sz w:val="22"/>
                <w:szCs w:val="22"/>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91,950</w:t>
            </w:r>
          </w:p>
        </w:tc>
        <w:tc>
          <w:tcPr>
            <w:tcW w:w="300" w:type="dxa"/>
            <w:vAlign w:val="bottom"/>
            <w:tcBorders>
              <w:bottom w:val="single" w:sz="8" w:color="CCEEFF"/>
            </w:tcBorders>
          </w:tcPr>
          <w:p>
            <w:pPr>
              <w:spacing w:after="0"/>
              <w:rPr>
                <w:sz w:val="22"/>
                <w:szCs w:val="22"/>
                <w:color w:val="auto"/>
              </w:rPr>
            </w:pPr>
          </w:p>
        </w:tc>
        <w:tc>
          <w:tcPr>
            <w:tcW w:w="1660" w:type="dxa"/>
            <w:vAlign w:val="bottom"/>
            <w:tcBorders>
              <w:bottom w:val="single" w:sz="8" w:color="CCEEFF"/>
            </w:tcBorders>
            <w:gridSpan w:val="2"/>
          </w:tcPr>
          <w:p>
            <w:pPr>
              <w:jc w:val="right"/>
              <w:ind w:right="100"/>
              <w:spacing w:after="0"/>
              <w:rPr>
                <w:sz w:val="20"/>
                <w:szCs w:val="20"/>
                <w:color w:val="auto"/>
              </w:rPr>
            </w:pPr>
            <w:r>
              <w:rPr>
                <w:rFonts w:ascii="Arial" w:cs="Arial" w:eastAsia="Arial" w:hAnsi="Arial"/>
                <w:sz w:val="18"/>
                <w:szCs w:val="18"/>
                <w:color w:val="auto"/>
              </w:rPr>
              <w:t>27.40</w:t>
            </w:r>
          </w:p>
        </w:tc>
      </w:tr>
      <w:tr>
        <w:trPr>
          <w:trHeight w:val="197"/>
        </w:trPr>
        <w:tc>
          <w:tcPr>
            <w:tcW w:w="320" w:type="dxa"/>
            <w:vAlign w:val="bottom"/>
          </w:tcPr>
          <w:p>
            <w:pPr>
              <w:spacing w:after="0"/>
              <w:rPr>
                <w:sz w:val="17"/>
                <w:szCs w:val="17"/>
                <w:color w:val="auto"/>
              </w:rPr>
            </w:pPr>
          </w:p>
        </w:tc>
        <w:tc>
          <w:tcPr>
            <w:tcW w:w="65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Expected to vest</w:t>
            </w:r>
          </w:p>
        </w:tc>
        <w:tc>
          <w:tcPr>
            <w:tcW w:w="1460" w:type="dxa"/>
            <w:vAlign w:val="bottom"/>
            <w:tcBorders>
              <w:bottom w:val="single" w:sz="8" w:color="auto"/>
            </w:tcBorders>
            <w:shd w:val="clear" w:color="auto" w:fill="CCEEFF"/>
          </w:tcPr>
          <w:p>
            <w:pPr>
              <w:spacing w:after="0"/>
              <w:rPr>
                <w:sz w:val="17"/>
                <w:szCs w:val="17"/>
                <w:color w:val="auto"/>
              </w:rPr>
            </w:pPr>
          </w:p>
        </w:tc>
        <w:tc>
          <w:tcPr>
            <w:tcW w:w="6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91,950</w:t>
            </w:r>
          </w:p>
        </w:tc>
        <w:tc>
          <w:tcPr>
            <w:tcW w:w="300" w:type="dxa"/>
            <w:vAlign w:val="bottom"/>
            <w:tcBorders>
              <w:bottom w:val="single" w:sz="8" w:color="CCEEFF"/>
            </w:tcBorders>
            <w:shd w:val="clear" w:color="auto" w:fill="CCEEFF"/>
          </w:tcPr>
          <w:p>
            <w:pPr>
              <w:spacing w:after="0"/>
              <w:rPr>
                <w:sz w:val="17"/>
                <w:szCs w:val="17"/>
                <w:color w:val="auto"/>
              </w:rPr>
            </w:pPr>
          </w:p>
        </w:tc>
        <w:tc>
          <w:tcPr>
            <w:tcW w:w="15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r>
      <w:tr>
        <w:trPr>
          <w:trHeight w:val="20"/>
        </w:trPr>
        <w:tc>
          <w:tcPr>
            <w:tcW w:w="320" w:type="dxa"/>
            <w:vAlign w:val="bottom"/>
          </w:tcPr>
          <w:p>
            <w:pPr>
              <w:spacing w:after="0" w:line="20" w:lineRule="exact"/>
              <w:rPr>
                <w:sz w:val="1"/>
                <w:szCs w:val="1"/>
                <w:color w:val="auto"/>
              </w:rPr>
            </w:pPr>
          </w:p>
        </w:tc>
        <w:tc>
          <w:tcPr>
            <w:tcW w:w="65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5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fair value of vested stock during the years 2017 and 2016 was $1,765 and $1,625, respectively.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Units and Stock Purchase Options granted to certain Executives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Board of Directors approved the grant of stock purchase options and restricted stock units to certain executives of the Bank with a grant date fair value of $650 in 2017 and $1,670 in 2016. The distribution of the fair value was in units of restricted shares.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Restricted stock units</w:t>
      </w:r>
    </w:p>
    <w:p>
      <w:pPr>
        <w:spacing w:after="0" w:line="225"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 xml:space="preserve">The fair value of the stock units was based on the “Class E” stock closing price in the New York Stock Exchange on the grants date. These stock units vest 25% each year on the grant date’s anniversary. </w:t>
      </w:r>
      <w:r>
        <w:rPr>
          <w:rFonts w:ascii="Arial" w:cs="Arial" w:eastAsia="Arial" w:hAnsi="Arial"/>
          <w:sz w:val="17"/>
          <w:szCs w:val="17"/>
          <w:color w:val="222222"/>
        </w:rPr>
        <w:t>The restricted stock units are exchanged at a ratio of 1: 1 for common shares "Class E".</w:t>
      </w:r>
    </w:p>
    <w:p>
      <w:pPr>
        <w:spacing w:after="0" w:line="147"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Compensation costs of the restricted stock units are amortized during the period of restriction by accelerated method. Costs charged against income during 2017, 2016 and 2015 due to the amortization of these grants totaled $811, $1,295 and $1,282, respectively. The remaining compensation cost pending amortization of $381 in 2017 will be amortized over 2.5 years.</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5" w:right="239" w:bottom="1440" w:gutter="0" w:footer="0" w:header="0"/>
        </w:sectPr>
      </w:pPr>
    </w:p>
    <w:bookmarkStart w:id="197" w:name="page198"/>
    <w:bookmarkEnd w:id="19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460" w:hanging="317"/>
        <w:spacing w:after="0"/>
        <w:tabs>
          <w:tab w:leader="none" w:pos="460" w:val="left"/>
        </w:tabs>
        <w:numPr>
          <w:ilvl w:val="0"/>
          <w:numId w:val="200"/>
        </w:numPr>
        <w:rPr>
          <w:rFonts w:ascii="Arial" w:cs="Arial" w:eastAsia="Arial" w:hAnsi="Arial"/>
          <w:sz w:val="18"/>
          <w:szCs w:val="18"/>
          <w:b w:val="1"/>
          <w:bCs w:val="1"/>
          <w:color w:val="auto"/>
        </w:rPr>
      </w:pPr>
      <w:r>
        <w:rPr>
          <w:rFonts w:ascii="Arial" w:cs="Arial" w:eastAsia="Arial" w:hAnsi="Arial"/>
          <w:sz w:val="18"/>
          <w:szCs w:val="18"/>
          <w:b w:val="1"/>
          <w:bCs w:val="1"/>
          <w:color w:val="auto"/>
        </w:rPr>
        <w:t>Cash and stock-based compensation plans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 xml:space="preserve">A. </w:t>
      </w:r>
      <w:r>
        <w:rPr>
          <w:rFonts w:ascii="Arial" w:cs="Arial" w:eastAsia="Arial" w:hAnsi="Arial"/>
          <w:sz w:val="18"/>
          <w:szCs w:val="18"/>
          <w:u w:val="single" w:color="auto"/>
          <w:color w:val="auto"/>
        </w:rPr>
        <w:t>2008 Stock Incentive Plan – Directors and Executives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Units and Stock Purchase Options granted to certain Executives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Restricted stock units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summary of the restricted stock units granted to certain executives is presented below:</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1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1"/>
              </w:rPr>
              <w:t>Weighted</w:t>
            </w: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1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average</w:t>
            </w: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1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Weighted</w:t>
            </w:r>
          </w:p>
        </w:tc>
        <w:tc>
          <w:tcPr>
            <w:tcW w:w="11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remaining</w:t>
            </w:r>
          </w:p>
        </w:tc>
        <w:tc>
          <w:tcPr>
            <w:tcW w:w="900" w:type="dxa"/>
            <w:vAlign w:val="bottom"/>
            <w:gridSpan w:val="4"/>
          </w:tcPr>
          <w:p>
            <w:pPr>
              <w:spacing w:after="0"/>
              <w:rPr>
                <w:sz w:val="20"/>
                <w:szCs w:val="20"/>
                <w:color w:val="auto"/>
              </w:rPr>
            </w:pPr>
            <w:r>
              <w:rPr>
                <w:rFonts w:ascii="Arial" w:cs="Arial" w:eastAsia="Arial" w:hAnsi="Arial"/>
                <w:sz w:val="18"/>
                <w:szCs w:val="18"/>
                <w:b w:val="1"/>
                <w:bCs w:val="1"/>
                <w:color w:val="auto"/>
                <w:w w:val="98"/>
              </w:rPr>
              <w:t>Aggregate</w:t>
            </w:r>
          </w:p>
        </w:tc>
        <w:tc>
          <w:tcPr>
            <w:tcW w:w="0" w:type="dxa"/>
            <w:vAlign w:val="bottom"/>
          </w:tcPr>
          <w:p>
            <w:pPr>
              <w:spacing w:after="0"/>
              <w:rPr>
                <w:sz w:val="1"/>
                <w:szCs w:val="1"/>
                <w:color w:val="auto"/>
              </w:rPr>
            </w:pPr>
          </w:p>
        </w:tc>
      </w:tr>
      <w:tr>
        <w:trPr>
          <w:trHeight w:val="216"/>
        </w:trPr>
        <w:tc>
          <w:tcPr>
            <w:tcW w:w="61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average grand</w:t>
            </w:r>
          </w:p>
        </w:tc>
        <w:tc>
          <w:tcPr>
            <w:tcW w:w="11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contractual</w:t>
            </w:r>
          </w:p>
        </w:tc>
        <w:tc>
          <w:tcPr>
            <w:tcW w:w="90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94"/>
              </w:rPr>
              <w:t>Intrinsic</w:t>
            </w:r>
          </w:p>
        </w:tc>
        <w:tc>
          <w:tcPr>
            <w:tcW w:w="0" w:type="dxa"/>
            <w:vAlign w:val="bottom"/>
          </w:tcPr>
          <w:p>
            <w:pPr>
              <w:spacing w:after="0"/>
              <w:rPr>
                <w:sz w:val="1"/>
                <w:szCs w:val="1"/>
                <w:color w:val="auto"/>
              </w:rPr>
            </w:pPr>
          </w:p>
        </w:tc>
      </w:tr>
      <w:tr>
        <w:trPr>
          <w:trHeight w:val="234"/>
        </w:trPr>
        <w:tc>
          <w:tcPr>
            <w:tcW w:w="6120" w:type="dxa"/>
            <w:vAlign w:val="bottom"/>
          </w:tcPr>
          <w:p>
            <w:pPr>
              <w:spacing w:after="0"/>
              <w:rPr>
                <w:sz w:val="20"/>
                <w:szCs w:val="20"/>
                <w:color w:val="auto"/>
              </w:rPr>
            </w:pPr>
          </w:p>
        </w:tc>
        <w:tc>
          <w:tcPr>
            <w:tcW w:w="148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Shares</w:t>
            </w:r>
          </w:p>
        </w:tc>
        <w:tc>
          <w:tcPr>
            <w:tcW w:w="13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date fair value</w:t>
            </w: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7"/>
              </w:rPr>
              <w:t>term</w:t>
            </w:r>
          </w:p>
        </w:tc>
        <w:tc>
          <w:tcPr>
            <w:tcW w:w="140" w:type="dxa"/>
            <w:vAlign w:val="bottom"/>
          </w:tcPr>
          <w:p>
            <w:pPr>
              <w:spacing w:after="0"/>
              <w:rPr>
                <w:sz w:val="20"/>
                <w:szCs w:val="20"/>
                <w:color w:val="auto"/>
              </w:rPr>
            </w:pPr>
          </w:p>
        </w:tc>
        <w:tc>
          <w:tcPr>
            <w:tcW w:w="76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86"/>
              </w:rPr>
              <w:t>value</w:t>
            </w:r>
          </w:p>
        </w:tc>
        <w:tc>
          <w:tcPr>
            <w:tcW w:w="0" w:type="dxa"/>
            <w:vAlign w:val="bottom"/>
          </w:tcPr>
          <w:p>
            <w:pPr>
              <w:spacing w:after="0"/>
              <w:rPr>
                <w:sz w:val="1"/>
                <w:szCs w:val="1"/>
                <w:color w:val="auto"/>
              </w:rPr>
            </w:pPr>
          </w:p>
        </w:tc>
      </w:tr>
      <w:tr>
        <w:trPr>
          <w:trHeight w:val="210"/>
        </w:trPr>
        <w:tc>
          <w:tcPr>
            <w:tcW w:w="6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January 1, 2015</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163,712</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18.18</w:t>
            </w:r>
          </w:p>
        </w:tc>
        <w:tc>
          <w:tcPr>
            <w:tcW w:w="22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120" w:type="dxa"/>
            <w:vAlign w:val="bottom"/>
          </w:tcPr>
          <w:p>
            <w:pPr>
              <w:spacing w:after="0"/>
              <w:rPr>
                <w:sz w:val="20"/>
                <w:szCs w:val="20"/>
                <w:color w:val="auto"/>
              </w:rPr>
            </w:pPr>
            <w:r>
              <w:rPr>
                <w:rFonts w:ascii="Arial" w:cs="Arial" w:eastAsia="Arial" w:hAnsi="Arial"/>
                <w:sz w:val="18"/>
                <w:szCs w:val="18"/>
                <w:color w:val="auto"/>
              </w:rPr>
              <w:t>Granted</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63,244</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21.67</w:t>
            </w: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12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120" w:type="dxa"/>
            <w:vAlign w:val="bottom"/>
          </w:tcPr>
          <w:p>
            <w:pPr>
              <w:spacing w:after="0"/>
              <w:rPr>
                <w:sz w:val="20"/>
                <w:szCs w:val="20"/>
                <w:color w:val="auto"/>
              </w:rPr>
            </w:pPr>
            <w:r>
              <w:rPr>
                <w:rFonts w:ascii="Arial" w:cs="Arial" w:eastAsia="Arial" w:hAnsi="Arial"/>
                <w:sz w:val="18"/>
                <w:szCs w:val="18"/>
                <w:color w:val="auto"/>
              </w:rPr>
              <w:t>Vested</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(64,208)</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17.67</w:t>
            </w:r>
          </w:p>
        </w:tc>
        <w:tc>
          <w:tcPr>
            <w:tcW w:w="9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2015</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162,748</w:t>
            </w:r>
          </w:p>
        </w:tc>
        <w:tc>
          <w:tcPr>
            <w:tcW w:w="2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19.74</w:t>
            </w:r>
          </w:p>
        </w:tc>
        <w:tc>
          <w:tcPr>
            <w:tcW w:w="9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120" w:type="dxa"/>
            <w:vAlign w:val="bottom"/>
          </w:tcPr>
          <w:p>
            <w:pPr>
              <w:spacing w:after="0"/>
              <w:rPr>
                <w:sz w:val="20"/>
                <w:szCs w:val="20"/>
                <w:color w:val="auto"/>
              </w:rPr>
            </w:pPr>
            <w:r>
              <w:rPr>
                <w:rFonts w:ascii="Arial" w:cs="Arial" w:eastAsia="Arial" w:hAnsi="Arial"/>
                <w:sz w:val="18"/>
                <w:szCs w:val="18"/>
                <w:color w:val="auto"/>
              </w:rPr>
              <w:t>Granted</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91,454</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18.26</w:t>
            </w: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12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(21,408)</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17.69</w:t>
            </w: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120" w:type="dxa"/>
            <w:vAlign w:val="bottom"/>
          </w:tcPr>
          <w:p>
            <w:pPr>
              <w:spacing w:after="0"/>
              <w:rPr>
                <w:sz w:val="20"/>
                <w:szCs w:val="20"/>
                <w:color w:val="auto"/>
              </w:rPr>
            </w:pPr>
            <w:r>
              <w:rPr>
                <w:rFonts w:ascii="Arial" w:cs="Arial" w:eastAsia="Arial" w:hAnsi="Arial"/>
                <w:sz w:val="18"/>
                <w:szCs w:val="18"/>
                <w:color w:val="auto"/>
              </w:rPr>
              <w:t>Vested</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(65,358)</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18.83</w:t>
            </w:r>
          </w:p>
        </w:tc>
        <w:tc>
          <w:tcPr>
            <w:tcW w:w="9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2016</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167,436</w:t>
            </w:r>
          </w:p>
        </w:tc>
        <w:tc>
          <w:tcPr>
            <w:tcW w:w="2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19.35</w:t>
            </w:r>
          </w:p>
        </w:tc>
        <w:tc>
          <w:tcPr>
            <w:tcW w:w="9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120" w:type="dxa"/>
            <w:vAlign w:val="bottom"/>
          </w:tcPr>
          <w:p>
            <w:pPr>
              <w:spacing w:after="0"/>
              <w:rPr>
                <w:sz w:val="20"/>
                <w:szCs w:val="20"/>
                <w:color w:val="auto"/>
              </w:rPr>
            </w:pPr>
            <w:r>
              <w:rPr>
                <w:rFonts w:ascii="Arial" w:cs="Arial" w:eastAsia="Arial" w:hAnsi="Arial"/>
                <w:sz w:val="18"/>
                <w:szCs w:val="18"/>
                <w:color w:val="auto"/>
              </w:rPr>
              <w:t>Granted</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25,289</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25.70</w:t>
            </w: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12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(71,401)</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18.61</w:t>
            </w: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120" w:type="dxa"/>
            <w:vAlign w:val="bottom"/>
          </w:tcPr>
          <w:p>
            <w:pPr>
              <w:spacing w:after="0"/>
              <w:rPr>
                <w:sz w:val="20"/>
                <w:szCs w:val="20"/>
                <w:color w:val="auto"/>
              </w:rPr>
            </w:pPr>
            <w:r>
              <w:rPr>
                <w:rFonts w:ascii="Arial" w:cs="Arial" w:eastAsia="Arial" w:hAnsi="Arial"/>
                <w:sz w:val="18"/>
                <w:szCs w:val="18"/>
                <w:color w:val="auto"/>
              </w:rPr>
              <w:t>Vested</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(70,519)</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19.76</w:t>
            </w:r>
          </w:p>
        </w:tc>
        <w:tc>
          <w:tcPr>
            <w:tcW w:w="9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2017</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50,805</w:t>
            </w:r>
          </w:p>
        </w:tc>
        <w:tc>
          <w:tcPr>
            <w:tcW w:w="2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21.07</w:t>
            </w:r>
          </w:p>
        </w:tc>
        <w:tc>
          <w:tcPr>
            <w:tcW w:w="1120" w:type="dxa"/>
            <w:vAlign w:val="bottom"/>
            <w:tcBorders>
              <w:top w:val="single" w:sz="8" w:color="CCEEFF"/>
            </w:tcBorders>
            <w:gridSpan w:val="2"/>
            <w:shd w:val="clear" w:color="auto" w:fill="CCEEFF"/>
          </w:tcPr>
          <w:p>
            <w:pPr>
              <w:ind w:left="180"/>
              <w:spacing w:after="0"/>
              <w:rPr>
                <w:sz w:val="20"/>
                <w:szCs w:val="20"/>
                <w:color w:val="auto"/>
              </w:rPr>
            </w:pPr>
            <w:r>
              <w:rPr>
                <w:rFonts w:ascii="Arial" w:cs="Arial" w:eastAsia="Arial" w:hAnsi="Arial"/>
                <w:sz w:val="18"/>
                <w:szCs w:val="18"/>
                <w:color w:val="auto"/>
              </w:rPr>
              <w:t>2.02 years</w:t>
            </w:r>
          </w:p>
        </w:tc>
        <w:tc>
          <w:tcPr>
            <w:tcW w:w="1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w:t>
            </w: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518</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1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Expected to vest</w:t>
            </w: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120" w:type="dxa"/>
            <w:vAlign w:val="bottom"/>
            <w:tcBorders>
              <w:top w:val="single" w:sz="8" w:color="CCEEFF"/>
              <w:bottom w:val="single" w:sz="8" w:color="CCEEFF"/>
            </w:tcBorders>
            <w:gridSpan w:val="2"/>
            <w:vMerge w:val="restart"/>
          </w:tcPr>
          <w:p>
            <w:pPr>
              <w:ind w:left="180"/>
              <w:spacing w:after="0"/>
              <w:rPr>
                <w:sz w:val="20"/>
                <w:szCs w:val="20"/>
                <w:color w:val="auto"/>
              </w:rPr>
            </w:pPr>
            <w:r>
              <w:rPr>
                <w:rFonts w:ascii="Arial" w:cs="Arial" w:eastAsia="Arial" w:hAnsi="Arial"/>
                <w:sz w:val="18"/>
                <w:szCs w:val="18"/>
                <w:color w:val="auto"/>
              </w:rPr>
              <w:t>2.02 years</w:t>
            </w: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120" w:type="dxa"/>
            <w:vAlign w:val="bottom"/>
            <w:vMerge w:val="continue"/>
          </w:tcPr>
          <w:p>
            <w:pPr>
              <w:spacing w:after="0"/>
              <w:rPr>
                <w:sz w:val="17"/>
                <w:szCs w:val="17"/>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50,805</w:t>
            </w:r>
          </w:p>
        </w:tc>
        <w:tc>
          <w:tcPr>
            <w:tcW w:w="200" w:type="dxa"/>
            <w:vAlign w:val="bottom"/>
            <w:vMerge w:val="continue"/>
          </w:tcPr>
          <w:p>
            <w:pPr>
              <w:spacing w:after="0"/>
              <w:rPr>
                <w:sz w:val="17"/>
                <w:szCs w:val="17"/>
                <w:color w:val="auto"/>
              </w:rPr>
            </w:pPr>
          </w:p>
        </w:tc>
        <w:tc>
          <w:tcPr>
            <w:tcW w:w="11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21.07</w:t>
            </w:r>
          </w:p>
        </w:tc>
        <w:tc>
          <w:tcPr>
            <w:tcW w:w="220" w:type="dxa"/>
            <w:vAlign w:val="bottom"/>
            <w:vMerge w:val="continue"/>
          </w:tcPr>
          <w:p>
            <w:pPr>
              <w:spacing w:after="0"/>
              <w:rPr>
                <w:sz w:val="17"/>
                <w:szCs w:val="17"/>
                <w:color w:val="auto"/>
              </w:rPr>
            </w:pPr>
          </w:p>
        </w:tc>
        <w:tc>
          <w:tcPr>
            <w:tcW w:w="1120" w:type="dxa"/>
            <w:vAlign w:val="bottom"/>
            <w:gridSpan w:val="2"/>
            <w:vMerge w:val="continue"/>
          </w:tcPr>
          <w:p>
            <w:pPr>
              <w:spacing w:after="0"/>
              <w:rPr>
                <w:sz w:val="17"/>
                <w:szCs w:val="17"/>
                <w:color w:val="auto"/>
              </w:rPr>
            </w:pPr>
          </w:p>
        </w:tc>
        <w:tc>
          <w:tcPr>
            <w:tcW w:w="140" w:type="dxa"/>
            <w:vAlign w:val="bottom"/>
            <w:tcBorders>
              <w:bottom w:val="single" w:sz="8" w:color="auto"/>
            </w:tcBorders>
          </w:tcPr>
          <w:p>
            <w:pPr>
              <w:spacing w:after="0" w:line="196" w:lineRule="exact"/>
              <w:rPr>
                <w:sz w:val="20"/>
                <w:szCs w:val="20"/>
                <w:color w:val="auto"/>
              </w:rPr>
            </w:pPr>
            <w:r>
              <w:rPr>
                <w:rFonts w:ascii="Arial" w:cs="Arial" w:eastAsia="Arial" w:hAnsi="Arial"/>
                <w:sz w:val="18"/>
                <w:szCs w:val="18"/>
                <w:color w:val="auto"/>
              </w:rPr>
              <w:t>$</w:t>
            </w:r>
          </w:p>
        </w:tc>
        <w:tc>
          <w:tcPr>
            <w:tcW w:w="6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296</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1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fair value of vested stock during the years 2017 and 2016 is $1,394, and $1,230, respectively.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Stock purchase options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fair value of stock purchase options granted to certain Executives during 2017 was estimated using a binomial option-pricing model, based on the following factors: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160" w:type="dxa"/>
            <w:vAlign w:val="bottom"/>
          </w:tcPr>
          <w:p>
            <w:pPr>
              <w:spacing w:after="0"/>
              <w:rPr>
                <w:sz w:val="18"/>
                <w:szCs w:val="18"/>
                <w:color w:val="auto"/>
              </w:rPr>
            </w:pPr>
          </w:p>
        </w:tc>
        <w:tc>
          <w:tcPr>
            <w:tcW w:w="10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3"/>
              </w:rPr>
              <w:t>Measuring</w:t>
            </w: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34"/>
        </w:trPr>
        <w:tc>
          <w:tcPr>
            <w:tcW w:w="6160" w:type="dxa"/>
            <w:vAlign w:val="bottom"/>
          </w:tcPr>
          <w:p>
            <w:pPr>
              <w:spacing w:after="0"/>
              <w:rPr>
                <w:sz w:val="20"/>
                <w:szCs w:val="20"/>
                <w:color w:val="auto"/>
              </w:rPr>
            </w:pPr>
          </w:p>
        </w:tc>
        <w:tc>
          <w:tcPr>
            <w:tcW w:w="10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6"/>
              </w:rPr>
              <w:t>unit</w:t>
            </w:r>
          </w:p>
        </w:tc>
        <w:tc>
          <w:tcPr>
            <w:tcW w:w="760" w:type="dxa"/>
            <w:vAlign w:val="bottom"/>
          </w:tcPr>
          <w:p>
            <w:pPr>
              <w:jc w:val="right"/>
              <w:ind w:right="11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760" w:type="dxa"/>
            <w:vAlign w:val="bottom"/>
          </w:tcPr>
          <w:p>
            <w:pPr>
              <w:jc w:val="right"/>
              <w:ind w:right="11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660" w:type="dxa"/>
            <w:vAlign w:val="bottom"/>
          </w:tcPr>
          <w:p>
            <w:pPr>
              <w:jc w:val="right"/>
              <w:ind w:right="550"/>
              <w:spacing w:after="0"/>
              <w:rPr>
                <w:sz w:val="20"/>
                <w:szCs w:val="20"/>
                <w:color w:val="auto"/>
              </w:rPr>
            </w:pPr>
            <w:r>
              <w:rPr>
                <w:rFonts w:ascii="Arial" w:cs="Arial" w:eastAsia="Arial" w:hAnsi="Arial"/>
                <w:sz w:val="18"/>
                <w:szCs w:val="18"/>
                <w:b w:val="1"/>
                <w:bCs w:val="1"/>
                <w:color w:val="auto"/>
              </w:rPr>
              <w:t>2015</w:t>
            </w:r>
          </w:p>
        </w:tc>
        <w:tc>
          <w:tcPr>
            <w:tcW w:w="160" w:type="dxa"/>
            <w:vAlign w:val="bottom"/>
          </w:tcPr>
          <w:p>
            <w:pPr>
              <w:spacing w:after="0"/>
              <w:rPr>
                <w:sz w:val="20"/>
                <w:szCs w:val="20"/>
                <w:color w:val="auto"/>
              </w:rPr>
            </w:pPr>
          </w:p>
        </w:tc>
      </w:tr>
      <w:tr>
        <w:trPr>
          <w:trHeight w:val="210"/>
        </w:trPr>
        <w:tc>
          <w:tcPr>
            <w:tcW w:w="616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66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fair value per option</w:t>
            </w:r>
          </w:p>
        </w:tc>
        <w:tc>
          <w:tcPr>
            <w:tcW w:w="9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1.95 - 2.06</w:t>
            </w:r>
          </w:p>
        </w:tc>
        <w:tc>
          <w:tcPr>
            <w:tcW w:w="160" w:type="dxa"/>
            <w:vAlign w:val="bottom"/>
            <w:shd w:val="clear" w:color="auto" w:fill="CCEEFF"/>
          </w:tcPr>
          <w:p>
            <w:pPr>
              <w:spacing w:after="0"/>
              <w:rPr>
                <w:sz w:val="18"/>
                <w:szCs w:val="18"/>
                <w:color w:val="auto"/>
              </w:rPr>
            </w:pPr>
          </w:p>
        </w:tc>
      </w:tr>
      <w:tr>
        <w:trPr>
          <w:trHeight w:val="216"/>
        </w:trPr>
        <w:tc>
          <w:tcPr>
            <w:tcW w:w="6160" w:type="dxa"/>
            <w:vAlign w:val="bottom"/>
          </w:tcPr>
          <w:p>
            <w:pPr>
              <w:spacing w:after="0"/>
              <w:rPr>
                <w:sz w:val="20"/>
                <w:szCs w:val="20"/>
                <w:color w:val="auto"/>
              </w:rPr>
            </w:pPr>
            <w:r>
              <w:rPr>
                <w:rFonts w:ascii="Arial" w:cs="Arial" w:eastAsia="Arial" w:hAnsi="Arial"/>
                <w:sz w:val="18"/>
                <w:szCs w:val="18"/>
                <w:color w:val="auto"/>
              </w:rPr>
              <w:t>Weighted average expected term, in years</w:t>
            </w:r>
          </w:p>
        </w:tc>
        <w:tc>
          <w:tcPr>
            <w:tcW w:w="1080" w:type="dxa"/>
            <w:vAlign w:val="bottom"/>
            <w:gridSpan w:val="2"/>
          </w:tcPr>
          <w:p>
            <w:pPr>
              <w:jc w:val="center"/>
              <w:ind w:right="120"/>
              <w:spacing w:after="0"/>
              <w:rPr>
                <w:sz w:val="20"/>
                <w:szCs w:val="20"/>
                <w:color w:val="auto"/>
              </w:rPr>
            </w:pPr>
            <w:r>
              <w:rPr>
                <w:rFonts w:ascii="Arial" w:cs="Arial" w:eastAsia="Arial" w:hAnsi="Arial"/>
                <w:sz w:val="18"/>
                <w:szCs w:val="18"/>
                <w:color w:val="auto"/>
                <w:w w:val="84"/>
              </w:rPr>
              <w:t>Year</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820" w:type="dxa"/>
            <w:vAlign w:val="bottom"/>
            <w:gridSpan w:val="2"/>
          </w:tcPr>
          <w:p>
            <w:pPr>
              <w:jc w:val="right"/>
              <w:ind w:right="160"/>
              <w:spacing w:after="0"/>
              <w:rPr>
                <w:sz w:val="20"/>
                <w:szCs w:val="20"/>
                <w:color w:val="auto"/>
              </w:rPr>
            </w:pPr>
            <w:r>
              <w:rPr>
                <w:rFonts w:ascii="Arial" w:cs="Arial" w:eastAsia="Arial" w:hAnsi="Arial"/>
                <w:sz w:val="18"/>
                <w:szCs w:val="18"/>
                <w:color w:val="auto"/>
              </w:rPr>
              <w:t>5.5</w:t>
            </w:r>
          </w:p>
        </w:tc>
      </w:tr>
      <w:tr>
        <w:trPr>
          <w:trHeight w:val="216"/>
        </w:trPr>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Expected volatility</w:t>
            </w:r>
          </w:p>
        </w:tc>
        <w:tc>
          <w:tcPr>
            <w:tcW w:w="9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w:t>
            </w:r>
          </w:p>
        </w:tc>
      </w:tr>
      <w:tr>
        <w:trPr>
          <w:trHeight w:val="216"/>
        </w:trPr>
        <w:tc>
          <w:tcPr>
            <w:tcW w:w="6160" w:type="dxa"/>
            <w:vAlign w:val="bottom"/>
          </w:tcPr>
          <w:p>
            <w:pPr>
              <w:spacing w:after="0"/>
              <w:rPr>
                <w:sz w:val="20"/>
                <w:szCs w:val="20"/>
                <w:color w:val="auto"/>
              </w:rPr>
            </w:pPr>
            <w:r>
              <w:rPr>
                <w:rFonts w:ascii="Arial" w:cs="Arial" w:eastAsia="Arial" w:hAnsi="Arial"/>
                <w:sz w:val="18"/>
                <w:szCs w:val="18"/>
                <w:color w:val="auto"/>
              </w:rPr>
              <w:t>Risk-free rate</w:t>
            </w:r>
          </w:p>
        </w:tc>
        <w:tc>
          <w:tcPr>
            <w:tcW w:w="980" w:type="dxa"/>
            <w:vAlign w:val="bottom"/>
          </w:tcPr>
          <w:p>
            <w:pPr>
              <w:jc w:val="center"/>
              <w:spacing w:after="0"/>
              <w:rPr>
                <w:sz w:val="20"/>
                <w:szCs w:val="20"/>
                <w:color w:val="auto"/>
              </w:rPr>
            </w:pPr>
            <w:r>
              <w:rPr>
                <w:rFonts w:ascii="Arial" w:cs="Arial" w:eastAsia="Arial" w:hAnsi="Arial"/>
                <w:sz w:val="18"/>
                <w:szCs w:val="18"/>
                <w:color w:val="auto"/>
                <w:w w:val="99"/>
              </w:rPr>
              <w:t>%</w:t>
            </w:r>
          </w:p>
        </w:tc>
        <w:tc>
          <w:tcPr>
            <w:tcW w:w="10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820" w:type="dxa"/>
            <w:vAlign w:val="bottom"/>
            <w:gridSpan w:val="2"/>
          </w:tcPr>
          <w:p>
            <w:pPr>
              <w:jc w:val="right"/>
              <w:ind w:right="160"/>
              <w:spacing w:after="0"/>
              <w:rPr>
                <w:sz w:val="20"/>
                <w:szCs w:val="20"/>
                <w:color w:val="auto"/>
              </w:rPr>
            </w:pPr>
            <w:r>
              <w:rPr>
                <w:rFonts w:ascii="Arial" w:cs="Arial" w:eastAsia="Arial" w:hAnsi="Arial"/>
                <w:sz w:val="18"/>
                <w:szCs w:val="18"/>
                <w:color w:val="auto"/>
              </w:rPr>
              <w:t>0.02 – 1.52</w:t>
            </w:r>
          </w:p>
        </w:tc>
      </w:tr>
      <w:tr>
        <w:trPr>
          <w:trHeight w:val="216"/>
        </w:trPr>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Expected dividend</w:t>
            </w:r>
          </w:p>
        </w:tc>
        <w:tc>
          <w:tcPr>
            <w:tcW w:w="9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5.00%</w:t>
            </w: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These options expire seven years after the grant date and are exercisable at a rate of 25% each year on the grant date’s anniversary.</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5" w:right="239" w:bottom="1440" w:gutter="0" w:footer="0" w:header="0"/>
        </w:sectPr>
      </w:pPr>
    </w:p>
    <w:bookmarkStart w:id="198" w:name="page199"/>
    <w:bookmarkEnd w:id="19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460" w:hanging="317"/>
        <w:spacing w:after="0"/>
        <w:tabs>
          <w:tab w:leader="none" w:pos="460" w:val="left"/>
        </w:tabs>
        <w:numPr>
          <w:ilvl w:val="0"/>
          <w:numId w:val="201"/>
        </w:numPr>
        <w:rPr>
          <w:rFonts w:ascii="Arial" w:cs="Arial" w:eastAsia="Arial" w:hAnsi="Arial"/>
          <w:sz w:val="18"/>
          <w:szCs w:val="18"/>
          <w:b w:val="1"/>
          <w:bCs w:val="1"/>
          <w:color w:val="auto"/>
        </w:rPr>
      </w:pPr>
      <w:r>
        <w:rPr>
          <w:rFonts w:ascii="Arial" w:cs="Arial" w:eastAsia="Arial" w:hAnsi="Arial"/>
          <w:sz w:val="18"/>
          <w:szCs w:val="18"/>
          <w:b w:val="1"/>
          <w:bCs w:val="1"/>
          <w:color w:val="auto"/>
        </w:rPr>
        <w:t>Cash and stock-based compensation plans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 xml:space="preserve">A. </w:t>
      </w:r>
      <w:r>
        <w:rPr>
          <w:rFonts w:ascii="Arial" w:cs="Arial" w:eastAsia="Arial" w:hAnsi="Arial"/>
          <w:sz w:val="18"/>
          <w:szCs w:val="18"/>
          <w:u w:val="single" w:color="auto"/>
          <w:color w:val="auto"/>
        </w:rPr>
        <w:t>2008 Stock Incentive Plan – Directors and Executives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Units and Stock Purchase Options granted to certain Executives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Stock purchase options (continued)</w:t>
      </w:r>
    </w:p>
    <w:p>
      <w:pPr>
        <w:spacing w:after="0" w:line="225"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Related cost charged against income during 2017, 2016 and 2015 as a result of the amortization of these plans amounted to $118, $251 and $454, respectively. The remaining compensation cost pending amortization of $30 in 2017 will be amortized over a period of 1.11 years.</w:t>
      </w:r>
    </w:p>
    <w:p>
      <w:pPr>
        <w:spacing w:after="0" w:line="147"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6220" w:type="dxa"/>
            <w:vAlign w:val="bottom"/>
          </w:tcPr>
          <w:p>
            <w:pPr>
              <w:spacing w:after="0"/>
              <w:rPr>
                <w:sz w:val="20"/>
                <w:szCs w:val="20"/>
                <w:color w:val="auto"/>
              </w:rPr>
            </w:pPr>
            <w:r>
              <w:rPr>
                <w:rFonts w:ascii="Arial" w:cs="Arial" w:eastAsia="Arial" w:hAnsi="Arial"/>
                <w:sz w:val="18"/>
                <w:szCs w:val="18"/>
                <w:color w:val="auto"/>
              </w:rPr>
              <w:t>A summary of stock options granted is presented below:</w:t>
            </w:r>
          </w:p>
        </w:tc>
        <w:tc>
          <w:tcPr>
            <w:tcW w:w="12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62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Weighted</w:t>
            </w:r>
          </w:p>
        </w:tc>
        <w:tc>
          <w:tcPr>
            <w:tcW w:w="1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62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average</w:t>
            </w: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gridSpan w:val="2"/>
          </w:tcPr>
          <w:p>
            <w:pPr>
              <w:ind w:left="160"/>
              <w:spacing w:after="0"/>
              <w:rPr>
                <w:sz w:val="20"/>
                <w:szCs w:val="20"/>
                <w:color w:val="auto"/>
              </w:rPr>
            </w:pPr>
            <w:r>
              <w:rPr>
                <w:rFonts w:ascii="Arial" w:cs="Arial" w:eastAsia="Arial" w:hAnsi="Arial"/>
                <w:sz w:val="18"/>
                <w:szCs w:val="18"/>
                <w:b w:val="1"/>
                <w:bCs w:val="1"/>
                <w:color w:val="auto"/>
              </w:rPr>
              <w:t>Weighted</w:t>
            </w: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remaining</w:t>
            </w:r>
          </w:p>
        </w:tc>
        <w:tc>
          <w:tcPr>
            <w:tcW w:w="900" w:type="dxa"/>
            <w:vAlign w:val="bottom"/>
            <w:gridSpan w:val="3"/>
          </w:tcPr>
          <w:p>
            <w:pPr>
              <w:spacing w:after="0"/>
              <w:rPr>
                <w:sz w:val="20"/>
                <w:szCs w:val="20"/>
                <w:color w:val="auto"/>
              </w:rPr>
            </w:pPr>
            <w:r>
              <w:rPr>
                <w:rFonts w:ascii="Arial" w:cs="Arial" w:eastAsia="Arial" w:hAnsi="Arial"/>
                <w:sz w:val="18"/>
                <w:szCs w:val="18"/>
                <w:b w:val="1"/>
                <w:bCs w:val="1"/>
                <w:color w:val="auto"/>
                <w:w w:val="98"/>
              </w:rPr>
              <w:t>Aggregate</w:t>
            </w:r>
          </w:p>
        </w:tc>
        <w:tc>
          <w:tcPr>
            <w:tcW w:w="0" w:type="dxa"/>
            <w:vAlign w:val="bottom"/>
          </w:tcPr>
          <w:p>
            <w:pPr>
              <w:spacing w:after="0"/>
              <w:rPr>
                <w:sz w:val="1"/>
                <w:szCs w:val="1"/>
                <w:color w:val="auto"/>
              </w:rPr>
            </w:pPr>
          </w:p>
        </w:tc>
      </w:tr>
      <w:tr>
        <w:trPr>
          <w:trHeight w:val="216"/>
        </w:trPr>
        <w:tc>
          <w:tcPr>
            <w:tcW w:w="62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gridSpan w:val="2"/>
          </w:tcPr>
          <w:p>
            <w:pPr>
              <w:ind w:left="140"/>
              <w:spacing w:after="0"/>
              <w:rPr>
                <w:sz w:val="20"/>
                <w:szCs w:val="20"/>
                <w:color w:val="auto"/>
              </w:rPr>
            </w:pPr>
            <w:r>
              <w:rPr>
                <w:rFonts w:ascii="Arial" w:cs="Arial" w:eastAsia="Arial" w:hAnsi="Arial"/>
                <w:sz w:val="18"/>
                <w:szCs w:val="18"/>
                <w:b w:val="1"/>
                <w:bCs w:val="1"/>
                <w:color w:val="auto"/>
              </w:rPr>
              <w:t>average</w:t>
            </w:r>
          </w:p>
        </w:tc>
        <w:tc>
          <w:tcPr>
            <w:tcW w:w="11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contractual</w:t>
            </w:r>
          </w:p>
        </w:tc>
        <w:tc>
          <w:tcPr>
            <w:tcW w:w="9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4"/>
              </w:rPr>
              <w:t>Intrinsic</w:t>
            </w:r>
          </w:p>
        </w:tc>
        <w:tc>
          <w:tcPr>
            <w:tcW w:w="0" w:type="dxa"/>
            <w:vAlign w:val="bottom"/>
          </w:tcPr>
          <w:p>
            <w:pPr>
              <w:spacing w:after="0"/>
              <w:rPr>
                <w:sz w:val="1"/>
                <w:szCs w:val="1"/>
                <w:color w:val="auto"/>
              </w:rPr>
            </w:pPr>
          </w:p>
        </w:tc>
      </w:tr>
      <w:tr>
        <w:trPr>
          <w:trHeight w:val="234"/>
        </w:trPr>
        <w:tc>
          <w:tcPr>
            <w:tcW w:w="6220" w:type="dxa"/>
            <w:vAlign w:val="bottom"/>
          </w:tcPr>
          <w:p>
            <w:pPr>
              <w:spacing w:after="0"/>
              <w:rPr>
                <w:sz w:val="20"/>
                <w:szCs w:val="20"/>
                <w:color w:val="auto"/>
              </w:rPr>
            </w:pPr>
          </w:p>
        </w:tc>
        <w:tc>
          <w:tcPr>
            <w:tcW w:w="15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Options</w:t>
            </w:r>
          </w:p>
        </w:tc>
        <w:tc>
          <w:tcPr>
            <w:tcW w:w="1260" w:type="dxa"/>
            <w:vAlign w:val="bottom"/>
            <w:gridSpan w:val="2"/>
          </w:tcPr>
          <w:p>
            <w:pPr>
              <w:spacing w:after="0"/>
              <w:rPr>
                <w:sz w:val="20"/>
                <w:szCs w:val="20"/>
                <w:color w:val="auto"/>
              </w:rPr>
            </w:pPr>
            <w:r>
              <w:rPr>
                <w:rFonts w:ascii="Arial" w:cs="Arial" w:eastAsia="Arial" w:hAnsi="Arial"/>
                <w:sz w:val="18"/>
                <w:szCs w:val="18"/>
                <w:b w:val="1"/>
                <w:bCs w:val="1"/>
                <w:color w:val="auto"/>
              </w:rPr>
              <w:t>exercise price</w:t>
            </w: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7"/>
              </w:rPr>
              <w:t>term</w:t>
            </w:r>
          </w:p>
        </w:tc>
        <w:tc>
          <w:tcPr>
            <w:tcW w:w="140" w:type="dxa"/>
            <w:vAlign w:val="bottom"/>
          </w:tcPr>
          <w:p>
            <w:pPr>
              <w:spacing w:after="0"/>
              <w:rPr>
                <w:sz w:val="20"/>
                <w:szCs w:val="20"/>
                <w:color w:val="auto"/>
              </w:rPr>
            </w:pPr>
          </w:p>
        </w:tc>
        <w:tc>
          <w:tcPr>
            <w:tcW w:w="7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value</w:t>
            </w:r>
          </w:p>
        </w:tc>
        <w:tc>
          <w:tcPr>
            <w:tcW w:w="0" w:type="dxa"/>
            <w:vAlign w:val="bottom"/>
          </w:tcPr>
          <w:p>
            <w:pPr>
              <w:spacing w:after="0"/>
              <w:rPr>
                <w:sz w:val="1"/>
                <w:szCs w:val="1"/>
                <w:color w:val="auto"/>
              </w:rPr>
            </w:pPr>
          </w:p>
        </w:tc>
      </w:tr>
      <w:tr>
        <w:trPr>
          <w:trHeight w:val="210"/>
        </w:trPr>
        <w:tc>
          <w:tcPr>
            <w:tcW w:w="6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January 1, 2015</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391,696</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23.65</w:t>
            </w:r>
          </w:p>
        </w:tc>
        <w:tc>
          <w:tcPr>
            <w:tcW w:w="22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20" w:type="dxa"/>
            <w:vAlign w:val="bottom"/>
          </w:tcPr>
          <w:p>
            <w:pPr>
              <w:spacing w:after="0"/>
              <w:rPr>
                <w:sz w:val="20"/>
                <w:szCs w:val="20"/>
                <w:color w:val="auto"/>
              </w:rPr>
            </w:pPr>
            <w:r>
              <w:rPr>
                <w:rFonts w:ascii="Arial" w:cs="Arial" w:eastAsia="Arial" w:hAnsi="Arial"/>
                <w:sz w:val="18"/>
                <w:szCs w:val="18"/>
                <w:color w:val="auto"/>
              </w:rPr>
              <w:t>Granted</w:t>
            </w:r>
          </w:p>
        </w:tc>
        <w:tc>
          <w:tcPr>
            <w:tcW w:w="1500" w:type="dxa"/>
            <w:vAlign w:val="bottom"/>
            <w:gridSpan w:val="2"/>
          </w:tcPr>
          <w:p>
            <w:pPr>
              <w:jc w:val="right"/>
              <w:ind w:right="220"/>
              <w:spacing w:after="0"/>
              <w:rPr>
                <w:sz w:val="20"/>
                <w:szCs w:val="20"/>
                <w:color w:val="auto"/>
              </w:rPr>
            </w:pPr>
            <w:r>
              <w:rPr>
                <w:rFonts w:ascii="Arial" w:cs="Arial" w:eastAsia="Arial" w:hAnsi="Arial"/>
                <w:sz w:val="18"/>
                <w:szCs w:val="18"/>
                <w:color w:val="auto"/>
              </w:rPr>
              <w:t>233,418</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29.25</w:t>
            </w: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220" w:type="dxa"/>
            <w:vAlign w:val="bottom"/>
          </w:tcPr>
          <w:p>
            <w:pPr>
              <w:spacing w:after="0"/>
              <w:rPr>
                <w:sz w:val="20"/>
                <w:szCs w:val="20"/>
                <w:color w:val="auto"/>
              </w:rPr>
            </w:pPr>
            <w:r>
              <w:rPr>
                <w:rFonts w:ascii="Arial" w:cs="Arial" w:eastAsia="Arial" w:hAnsi="Arial"/>
                <w:sz w:val="18"/>
                <w:szCs w:val="18"/>
                <w:color w:val="auto"/>
              </w:rPr>
              <w:t>Exercised</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(70,358)</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20.86</w:t>
            </w:r>
          </w:p>
        </w:tc>
        <w:tc>
          <w:tcPr>
            <w:tcW w:w="9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2015</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554,756</w:t>
            </w: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26.36</w:t>
            </w:r>
          </w:p>
        </w:tc>
        <w:tc>
          <w:tcPr>
            <w:tcW w:w="9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20" w:type="dxa"/>
            <w:vAlign w:val="bottom"/>
          </w:tcPr>
          <w:p>
            <w:pPr>
              <w:spacing w:after="0"/>
              <w:rPr>
                <w:sz w:val="20"/>
                <w:szCs w:val="20"/>
                <w:color w:val="auto"/>
              </w:rPr>
            </w:pPr>
            <w:r>
              <w:rPr>
                <w:rFonts w:ascii="Arial" w:cs="Arial" w:eastAsia="Arial" w:hAnsi="Arial"/>
                <w:sz w:val="18"/>
                <w:szCs w:val="18"/>
                <w:color w:val="auto"/>
              </w:rPr>
              <w:t>Granted</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(126)</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18.93</w:t>
            </w: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220" w:type="dxa"/>
            <w:vAlign w:val="bottom"/>
          </w:tcPr>
          <w:p>
            <w:pPr>
              <w:spacing w:after="0"/>
              <w:rPr>
                <w:sz w:val="20"/>
                <w:szCs w:val="20"/>
                <w:color w:val="auto"/>
              </w:rPr>
            </w:pPr>
            <w:r>
              <w:rPr>
                <w:rFonts w:ascii="Arial" w:cs="Arial" w:eastAsia="Arial" w:hAnsi="Arial"/>
                <w:sz w:val="18"/>
                <w:szCs w:val="18"/>
                <w:color w:val="auto"/>
              </w:rPr>
              <w:t>Exercised</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(68,785)</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22.78</w:t>
            </w:r>
          </w:p>
        </w:tc>
        <w:tc>
          <w:tcPr>
            <w:tcW w:w="9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2016</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485,845</w:t>
            </w: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26.87</w:t>
            </w:r>
          </w:p>
        </w:tc>
        <w:tc>
          <w:tcPr>
            <w:tcW w:w="9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20" w:type="dxa"/>
            <w:vAlign w:val="bottom"/>
          </w:tcPr>
          <w:p>
            <w:pPr>
              <w:spacing w:after="0"/>
              <w:rPr>
                <w:sz w:val="20"/>
                <w:szCs w:val="20"/>
                <w:color w:val="auto"/>
              </w:rPr>
            </w:pPr>
            <w:r>
              <w:rPr>
                <w:rFonts w:ascii="Arial" w:cs="Arial" w:eastAsia="Arial" w:hAnsi="Arial"/>
                <w:sz w:val="18"/>
                <w:szCs w:val="18"/>
                <w:color w:val="auto"/>
              </w:rPr>
              <w:t>Granted</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5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(69,934)</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28.63</w:t>
            </w: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220" w:type="dxa"/>
            <w:vAlign w:val="bottom"/>
          </w:tcPr>
          <w:p>
            <w:pPr>
              <w:spacing w:after="0"/>
              <w:rPr>
                <w:sz w:val="20"/>
                <w:szCs w:val="20"/>
                <w:color w:val="auto"/>
              </w:rPr>
            </w:pPr>
            <w:r>
              <w:rPr>
                <w:rFonts w:ascii="Arial" w:cs="Arial" w:eastAsia="Arial" w:hAnsi="Arial"/>
                <w:sz w:val="18"/>
                <w:szCs w:val="18"/>
                <w:color w:val="auto"/>
              </w:rPr>
              <w:t>Exercised</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(142,268)</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24.84</w:t>
            </w:r>
          </w:p>
        </w:tc>
        <w:tc>
          <w:tcPr>
            <w:tcW w:w="9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2017</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273,643</w:t>
            </w:r>
          </w:p>
        </w:tc>
        <w:tc>
          <w:tcPr>
            <w:tcW w:w="220" w:type="dxa"/>
            <w:vAlign w:val="bottom"/>
            <w:tcBorders>
              <w:top w:val="single" w:sz="8" w:color="CCEEFF"/>
            </w:tcBorders>
            <w:shd w:val="clear" w:color="auto" w:fill="CCEEFF"/>
          </w:tcPr>
          <w:p>
            <w:pPr>
              <w:spacing w:after="0"/>
              <w:rPr>
                <w:sz w:val="19"/>
                <w:szCs w:val="19"/>
                <w:color w:val="auto"/>
              </w:rPr>
            </w:pPr>
          </w:p>
        </w:tc>
        <w:tc>
          <w:tcPr>
            <w:tcW w:w="126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27.48</w:t>
            </w:r>
          </w:p>
        </w:tc>
        <w:tc>
          <w:tcPr>
            <w:tcW w:w="1120" w:type="dxa"/>
            <w:vAlign w:val="bottom"/>
            <w:tcBorders>
              <w:top w:val="single" w:sz="8" w:color="CCEEFF"/>
            </w:tcBorders>
            <w:gridSpan w:val="2"/>
            <w:shd w:val="clear" w:color="auto" w:fill="CCEEFF"/>
          </w:tcPr>
          <w:p>
            <w:pPr>
              <w:ind w:left="180"/>
              <w:spacing w:after="0"/>
              <w:rPr>
                <w:sz w:val="20"/>
                <w:szCs w:val="20"/>
                <w:color w:val="auto"/>
              </w:rPr>
            </w:pPr>
            <w:r>
              <w:rPr>
                <w:rFonts w:ascii="Arial" w:cs="Arial" w:eastAsia="Arial" w:hAnsi="Arial"/>
                <w:sz w:val="18"/>
                <w:szCs w:val="18"/>
                <w:color w:val="auto"/>
              </w:rPr>
              <w:t>3.66 years</w:t>
            </w:r>
          </w:p>
        </w:tc>
        <w:tc>
          <w:tcPr>
            <w:tcW w:w="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w:t>
            </w:r>
          </w:p>
        </w:tc>
        <w:tc>
          <w:tcPr>
            <w:tcW w:w="760" w:type="dxa"/>
            <w:vAlign w:val="bottom"/>
            <w:tcBorders>
              <w:top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242</w:t>
            </w:r>
          </w:p>
        </w:tc>
        <w:tc>
          <w:tcPr>
            <w:tcW w:w="0" w:type="dxa"/>
            <w:vAlign w:val="bottom"/>
          </w:tcPr>
          <w:p>
            <w:pPr>
              <w:spacing w:after="0"/>
              <w:rPr>
                <w:sz w:val="1"/>
                <w:szCs w:val="1"/>
                <w:color w:val="auto"/>
              </w:rPr>
            </w:pPr>
          </w:p>
        </w:tc>
      </w:tr>
      <w:tr>
        <w:trPr>
          <w:trHeight w:val="20"/>
        </w:trPr>
        <w:tc>
          <w:tcPr>
            <w:tcW w:w="62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Exercisable</w:t>
            </w: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120" w:type="dxa"/>
            <w:vAlign w:val="bottom"/>
            <w:tcBorders>
              <w:top w:val="single" w:sz="8" w:color="CCEEFF"/>
              <w:bottom w:val="single" w:sz="8" w:color="CCEEFF"/>
            </w:tcBorders>
            <w:gridSpan w:val="2"/>
            <w:vMerge w:val="restart"/>
          </w:tcPr>
          <w:p>
            <w:pPr>
              <w:ind w:left="180"/>
              <w:spacing w:after="0"/>
              <w:rPr>
                <w:sz w:val="20"/>
                <w:szCs w:val="20"/>
                <w:color w:val="auto"/>
              </w:rPr>
            </w:pPr>
            <w:r>
              <w:rPr>
                <w:rFonts w:ascii="Arial" w:cs="Arial" w:eastAsia="Arial" w:hAnsi="Arial"/>
                <w:sz w:val="18"/>
                <w:szCs w:val="18"/>
                <w:color w:val="auto"/>
              </w:rPr>
              <w:t>3.70 years</w:t>
            </w: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22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121,840</w:t>
            </w:r>
          </w:p>
        </w:tc>
        <w:tc>
          <w:tcPr>
            <w:tcW w:w="220" w:type="dxa"/>
            <w:vAlign w:val="bottom"/>
            <w:tcBorders>
              <w:bottom w:val="single" w:sz="8" w:color="CCEEFF"/>
            </w:tcBorders>
            <w:vMerge w:val="continue"/>
          </w:tcPr>
          <w:p>
            <w:pPr>
              <w:spacing w:after="0"/>
              <w:rPr>
                <w:sz w:val="20"/>
                <w:szCs w:val="20"/>
                <w:color w:val="auto"/>
              </w:rPr>
            </w:pPr>
          </w:p>
        </w:tc>
        <w:tc>
          <w:tcPr>
            <w:tcW w:w="10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27.73</w:t>
            </w:r>
          </w:p>
        </w:tc>
        <w:tc>
          <w:tcPr>
            <w:tcW w:w="220" w:type="dxa"/>
            <w:vAlign w:val="bottom"/>
            <w:tcBorders>
              <w:bottom w:val="single" w:sz="8" w:color="CCEEFF"/>
            </w:tcBorders>
            <w:vMerge w:val="continue"/>
          </w:tcPr>
          <w:p>
            <w:pPr>
              <w:spacing w:after="0"/>
              <w:rPr>
                <w:sz w:val="20"/>
                <w:szCs w:val="20"/>
                <w:color w:val="auto"/>
              </w:rPr>
            </w:pPr>
          </w:p>
        </w:tc>
        <w:tc>
          <w:tcPr>
            <w:tcW w:w="1120" w:type="dxa"/>
            <w:vAlign w:val="bottom"/>
            <w:tcBorders>
              <w:bottom w:val="single" w:sz="8" w:color="CCEEFF"/>
            </w:tcBorders>
            <w:gridSpan w:val="2"/>
            <w:vMerge w:val="continue"/>
          </w:tcPr>
          <w:p>
            <w:pPr>
              <w:spacing w:after="0"/>
              <w:rPr>
                <w:sz w:val="20"/>
                <w:szCs w:val="20"/>
                <w:color w:val="auto"/>
              </w:rPr>
            </w:pPr>
          </w:p>
        </w:tc>
        <w:tc>
          <w:tcPr>
            <w:tcW w:w="140" w:type="dxa"/>
            <w:vAlign w:val="bottom"/>
            <w:tcBorders>
              <w:bottom w:val="single" w:sz="8" w:color="auto"/>
            </w:tcBorders>
          </w:tcPr>
          <w:p>
            <w:pPr>
              <w:spacing w:after="0" w:line="196" w:lineRule="exact"/>
              <w:rPr>
                <w:sz w:val="20"/>
                <w:szCs w:val="20"/>
                <w:color w:val="auto"/>
              </w:rPr>
            </w:pPr>
            <w:r>
              <w:rPr>
                <w:rFonts w:ascii="Arial" w:cs="Arial" w:eastAsia="Arial" w:hAnsi="Arial"/>
                <w:sz w:val="18"/>
                <w:szCs w:val="18"/>
                <w:color w:val="auto"/>
              </w:rPr>
              <w:t>$</w:t>
            </w:r>
          </w:p>
        </w:tc>
        <w:tc>
          <w:tcPr>
            <w:tcW w:w="6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115</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2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Expected to vest</w:t>
            </w:r>
          </w:p>
        </w:tc>
        <w:tc>
          <w:tcPr>
            <w:tcW w:w="12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151,803</w:t>
            </w:r>
          </w:p>
        </w:tc>
        <w:tc>
          <w:tcPr>
            <w:tcW w:w="22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27.28</w:t>
            </w:r>
          </w:p>
        </w:tc>
        <w:tc>
          <w:tcPr>
            <w:tcW w:w="220" w:type="dxa"/>
            <w:vAlign w:val="bottom"/>
            <w:tcBorders>
              <w:bottom w:val="single" w:sz="8" w:color="CCEEFF"/>
            </w:tcBorders>
            <w:shd w:val="clear" w:color="auto" w:fill="CCEEFF"/>
          </w:tcPr>
          <w:p>
            <w:pPr>
              <w:spacing w:after="0"/>
              <w:rPr>
                <w:sz w:val="17"/>
                <w:szCs w:val="17"/>
                <w:color w:val="auto"/>
              </w:rPr>
            </w:pPr>
          </w:p>
        </w:tc>
        <w:tc>
          <w:tcPr>
            <w:tcW w:w="1120" w:type="dxa"/>
            <w:vAlign w:val="bottom"/>
            <w:tcBorders>
              <w:bottom w:val="single" w:sz="8" w:color="CCEEFF"/>
            </w:tcBorders>
            <w:gridSpan w:val="2"/>
            <w:shd w:val="clear" w:color="auto" w:fill="CCEEFF"/>
          </w:tcPr>
          <w:p>
            <w:pPr>
              <w:ind w:left="180"/>
              <w:spacing w:after="0" w:line="196" w:lineRule="exact"/>
              <w:rPr>
                <w:sz w:val="20"/>
                <w:szCs w:val="20"/>
                <w:color w:val="auto"/>
              </w:rPr>
            </w:pPr>
            <w:r>
              <w:rPr>
                <w:rFonts w:ascii="Arial" w:cs="Arial" w:eastAsia="Arial" w:hAnsi="Arial"/>
                <w:sz w:val="18"/>
                <w:szCs w:val="18"/>
                <w:color w:val="auto"/>
              </w:rPr>
              <w:t>3.63 years</w:t>
            </w:r>
          </w:p>
        </w:tc>
        <w:tc>
          <w:tcPr>
            <w:tcW w:w="140" w:type="dxa"/>
            <w:vAlign w:val="bottom"/>
            <w:tcBorders>
              <w:bottom w:val="single" w:sz="8" w:color="auto"/>
            </w:tcBorders>
            <w:shd w:val="clear" w:color="auto" w:fill="CCEEFF"/>
          </w:tcPr>
          <w:p>
            <w:pPr>
              <w:spacing w:after="0" w:line="196" w:lineRule="exact"/>
              <w:rPr>
                <w:sz w:val="20"/>
                <w:szCs w:val="20"/>
                <w:color w:val="auto"/>
              </w:rPr>
            </w:pPr>
            <w:r>
              <w:rPr>
                <w:rFonts w:ascii="Arial" w:cs="Arial" w:eastAsia="Arial" w:hAnsi="Arial"/>
                <w:sz w:val="18"/>
                <w:szCs w:val="18"/>
                <w:color w:val="auto"/>
              </w:rPr>
              <w:t>$</w:t>
            </w:r>
          </w:p>
        </w:tc>
        <w:tc>
          <w:tcPr>
            <w:tcW w:w="6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128</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intrinsic value of exercised options during the years 2017 and 2016 was $593 and $412, respectively. During the years 2017 and 2016 the Bank received $3,533 and $1,565, respectively, from exercised options.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 xml:space="preserve">B. </w:t>
      </w:r>
      <w:r>
        <w:rPr>
          <w:rFonts w:ascii="Arial" w:cs="Arial" w:eastAsia="Arial" w:hAnsi="Arial"/>
          <w:sz w:val="18"/>
          <w:szCs w:val="18"/>
          <w:u w:val="single" w:color="auto"/>
          <w:color w:val="auto"/>
        </w:rPr>
        <w:t>Other plans - Expatriate Top Executives Plan</w:t>
      </w:r>
    </w:p>
    <w:p>
      <w:pPr>
        <w:spacing w:after="0" w:line="225"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The Bank sponsors a defined contribution plan for its expatriate top executives based in Panama, which are not eligible to participate in the Panamanian social security system. The Bank’s contributions are determined as a percentage of the annual salaries of top executives eligible for the plan, each contributing an additional amount withheld from their salary. Contributions to this plan are managed by a fund manager through a trust. The executives are entitled to the Bank’s contributions after completing at least three years of service in the Bank. During the years 2017, 2016 and 2015, the Bank charged to salaries expense $163, $121 and $171, respectively, that correspond to the Bank’s contributions to this plan.</w:t>
      </w:r>
    </w:p>
    <w:p>
      <w:pPr>
        <w:spacing w:after="0" w:line="17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5" w:right="239" w:bottom="1440" w:gutter="0" w:footer="0" w:header="0"/>
        </w:sectPr>
      </w:pPr>
    </w:p>
    <w:bookmarkStart w:id="199" w:name="page200"/>
    <w:bookmarkEnd w:id="19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260"/>
        <w:spacing w:after="0"/>
        <w:rPr>
          <w:sz w:val="20"/>
          <w:szCs w:val="20"/>
          <w:color w:val="auto"/>
        </w:rPr>
      </w:pPr>
      <w:r>
        <w:rPr>
          <w:rFonts w:ascii="Arial" w:cs="Arial" w:eastAsia="Arial" w:hAnsi="Arial"/>
          <w:sz w:val="18"/>
          <w:szCs w:val="18"/>
          <w:b w:val="1"/>
          <w:bCs w:val="1"/>
          <w:color w:val="auto"/>
        </w:rPr>
        <w:t>17. Business segment information</w:t>
      </w:r>
    </w:p>
    <w:p>
      <w:pPr>
        <w:spacing w:after="0" w:line="229"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 The Chief Operating Decision Maker (CODM), represented by the Chief Executive Officer (CEO) and the Management Committee reviews internal management reports from each division at least quarterly.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5"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such as for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73"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Commercial Business Segment incorporates all of the Bank’s financial intermediation and fees generated by the commercial portfolio. The commercial portfolio includes book value of loans at amortized cost, acceptances, loan commitments and financial guarantee contracts. Profits from the Commercial Business Segment include net interest income from loans at amortized cost, fee income, gain on sale of loans at amortized cost, impairment loss from expected credit losses on loans at amortized cost, impairment loss from expected credit losses on loan commitments and financial guarantee contracts, and allocated expenses.</w:t>
      </w:r>
    </w:p>
    <w:p>
      <w:pPr>
        <w:spacing w:after="0" w:line="188"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The Treasury Business Segment incorporates deposits in banks and all of the Bank’s financial instruments at fair value through profit or loss, financial instruments at fair value through OCI and securities at amortized cost. Profits from the Treasury Business Segment include net interest income from deposits with banks, financial instruments at fair value through OCI and securities at amortized cost, derivative financial instruments foreign currency exchange, gain (loss) for financial instrument at fair value through profit or loss, gain (loss) for financial instrument at fair value through OCI, impairment loss for expected credit losses on investment securities, other income and allocated expenses.</w:t>
      </w:r>
    </w:p>
    <w:p>
      <w:pPr>
        <w:spacing w:after="0" w:line="17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5" w:right="239" w:bottom="1440" w:gutter="0" w:footer="0" w:header="0"/>
        </w:sectPr>
      </w:pPr>
    </w:p>
    <w:bookmarkStart w:id="200" w:name="page201"/>
    <w:bookmarkEnd w:id="200"/>
    <w:p>
      <w:pPr>
        <w:ind w:right="2600"/>
        <w:spacing w:after="0" w:line="261" w:lineRule="auto"/>
        <w:rPr>
          <w:sz w:val="20"/>
          <w:szCs w:val="20"/>
          <w:color w:val="auto"/>
        </w:rPr>
      </w:pPr>
      <w:r>
        <w:rPr>
          <w:rFonts w:ascii="Arial" w:cs="Arial" w:eastAsia="Arial" w:hAnsi="Arial"/>
          <w:sz w:val="18"/>
          <w:szCs w:val="18"/>
          <w:b w:val="1"/>
          <w:bCs w:val="1"/>
          <w:color w:val="auto"/>
        </w:rPr>
        <w:t>Banco Latinoamericano de Comercio Exterior, S. A. and Subsidiaries Notes to the Consolidated Financial Statements</w:t>
      </w: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17. Business segment information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provides certain information regarding the Bank’s operations by segment:</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-127635</wp:posOffset>
            </wp:positionV>
            <wp:extent cx="7246620" cy="14605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47">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209" w:lineRule="exact"/>
        <w:rPr>
          <w:sz w:val="20"/>
          <w:szCs w:val="20"/>
          <w:color w:val="auto"/>
        </w:rPr>
      </w:pPr>
    </w:p>
    <w:p>
      <w:pPr>
        <w:spacing w:after="0"/>
        <w:rPr>
          <w:sz w:val="20"/>
          <w:szCs w:val="20"/>
          <w:color w:val="auto"/>
        </w:rPr>
      </w:pPr>
      <w:r>
        <w:rPr>
          <w:rFonts w:ascii="Arial" w:cs="Arial" w:eastAsia="Arial" w:hAnsi="Arial"/>
          <w:sz w:val="18"/>
          <w:szCs w:val="18"/>
          <w:color w:val="auto"/>
        </w:rPr>
        <w:t>Interest income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246620" cy="13716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48">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line="3" w:lineRule="exact"/>
        <w:rPr>
          <w:sz w:val="20"/>
          <w:szCs w:val="20"/>
          <w:color w:val="auto"/>
        </w:rPr>
      </w:pPr>
    </w:p>
    <w:p>
      <w:pPr>
        <w:spacing w:after="0"/>
        <w:rPr>
          <w:sz w:val="20"/>
          <w:szCs w:val="20"/>
          <w:color w:val="auto"/>
        </w:rPr>
      </w:pPr>
      <w:r>
        <w:rPr>
          <w:rFonts w:ascii="Arial" w:cs="Arial" w:eastAsia="Arial" w:hAnsi="Arial"/>
          <w:sz w:val="18"/>
          <w:szCs w:val="18"/>
          <w:color w:val="auto"/>
        </w:rPr>
        <w:t>Interest expense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14605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49">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218" w:lineRule="exact"/>
        <w:rPr>
          <w:sz w:val="20"/>
          <w:szCs w:val="20"/>
          <w:color w:val="auto"/>
        </w:rPr>
      </w:pPr>
    </w:p>
    <w:p>
      <w:pPr>
        <w:spacing w:after="0"/>
        <w:rPr>
          <w:sz w:val="20"/>
          <w:szCs w:val="20"/>
          <w:color w:val="auto"/>
        </w:rPr>
      </w:pPr>
      <w:r>
        <w:rPr>
          <w:rFonts w:ascii="Arial" w:cs="Arial" w:eastAsia="Arial" w:hAnsi="Arial"/>
          <w:sz w:val="18"/>
          <w:szCs w:val="18"/>
          <w:color w:val="auto"/>
        </w:rPr>
        <w:t>Net interest income</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-218440</wp:posOffset>
            </wp:positionV>
            <wp:extent cx="7246620" cy="17145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50">
                      <a:extLst>
                        <a:ext uri="{28A0092B-C50C-407E-A947-70E740481C1C}"/>
                      </a:extLst>
                    </a:blip>
                    <a:srcRect/>
                    <a:stretch>
                      <a:fillRect/>
                    </a:stretch>
                  </pic:blipFill>
                  <pic:spPr bwMode="auto">
                    <a:xfrm>
                      <a:off x="0" y="0"/>
                      <a:ext cx="7246620" cy="171450"/>
                    </a:xfrm>
                    <a:prstGeom prst="rect">
                      <a:avLst/>
                    </a:prstGeom>
                    <a:noFill/>
                  </pic:spPr>
                </pic:pic>
              </a:graphicData>
            </a:graphic>
          </wp:anchor>
        </w:drawing>
      </w:r>
    </w:p>
    <w:p>
      <w:pPr>
        <w:spacing w:after="0" w:line="11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Total income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246620" cy="14605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51">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7" w:lineRule="exact"/>
        <w:rPr>
          <w:sz w:val="20"/>
          <w:szCs w:val="20"/>
          <w:color w:val="auto"/>
        </w:rPr>
      </w:pPr>
    </w:p>
    <w:p>
      <w:pPr>
        <w:spacing w:after="0" w:line="258" w:lineRule="auto"/>
        <w:rPr>
          <w:sz w:val="20"/>
          <w:szCs w:val="20"/>
          <w:color w:val="auto"/>
        </w:rPr>
      </w:pPr>
      <w:r>
        <w:rPr>
          <w:rFonts w:ascii="Arial" w:cs="Arial" w:eastAsia="Arial" w:hAnsi="Arial"/>
          <w:sz w:val="18"/>
          <w:szCs w:val="18"/>
          <w:color w:val="auto"/>
        </w:rPr>
        <w:t>Impairment loss from expected credit losses on loans and impairment loss from expected credit losses on loan commitments and financial guarantee contracts</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Expenses, less impairment loss from expected credit losses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14605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2">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Profit for the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246620" cy="14605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3">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20" w:lineRule="exact"/>
        <w:rPr>
          <w:sz w:val="20"/>
          <w:szCs w:val="20"/>
          <w:color w:val="auto"/>
        </w:rPr>
      </w:pPr>
    </w:p>
    <w:p>
      <w:pPr>
        <w:spacing w:after="0"/>
        <w:rPr>
          <w:sz w:val="20"/>
          <w:szCs w:val="20"/>
          <w:color w:val="auto"/>
        </w:rPr>
      </w:pPr>
      <w:r>
        <w:rPr>
          <w:rFonts w:ascii="Arial" w:cs="Arial" w:eastAsia="Arial" w:hAnsi="Arial"/>
          <w:sz w:val="17"/>
          <w:szCs w:val="17"/>
          <w:color w:val="auto"/>
        </w:rPr>
        <w:t>Commercial assets and loan commitments and financial guarantee contracts (end of year balances):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22225</wp:posOffset>
            </wp:positionV>
            <wp:extent cx="7246620" cy="13716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4">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line="144"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0</wp:posOffset>
            </wp:positionV>
            <wp:extent cx="7246620" cy="17145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55">
                      <a:extLst>
                        <a:ext uri="{28A0092B-C50C-407E-A947-70E740481C1C}"/>
                      </a:extLst>
                    </a:blip>
                    <a:srcRect/>
                    <a:stretch>
                      <a:fillRect/>
                    </a:stretch>
                  </pic:blipFill>
                  <pic:spPr bwMode="auto">
                    <a:xfrm>
                      <a:off x="0" y="0"/>
                      <a:ext cx="7246620" cy="171450"/>
                    </a:xfrm>
                    <a:prstGeom prst="rect">
                      <a:avLst/>
                    </a:prstGeom>
                    <a:noFill/>
                  </pic:spPr>
                </pic:pic>
              </a:graphicData>
            </a:graphic>
          </wp:anchor>
        </w:drawing>
      </w:r>
    </w:p>
    <w:p>
      <w:pPr>
        <w:spacing w:after="0" w:line="188" w:lineRule="auto"/>
        <w:rPr>
          <w:sz w:val="20"/>
          <w:szCs w:val="20"/>
          <w:color w:val="auto"/>
        </w:rPr>
      </w:pPr>
      <w:r>
        <w:rPr>
          <w:rFonts w:ascii="Arial" w:cs="Arial" w:eastAsia="Arial" w:hAnsi="Arial"/>
          <w:sz w:val="18"/>
          <w:szCs w:val="18"/>
          <w:color w:val="auto"/>
        </w:rPr>
        <w:t xml:space="preserve">Other assets and loan commitments and financial guarantee contracts </w:t>
      </w:r>
      <w:r>
        <w:rPr>
          <w:rFonts w:ascii="Arial" w:cs="Arial" w:eastAsia="Arial" w:hAnsi="Arial"/>
          <w:sz w:val="30"/>
          <w:szCs w:val="30"/>
          <w:color w:val="auto"/>
          <w:vertAlign w:val="superscript"/>
        </w:rPr>
        <w:t>(4)</w:t>
      </w:r>
    </w:p>
    <w:p>
      <w:pPr>
        <w:spacing w:after="0"/>
        <w:rPr>
          <w:sz w:val="20"/>
          <w:szCs w:val="20"/>
          <w:color w:val="auto"/>
        </w:rPr>
      </w:pPr>
      <w:r>
        <w:rPr>
          <w:rFonts w:ascii="Arial" w:cs="Arial" w:eastAsia="Arial" w:hAnsi="Arial"/>
          <w:sz w:val="18"/>
          <w:szCs w:val="18"/>
          <w:color w:val="auto"/>
        </w:rPr>
        <w:t>Total interest-earning assets, other assets and loan commitments and financial guarantee contracts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30480</wp:posOffset>
            </wp:positionV>
            <wp:extent cx="7246620" cy="154305"/>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56">
                      <a:extLst>
                        <a:ext uri="{28A0092B-C50C-407E-A947-70E740481C1C}"/>
                      </a:extLst>
                    </a:blip>
                    <a:srcRect/>
                    <a:stretch>
                      <a:fillRect/>
                    </a:stretch>
                  </pic:blipFill>
                  <pic:spPr bwMode="auto">
                    <a:xfrm>
                      <a:off x="0" y="0"/>
                      <a:ext cx="7246620" cy="154305"/>
                    </a:xfrm>
                    <a:prstGeom prst="rect">
                      <a:avLst/>
                    </a:prstGeom>
                    <a:noFill/>
                  </pic:spPr>
                </pic:pic>
              </a:graphicData>
            </a:graphic>
          </wp:anchor>
        </w:drawing>
      </w:r>
    </w:p>
    <w:p>
      <w:pPr>
        <w:spacing w:after="0" w:line="25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220"/>
        <w:spacing w:after="0"/>
        <w:rPr>
          <w:sz w:val="20"/>
          <w:szCs w:val="20"/>
          <w:color w:val="auto"/>
        </w:rPr>
      </w:pPr>
      <w:r>
        <w:rPr>
          <w:rFonts w:ascii="Arial" w:cs="Arial" w:eastAsia="Arial" w:hAnsi="Arial"/>
          <w:sz w:val="18"/>
          <w:szCs w:val="18"/>
          <w:b w:val="1"/>
          <w:bCs w:val="1"/>
          <w:color w:val="auto"/>
        </w:rPr>
        <w:t>Years ended December 31,</w:t>
      </w:r>
    </w:p>
    <w:p>
      <w:pPr>
        <w:spacing w:after="0" w:line="27" w:lineRule="exact"/>
        <w:rPr>
          <w:sz w:val="20"/>
          <w:szCs w:val="20"/>
          <w:color w:val="auto"/>
        </w:rPr>
      </w:pPr>
    </w:p>
    <w:p>
      <w:pPr>
        <w:ind w:left="40"/>
        <w:spacing w:after="0"/>
        <w:tabs>
          <w:tab w:leader="none" w:pos="1080" w:val="left"/>
          <w:tab w:leader="none" w:pos="2120" w:val="left"/>
        </w:tabs>
        <w:rPr>
          <w:sz w:val="20"/>
          <w:szCs w:val="20"/>
          <w:color w:val="auto"/>
        </w:rPr>
      </w:pPr>
      <w:r>
        <w:rPr>
          <w:rFonts w:ascii="Arial" w:cs="Arial" w:eastAsia="Arial" w:hAnsi="Arial"/>
          <w:sz w:val="18"/>
          <w:szCs w:val="18"/>
          <w:b w:val="1"/>
          <w:bCs w:val="1"/>
          <w:color w:val="auto"/>
        </w:rPr>
        <w:t>2017</w:t>
      </w:r>
      <w:r>
        <w:rPr>
          <w:rFonts w:ascii="Arial" w:cs="Arial" w:eastAsia="Arial" w:hAnsi="Arial"/>
          <w:sz w:val="30"/>
          <w:szCs w:val="30"/>
          <w:b w:val="1"/>
          <w:bCs w:val="1"/>
          <w:color w:val="auto"/>
          <w:vertAlign w:val="superscript"/>
        </w:rPr>
        <w:t>(1)</w:t>
      </w:r>
      <w:r>
        <w:rPr>
          <w:sz w:val="20"/>
          <w:szCs w:val="20"/>
          <w:color w:val="auto"/>
        </w:rPr>
        <w:tab/>
      </w:r>
      <w:r>
        <w:rPr>
          <w:rFonts w:ascii="Arial" w:cs="Arial" w:eastAsia="Arial" w:hAnsi="Arial"/>
          <w:sz w:val="18"/>
          <w:szCs w:val="18"/>
          <w:b w:val="1"/>
          <w:bCs w:val="1"/>
          <w:color w:val="auto"/>
        </w:rPr>
        <w:t>2016</w:t>
      </w:r>
      <w:r>
        <w:rPr>
          <w:rFonts w:ascii="Arial" w:cs="Arial" w:eastAsia="Arial" w:hAnsi="Arial"/>
          <w:sz w:val="30"/>
          <w:szCs w:val="30"/>
          <w:b w:val="1"/>
          <w:bCs w:val="1"/>
          <w:color w:val="auto"/>
          <w:vertAlign w:val="superscript"/>
        </w:rPr>
        <w:t>(1)</w:t>
      </w:r>
      <w:r>
        <w:rPr>
          <w:sz w:val="20"/>
          <w:szCs w:val="20"/>
          <w:color w:val="auto"/>
        </w:rPr>
        <w:tab/>
      </w:r>
      <w:r>
        <w:rPr>
          <w:rFonts w:ascii="Arial" w:cs="Arial" w:eastAsia="Arial" w:hAnsi="Arial"/>
          <w:sz w:val="15"/>
          <w:szCs w:val="15"/>
          <w:b w:val="1"/>
          <w:bCs w:val="1"/>
          <w:color w:val="auto"/>
        </w:rPr>
        <w:t>2015</w:t>
      </w:r>
      <w:r>
        <w:rPr>
          <w:rFonts w:ascii="Arial" w:cs="Arial" w:eastAsia="Arial" w:hAnsi="Arial"/>
          <w:sz w:val="24"/>
          <w:szCs w:val="24"/>
          <w:b w:val="1"/>
          <w:bCs w:val="1"/>
          <w:color w:val="auto"/>
          <w:vertAlign w:val="superscript"/>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-70485</wp:posOffset>
            </wp:positionH>
            <wp:positionV relativeFrom="paragraph">
              <wp:posOffset>-218440</wp:posOffset>
            </wp:positionV>
            <wp:extent cx="1869440" cy="889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7">
                      <a:extLst>
                        <a:ext uri="{28A0092B-C50C-407E-A947-70E740481C1C}"/>
                      </a:extLst>
                    </a:blip>
                    <a:srcRect/>
                    <a:stretch>
                      <a:fillRect/>
                    </a:stretch>
                  </pic:blipFill>
                  <pic:spPr bwMode="auto">
                    <a:xfrm>
                      <a:off x="0" y="0"/>
                      <a:ext cx="1869440" cy="8890"/>
                    </a:xfrm>
                    <a:prstGeom prst="rect">
                      <a:avLst/>
                    </a:prstGeom>
                    <a:noFill/>
                  </pic:spPr>
                </pic:pic>
              </a:graphicData>
            </a:graphic>
          </wp:anchor>
        </w:drawing>
      </w:r>
    </w:p>
    <w:p>
      <w:pPr>
        <w:spacing w:after="0" w:line="336" w:lineRule="exact"/>
        <w:rPr>
          <w:sz w:val="20"/>
          <w:szCs w:val="20"/>
          <w:color w:val="auto"/>
        </w:rPr>
      </w:pPr>
    </w:p>
    <w:p>
      <w:pPr>
        <w:ind w:left="140"/>
        <w:spacing w:after="0"/>
        <w:tabs>
          <w:tab w:leader="none" w:pos="1180" w:val="left"/>
          <w:tab w:leader="none" w:pos="2220" w:val="left"/>
        </w:tabs>
        <w:rPr>
          <w:sz w:val="20"/>
          <w:szCs w:val="20"/>
          <w:color w:val="auto"/>
        </w:rPr>
      </w:pPr>
      <w:r>
        <w:rPr>
          <w:rFonts w:ascii="Arial" w:cs="Arial" w:eastAsia="Arial" w:hAnsi="Arial"/>
          <w:sz w:val="18"/>
          <w:szCs w:val="18"/>
          <w:color w:val="auto"/>
        </w:rPr>
        <w:t>213,326</w:t>
      </w:r>
      <w:r>
        <w:rPr>
          <w:sz w:val="20"/>
          <w:szCs w:val="20"/>
          <w:color w:val="auto"/>
        </w:rPr>
        <w:tab/>
      </w:r>
      <w:r>
        <w:rPr>
          <w:rFonts w:ascii="Arial" w:cs="Arial" w:eastAsia="Arial" w:hAnsi="Arial"/>
          <w:sz w:val="18"/>
          <w:szCs w:val="18"/>
          <w:color w:val="auto"/>
        </w:rPr>
        <w:t>236,392</w:t>
      </w:r>
      <w:r>
        <w:rPr>
          <w:sz w:val="20"/>
          <w:szCs w:val="20"/>
          <w:color w:val="auto"/>
        </w:rPr>
        <w:tab/>
      </w:r>
      <w:r>
        <w:rPr>
          <w:rFonts w:ascii="Arial" w:cs="Arial" w:eastAsia="Arial" w:hAnsi="Arial"/>
          <w:sz w:val="16"/>
          <w:szCs w:val="16"/>
          <w:color w:val="auto"/>
        </w:rPr>
        <w:t>209,858</w:t>
      </w:r>
    </w:p>
    <w:p>
      <w:pPr>
        <w:spacing w:after="0" w:line="23" w:lineRule="exact"/>
        <w:rPr>
          <w:sz w:val="20"/>
          <w:szCs w:val="20"/>
          <w:color w:val="auto"/>
        </w:rPr>
      </w:pPr>
    </w:p>
    <w:p>
      <w:pPr>
        <w:ind w:left="180"/>
        <w:spacing w:after="0"/>
        <w:tabs>
          <w:tab w:leader="none" w:pos="1200" w:val="left"/>
          <w:tab w:leader="none" w:pos="2260" w:val="left"/>
        </w:tabs>
        <w:rPr>
          <w:sz w:val="20"/>
          <w:szCs w:val="20"/>
          <w:color w:val="auto"/>
        </w:rPr>
      </w:pPr>
      <w:r>
        <w:rPr>
          <w:rFonts w:ascii="Arial" w:cs="Arial" w:eastAsia="Arial" w:hAnsi="Arial"/>
          <w:sz w:val="18"/>
          <w:szCs w:val="18"/>
          <w:color w:val="auto"/>
        </w:rPr>
        <w:t>(92,745)</w:t>
      </w:r>
      <w:r>
        <w:rPr>
          <w:sz w:val="20"/>
          <w:szCs w:val="20"/>
          <w:color w:val="auto"/>
        </w:rPr>
        <w:tab/>
      </w:r>
      <w:r>
        <w:rPr>
          <w:rFonts w:ascii="Arial" w:cs="Arial" w:eastAsia="Arial" w:hAnsi="Arial"/>
          <w:sz w:val="18"/>
          <w:szCs w:val="18"/>
          <w:color w:val="auto"/>
        </w:rPr>
        <w:t>(96,017)</w:t>
      </w:r>
      <w:r>
        <w:rPr>
          <w:sz w:val="20"/>
          <w:szCs w:val="20"/>
          <w:color w:val="auto"/>
        </w:rPr>
        <w:tab/>
      </w:r>
      <w:r>
        <w:rPr>
          <w:rFonts w:ascii="Arial" w:cs="Arial" w:eastAsia="Arial" w:hAnsi="Arial"/>
          <w:sz w:val="16"/>
          <w:szCs w:val="16"/>
          <w:color w:val="auto"/>
        </w:rPr>
        <w:t>(82,697)</w:t>
      </w:r>
    </w:p>
    <w:p>
      <w:pPr>
        <w:spacing w:after="0" w:line="238" w:lineRule="exact"/>
        <w:rPr>
          <w:sz w:val="20"/>
          <w:szCs w:val="20"/>
          <w:color w:val="auto"/>
        </w:rPr>
      </w:pPr>
    </w:p>
    <w:p>
      <w:pPr>
        <w:ind w:left="140"/>
        <w:spacing w:after="0"/>
        <w:tabs>
          <w:tab w:leader="none" w:pos="1180" w:val="left"/>
          <w:tab w:leader="none" w:pos="2220" w:val="left"/>
        </w:tabs>
        <w:rPr>
          <w:sz w:val="20"/>
          <w:szCs w:val="20"/>
          <w:color w:val="auto"/>
        </w:rPr>
      </w:pPr>
      <w:r>
        <w:rPr>
          <w:rFonts w:ascii="Arial" w:cs="Arial" w:eastAsia="Arial" w:hAnsi="Arial"/>
          <w:sz w:val="18"/>
          <w:szCs w:val="18"/>
          <w:color w:val="auto"/>
        </w:rPr>
        <w:t>120,581</w:t>
      </w:r>
      <w:r>
        <w:rPr>
          <w:sz w:val="20"/>
          <w:szCs w:val="20"/>
          <w:color w:val="auto"/>
        </w:rPr>
        <w:tab/>
      </w:r>
      <w:r>
        <w:rPr>
          <w:rFonts w:ascii="Arial" w:cs="Arial" w:eastAsia="Arial" w:hAnsi="Arial"/>
          <w:sz w:val="18"/>
          <w:szCs w:val="18"/>
          <w:color w:val="auto"/>
        </w:rPr>
        <w:t>140,375</w:t>
      </w:r>
      <w:r>
        <w:rPr>
          <w:sz w:val="20"/>
          <w:szCs w:val="20"/>
          <w:color w:val="auto"/>
        </w:rPr>
        <w:tab/>
      </w:r>
      <w:r>
        <w:rPr>
          <w:rFonts w:ascii="Arial" w:cs="Arial" w:eastAsia="Arial" w:hAnsi="Arial"/>
          <w:sz w:val="16"/>
          <w:szCs w:val="16"/>
          <w:color w:val="auto"/>
        </w:rPr>
        <w:t>127,161</w:t>
      </w:r>
    </w:p>
    <w:p>
      <w:pPr>
        <w:spacing w:after="0" w:line="63" w:lineRule="exact"/>
        <w:rPr>
          <w:sz w:val="20"/>
          <w:szCs w:val="20"/>
          <w:color w:val="auto"/>
        </w:rPr>
      </w:pPr>
    </w:p>
    <w:p>
      <w:pPr>
        <w:ind w:left="240"/>
        <w:spacing w:after="0"/>
        <w:tabs>
          <w:tab w:leader="none" w:pos="1260" w:val="left"/>
          <w:tab w:leader="none" w:pos="2320" w:val="left"/>
        </w:tabs>
        <w:rPr>
          <w:sz w:val="20"/>
          <w:szCs w:val="20"/>
          <w:color w:val="auto"/>
        </w:rPr>
      </w:pPr>
      <w:r>
        <w:rPr>
          <w:rFonts w:ascii="Arial" w:cs="Arial" w:eastAsia="Arial" w:hAnsi="Arial"/>
          <w:sz w:val="18"/>
          <w:szCs w:val="18"/>
          <w:color w:val="auto"/>
        </w:rPr>
        <w:t>18,926</w:t>
      </w:r>
      <w:r>
        <w:rPr>
          <w:sz w:val="20"/>
          <w:szCs w:val="20"/>
          <w:color w:val="auto"/>
        </w:rPr>
        <w:tab/>
      </w:r>
      <w:r>
        <w:rPr>
          <w:rFonts w:ascii="Arial" w:cs="Arial" w:eastAsia="Arial" w:hAnsi="Arial"/>
          <w:sz w:val="18"/>
          <w:szCs w:val="18"/>
          <w:color w:val="auto"/>
        </w:rPr>
        <w:t>16,333</w:t>
      </w:r>
      <w:r>
        <w:rPr>
          <w:sz w:val="20"/>
          <w:szCs w:val="20"/>
          <w:color w:val="auto"/>
        </w:rPr>
        <w:tab/>
      </w:r>
      <w:r>
        <w:rPr>
          <w:rFonts w:ascii="Arial" w:cs="Arial" w:eastAsia="Arial" w:hAnsi="Arial"/>
          <w:sz w:val="16"/>
          <w:szCs w:val="16"/>
          <w:color w:val="auto"/>
        </w:rPr>
        <w:t>21,492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-70485</wp:posOffset>
            </wp:positionH>
            <wp:positionV relativeFrom="paragraph">
              <wp:posOffset>14605</wp:posOffset>
            </wp:positionV>
            <wp:extent cx="1869440" cy="889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58">
                      <a:extLst>
                        <a:ext uri="{28A0092B-C50C-407E-A947-70E740481C1C}"/>
                      </a:extLst>
                    </a:blip>
                    <a:srcRect/>
                    <a:stretch>
                      <a:fillRect/>
                    </a:stretch>
                  </pic:blipFill>
                  <pic:spPr bwMode="auto">
                    <a:xfrm>
                      <a:off x="0" y="0"/>
                      <a:ext cx="1869440" cy="8890"/>
                    </a:xfrm>
                    <a:prstGeom prst="rect">
                      <a:avLst/>
                    </a:prstGeom>
                    <a:noFill/>
                  </pic:spPr>
                </pic:pic>
              </a:graphicData>
            </a:graphic>
          </wp:anchor>
        </w:drawing>
      </w:r>
    </w:p>
    <w:p>
      <w:pPr>
        <w:spacing w:after="0" w:line="228" w:lineRule="exact"/>
        <w:rPr>
          <w:sz w:val="20"/>
          <w:szCs w:val="20"/>
          <w:color w:val="auto"/>
        </w:rPr>
      </w:pPr>
    </w:p>
    <w:p>
      <w:pPr>
        <w:ind w:left="140"/>
        <w:spacing w:after="0"/>
        <w:tabs>
          <w:tab w:leader="none" w:pos="1180" w:val="left"/>
          <w:tab w:leader="none" w:pos="2220" w:val="left"/>
        </w:tabs>
        <w:rPr>
          <w:sz w:val="20"/>
          <w:szCs w:val="20"/>
          <w:color w:val="auto"/>
        </w:rPr>
      </w:pPr>
      <w:r>
        <w:rPr>
          <w:rFonts w:ascii="Arial" w:cs="Arial" w:eastAsia="Arial" w:hAnsi="Arial"/>
          <w:sz w:val="18"/>
          <w:szCs w:val="18"/>
          <w:b w:val="1"/>
          <w:bCs w:val="1"/>
          <w:color w:val="auto"/>
        </w:rPr>
        <w:t>139,507</w:t>
      </w:r>
      <w:r>
        <w:rPr>
          <w:sz w:val="20"/>
          <w:szCs w:val="20"/>
          <w:color w:val="auto"/>
        </w:rPr>
        <w:tab/>
      </w:r>
      <w:r>
        <w:rPr>
          <w:rFonts w:ascii="Arial" w:cs="Arial" w:eastAsia="Arial" w:hAnsi="Arial"/>
          <w:sz w:val="18"/>
          <w:szCs w:val="18"/>
          <w:b w:val="1"/>
          <w:bCs w:val="1"/>
          <w:color w:val="auto"/>
        </w:rPr>
        <w:t>156,708</w:t>
      </w:r>
      <w:r>
        <w:rPr>
          <w:sz w:val="20"/>
          <w:szCs w:val="20"/>
          <w:color w:val="auto"/>
        </w:rPr>
        <w:tab/>
      </w:r>
      <w:r>
        <w:rPr>
          <w:rFonts w:ascii="Arial" w:cs="Arial" w:eastAsia="Arial" w:hAnsi="Arial"/>
          <w:sz w:val="16"/>
          <w:szCs w:val="16"/>
          <w:b w:val="1"/>
          <w:bCs w:val="1"/>
          <w:color w:val="auto"/>
        </w:rPr>
        <w:t>148,653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-70485</wp:posOffset>
            </wp:positionH>
            <wp:positionV relativeFrom="paragraph">
              <wp:posOffset>17145</wp:posOffset>
            </wp:positionV>
            <wp:extent cx="1869440" cy="889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59">
                      <a:extLst>
                        <a:ext uri="{28A0092B-C50C-407E-A947-70E740481C1C}"/>
                      </a:extLst>
                    </a:blip>
                    <a:srcRect/>
                    <a:stretch>
                      <a:fillRect/>
                    </a:stretch>
                  </pic:blipFill>
                  <pic:spPr bwMode="auto">
                    <a:xfrm>
                      <a:off x="0" y="0"/>
                      <a:ext cx="1869440" cy="8890"/>
                    </a:xfrm>
                    <a:prstGeom prst="rect">
                      <a:avLst/>
                    </a:prstGeom>
                    <a:noFill/>
                  </pic:spPr>
                </pic:pic>
              </a:graphicData>
            </a:graphic>
          </wp:anchor>
        </w:drawing>
      </w:r>
    </w:p>
    <w:p>
      <w:pPr>
        <w:spacing w:after="0" w:line="209" w:lineRule="exact"/>
        <w:rPr>
          <w:sz w:val="20"/>
          <w:szCs w:val="20"/>
          <w:color w:val="auto"/>
        </w:rPr>
      </w:pPr>
    </w:p>
    <w:p>
      <w:pPr>
        <w:ind w:left="260"/>
        <w:spacing w:after="0"/>
        <w:tabs>
          <w:tab w:leader="none" w:pos="1220" w:val="left"/>
          <w:tab w:leader="none" w:pos="2260" w:val="left"/>
        </w:tabs>
        <w:rPr>
          <w:sz w:val="20"/>
          <w:szCs w:val="20"/>
          <w:color w:val="auto"/>
        </w:rPr>
      </w:pPr>
      <w:r>
        <w:rPr>
          <w:rFonts w:ascii="Arial" w:cs="Arial" w:eastAsia="Arial" w:hAnsi="Arial"/>
          <w:sz w:val="18"/>
          <w:szCs w:val="18"/>
          <w:color w:val="auto"/>
        </w:rPr>
        <w:t>(9,928)</w:t>
      </w:r>
      <w:r>
        <w:rPr>
          <w:sz w:val="20"/>
          <w:szCs w:val="20"/>
          <w:color w:val="auto"/>
        </w:rPr>
        <w:tab/>
      </w:r>
      <w:r>
        <w:rPr>
          <w:rFonts w:ascii="Arial" w:cs="Arial" w:eastAsia="Arial" w:hAnsi="Arial"/>
          <w:sz w:val="18"/>
          <w:szCs w:val="18"/>
          <w:color w:val="auto"/>
        </w:rPr>
        <w:t>(35,112)</w:t>
      </w:r>
      <w:r>
        <w:rPr>
          <w:sz w:val="20"/>
          <w:szCs w:val="20"/>
          <w:color w:val="auto"/>
        </w:rPr>
        <w:tab/>
      </w:r>
      <w:r>
        <w:rPr>
          <w:rFonts w:ascii="Arial" w:cs="Arial" w:eastAsia="Arial" w:hAnsi="Arial"/>
          <w:sz w:val="16"/>
          <w:szCs w:val="16"/>
          <w:color w:val="auto"/>
        </w:rPr>
        <w:t>(12,800)</w:t>
      </w:r>
    </w:p>
    <w:p>
      <w:pPr>
        <w:spacing w:after="0" w:line="23" w:lineRule="exact"/>
        <w:rPr>
          <w:sz w:val="20"/>
          <w:szCs w:val="20"/>
          <w:color w:val="auto"/>
        </w:rPr>
      </w:pPr>
    </w:p>
    <w:p>
      <w:pPr>
        <w:ind w:left="180"/>
        <w:spacing w:after="0"/>
        <w:tabs>
          <w:tab w:leader="none" w:pos="1200" w:val="left"/>
          <w:tab w:leader="none" w:pos="2260" w:val="left"/>
        </w:tabs>
        <w:rPr>
          <w:sz w:val="20"/>
          <w:szCs w:val="20"/>
          <w:color w:val="auto"/>
        </w:rPr>
      </w:pPr>
      <w:r>
        <w:rPr>
          <w:rFonts w:ascii="Arial" w:cs="Arial" w:eastAsia="Arial" w:hAnsi="Arial"/>
          <w:sz w:val="18"/>
          <w:szCs w:val="18"/>
          <w:color w:val="auto"/>
        </w:rPr>
        <w:t>(35,916)</w:t>
      </w:r>
      <w:r>
        <w:rPr>
          <w:sz w:val="20"/>
          <w:szCs w:val="20"/>
          <w:color w:val="auto"/>
        </w:rPr>
        <w:tab/>
      </w:r>
      <w:r>
        <w:rPr>
          <w:rFonts w:ascii="Arial" w:cs="Arial" w:eastAsia="Arial" w:hAnsi="Arial"/>
          <w:sz w:val="18"/>
          <w:szCs w:val="18"/>
          <w:color w:val="auto"/>
        </w:rPr>
        <w:t>(34,599)</w:t>
      </w:r>
      <w:r>
        <w:rPr>
          <w:sz w:val="20"/>
          <w:szCs w:val="20"/>
          <w:color w:val="auto"/>
        </w:rPr>
        <w:tab/>
      </w:r>
      <w:r>
        <w:rPr>
          <w:rFonts w:ascii="Arial" w:cs="Arial" w:eastAsia="Arial" w:hAnsi="Arial"/>
          <w:sz w:val="16"/>
          <w:szCs w:val="16"/>
          <w:color w:val="auto"/>
        </w:rPr>
        <w:t>(40,429)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-70485</wp:posOffset>
            </wp:positionH>
            <wp:positionV relativeFrom="paragraph">
              <wp:posOffset>14605</wp:posOffset>
            </wp:positionV>
            <wp:extent cx="1869440" cy="889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60">
                      <a:extLst>
                        <a:ext uri="{28A0092B-C50C-407E-A947-70E740481C1C}"/>
                      </a:extLst>
                    </a:blip>
                    <a:srcRect/>
                    <a:stretch>
                      <a:fillRect/>
                    </a:stretch>
                  </pic:blipFill>
                  <pic:spPr bwMode="auto">
                    <a:xfrm>
                      <a:off x="0" y="0"/>
                      <a:ext cx="1869440" cy="8890"/>
                    </a:xfrm>
                    <a:prstGeom prst="rect">
                      <a:avLst/>
                    </a:prstGeom>
                    <a:noFill/>
                  </pic:spPr>
                </pic:pic>
              </a:graphicData>
            </a:graphic>
          </wp:anchor>
        </w:drawing>
      </w:r>
    </w:p>
    <w:p>
      <w:pPr>
        <w:spacing w:after="0" w:line="227" w:lineRule="exact"/>
        <w:rPr>
          <w:sz w:val="20"/>
          <w:szCs w:val="20"/>
          <w:color w:val="auto"/>
        </w:rPr>
      </w:pPr>
    </w:p>
    <w:p>
      <w:pPr>
        <w:ind w:left="240"/>
        <w:spacing w:after="0"/>
        <w:tabs>
          <w:tab w:leader="none" w:pos="1260" w:val="left"/>
          <w:tab w:leader="none" w:pos="2320" w:val="left"/>
        </w:tabs>
        <w:rPr>
          <w:sz w:val="20"/>
          <w:szCs w:val="20"/>
          <w:color w:val="auto"/>
        </w:rPr>
      </w:pPr>
      <w:r>
        <w:rPr>
          <w:rFonts w:ascii="Arial" w:cs="Arial" w:eastAsia="Arial" w:hAnsi="Arial"/>
          <w:sz w:val="18"/>
          <w:szCs w:val="18"/>
          <w:b w:val="1"/>
          <w:bCs w:val="1"/>
          <w:color w:val="auto"/>
        </w:rPr>
        <w:t>93,663</w:t>
      </w:r>
      <w:r>
        <w:rPr>
          <w:sz w:val="20"/>
          <w:szCs w:val="20"/>
          <w:color w:val="auto"/>
        </w:rPr>
        <w:tab/>
      </w:r>
      <w:r>
        <w:rPr>
          <w:rFonts w:ascii="Arial" w:cs="Arial" w:eastAsia="Arial" w:hAnsi="Arial"/>
          <w:sz w:val="18"/>
          <w:szCs w:val="18"/>
          <w:b w:val="1"/>
          <w:bCs w:val="1"/>
          <w:color w:val="auto"/>
        </w:rPr>
        <w:t>86,997</w:t>
      </w:r>
      <w:r>
        <w:rPr>
          <w:sz w:val="20"/>
          <w:szCs w:val="20"/>
          <w:color w:val="auto"/>
        </w:rPr>
        <w:tab/>
      </w:r>
      <w:r>
        <w:rPr>
          <w:rFonts w:ascii="Arial" w:cs="Arial" w:eastAsia="Arial" w:hAnsi="Arial"/>
          <w:sz w:val="16"/>
          <w:szCs w:val="16"/>
          <w:b w:val="1"/>
          <w:bCs w:val="1"/>
          <w:color w:val="auto"/>
        </w:rPr>
        <w:t>95,424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-70485</wp:posOffset>
            </wp:positionH>
            <wp:positionV relativeFrom="paragraph">
              <wp:posOffset>17145</wp:posOffset>
            </wp:positionV>
            <wp:extent cx="1869440" cy="889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61">
                      <a:extLst>
                        <a:ext uri="{28A0092B-C50C-407E-A947-70E740481C1C}"/>
                      </a:extLst>
                    </a:blip>
                    <a:srcRect/>
                    <a:stretch>
                      <a:fillRect/>
                    </a:stretch>
                  </pic:blipFill>
                  <pic:spPr bwMode="auto">
                    <a:xfrm>
                      <a:off x="0" y="0"/>
                      <a:ext cx="1869440" cy="8890"/>
                    </a:xfrm>
                    <a:prstGeom prst="rect">
                      <a:avLst/>
                    </a:prstGeom>
                    <a:noFill/>
                  </pic:spPr>
                </pic:pic>
              </a:graphicData>
            </a:graphic>
          </wp:anchor>
        </w:drawing>
      </w:r>
    </w:p>
    <w:p>
      <w:pPr>
        <w:spacing w:after="0" w:line="200" w:lineRule="exact"/>
        <w:rPr>
          <w:sz w:val="20"/>
          <w:szCs w:val="20"/>
          <w:color w:val="auto"/>
        </w:rPr>
      </w:pPr>
    </w:p>
    <w:p>
      <w:pPr>
        <w:spacing w:after="0" w:line="279" w:lineRule="exact"/>
        <w:rPr>
          <w:sz w:val="20"/>
          <w:szCs w:val="20"/>
          <w:color w:val="auto"/>
        </w:rPr>
      </w:pPr>
    </w:p>
    <w:p>
      <w:pPr>
        <w:spacing w:after="0"/>
        <w:tabs>
          <w:tab w:leader="none" w:pos="1040" w:val="left"/>
          <w:tab w:leader="none" w:pos="2100" w:val="left"/>
        </w:tabs>
        <w:rPr>
          <w:sz w:val="20"/>
          <w:szCs w:val="20"/>
          <w:color w:val="auto"/>
        </w:rPr>
      </w:pPr>
      <w:r>
        <w:rPr>
          <w:rFonts w:ascii="Arial" w:cs="Arial" w:eastAsia="Arial" w:hAnsi="Arial"/>
          <w:sz w:val="18"/>
          <w:szCs w:val="18"/>
          <w:color w:val="auto"/>
        </w:rPr>
        <w:t>5,500,673</w:t>
      </w:r>
      <w:r>
        <w:rPr>
          <w:sz w:val="20"/>
          <w:szCs w:val="20"/>
          <w:color w:val="auto"/>
        </w:rPr>
        <w:tab/>
      </w:r>
      <w:r>
        <w:rPr>
          <w:rFonts w:ascii="Arial" w:cs="Arial" w:eastAsia="Arial" w:hAnsi="Arial"/>
          <w:sz w:val="18"/>
          <w:szCs w:val="18"/>
          <w:color w:val="auto"/>
        </w:rPr>
        <w:t>6,013,482</w:t>
      </w:r>
      <w:r>
        <w:rPr>
          <w:sz w:val="20"/>
          <w:szCs w:val="20"/>
          <w:color w:val="auto"/>
        </w:rPr>
        <w:tab/>
      </w:r>
      <w:r>
        <w:rPr>
          <w:rFonts w:ascii="Arial" w:cs="Arial" w:eastAsia="Arial" w:hAnsi="Arial"/>
          <w:sz w:val="16"/>
          <w:szCs w:val="16"/>
          <w:color w:val="auto"/>
        </w:rPr>
        <w:t>6,682,445</w:t>
      </w:r>
    </w:p>
    <w:p>
      <w:pPr>
        <w:spacing w:after="0" w:line="63" w:lineRule="exact"/>
        <w:rPr>
          <w:sz w:val="20"/>
          <w:szCs w:val="20"/>
          <w:color w:val="auto"/>
        </w:rPr>
      </w:pPr>
    </w:p>
    <w:p>
      <w:pPr>
        <w:ind w:left="140"/>
        <w:spacing w:after="0"/>
        <w:tabs>
          <w:tab w:leader="none" w:pos="1180" w:val="left"/>
          <w:tab w:leader="none" w:pos="2220" w:val="left"/>
        </w:tabs>
        <w:rPr>
          <w:sz w:val="20"/>
          <w:szCs w:val="20"/>
          <w:color w:val="auto"/>
        </w:rPr>
      </w:pPr>
      <w:r>
        <w:rPr>
          <w:rFonts w:ascii="Arial" w:cs="Arial" w:eastAsia="Arial" w:hAnsi="Arial"/>
          <w:sz w:val="18"/>
          <w:szCs w:val="18"/>
          <w:color w:val="auto"/>
        </w:rPr>
        <w:t>493,794</w:t>
      </w:r>
      <w:r>
        <w:rPr>
          <w:sz w:val="20"/>
          <w:szCs w:val="20"/>
          <w:color w:val="auto"/>
        </w:rPr>
        <w:tab/>
      </w:r>
      <w:r>
        <w:rPr>
          <w:rFonts w:ascii="Arial" w:cs="Arial" w:eastAsia="Arial" w:hAnsi="Arial"/>
          <w:sz w:val="18"/>
          <w:szCs w:val="18"/>
          <w:color w:val="auto"/>
        </w:rPr>
        <w:t>422,422</w:t>
      </w:r>
      <w:r>
        <w:rPr>
          <w:sz w:val="20"/>
          <w:szCs w:val="20"/>
          <w:color w:val="auto"/>
        </w:rPr>
        <w:tab/>
      </w:r>
      <w:r>
        <w:rPr>
          <w:rFonts w:ascii="Arial" w:cs="Arial" w:eastAsia="Arial" w:hAnsi="Arial"/>
          <w:sz w:val="16"/>
          <w:szCs w:val="16"/>
          <w:color w:val="auto"/>
        </w:rPr>
        <w:t>437,436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-70485</wp:posOffset>
            </wp:positionH>
            <wp:positionV relativeFrom="paragraph">
              <wp:posOffset>14605</wp:posOffset>
            </wp:positionV>
            <wp:extent cx="1869440" cy="889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62">
                      <a:extLst>
                        <a:ext uri="{28A0092B-C50C-407E-A947-70E740481C1C}"/>
                      </a:extLst>
                    </a:blip>
                    <a:srcRect/>
                    <a:stretch>
                      <a:fillRect/>
                    </a:stretch>
                  </pic:blipFill>
                  <pic:spPr bwMode="auto">
                    <a:xfrm>
                      <a:off x="0" y="0"/>
                      <a:ext cx="1869440" cy="8890"/>
                    </a:xfrm>
                    <a:prstGeom prst="rect">
                      <a:avLst/>
                    </a:prstGeom>
                    <a:noFill/>
                  </pic:spPr>
                </pic:pic>
              </a:graphicData>
            </a:graphic>
          </wp:anchor>
        </w:drawing>
      </w:r>
    </w:p>
    <w:p>
      <w:pPr>
        <w:spacing w:after="0" w:line="12" w:lineRule="exact"/>
        <w:rPr>
          <w:sz w:val="20"/>
          <w:szCs w:val="20"/>
          <w:color w:val="auto"/>
        </w:rPr>
      </w:pPr>
    </w:p>
    <w:p>
      <w:pPr>
        <w:spacing w:after="0"/>
        <w:tabs>
          <w:tab w:leader="none" w:pos="1040" w:val="left"/>
          <w:tab w:leader="none" w:pos="2100" w:val="left"/>
        </w:tabs>
        <w:rPr>
          <w:sz w:val="20"/>
          <w:szCs w:val="20"/>
          <w:color w:val="auto"/>
        </w:rPr>
      </w:pPr>
      <w:r>
        <w:rPr>
          <w:rFonts w:ascii="Arial" w:cs="Arial" w:eastAsia="Arial" w:hAnsi="Arial"/>
          <w:sz w:val="18"/>
          <w:szCs w:val="18"/>
          <w:b w:val="1"/>
          <w:bCs w:val="1"/>
          <w:color w:val="auto"/>
        </w:rPr>
        <w:t>5,994,467</w:t>
      </w:r>
      <w:r>
        <w:rPr>
          <w:sz w:val="20"/>
          <w:szCs w:val="20"/>
          <w:color w:val="auto"/>
        </w:rPr>
        <w:tab/>
      </w:r>
      <w:r>
        <w:rPr>
          <w:rFonts w:ascii="Arial" w:cs="Arial" w:eastAsia="Arial" w:hAnsi="Arial"/>
          <w:sz w:val="18"/>
          <w:szCs w:val="18"/>
          <w:b w:val="1"/>
          <w:bCs w:val="1"/>
          <w:color w:val="auto"/>
        </w:rPr>
        <w:t>6,435,904</w:t>
      </w:r>
      <w:r>
        <w:rPr>
          <w:sz w:val="20"/>
          <w:szCs w:val="20"/>
          <w:color w:val="auto"/>
        </w:rPr>
        <w:tab/>
      </w:r>
      <w:r>
        <w:rPr>
          <w:rFonts w:ascii="Arial" w:cs="Arial" w:eastAsia="Arial" w:hAnsi="Arial"/>
          <w:sz w:val="16"/>
          <w:szCs w:val="16"/>
          <w:b w:val="1"/>
          <w:bCs w:val="1"/>
          <w:color w:val="auto"/>
        </w:rPr>
        <w:t>7,119,881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-70485</wp:posOffset>
            </wp:positionH>
            <wp:positionV relativeFrom="paragraph">
              <wp:posOffset>17145</wp:posOffset>
            </wp:positionV>
            <wp:extent cx="1869440" cy="889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63">
                      <a:extLst>
                        <a:ext uri="{28A0092B-C50C-407E-A947-70E740481C1C}"/>
                      </a:extLst>
                    </a:blip>
                    <a:srcRect/>
                    <a:stretch>
                      <a:fillRect/>
                    </a:stretch>
                  </pic:blipFill>
                  <pic:spPr bwMode="auto">
                    <a:xfrm>
                      <a:off x="0" y="0"/>
                      <a:ext cx="1869440" cy="8890"/>
                    </a:xfrm>
                    <a:prstGeom prst="rect">
                      <a:avLst/>
                    </a:prstGeom>
                    <a:noFill/>
                  </pic:spPr>
                </pic:pic>
              </a:graphicData>
            </a:graphic>
          </wp:anchor>
        </w:drawing>
      </w:r>
    </w:p>
    <w:p>
      <w:pPr>
        <w:spacing w:after="0" w:line="519" w:lineRule="exact"/>
        <w:rPr>
          <w:sz w:val="20"/>
          <w:szCs w:val="20"/>
          <w:color w:val="auto"/>
        </w:rPr>
      </w:pPr>
    </w:p>
    <w:p>
      <w:pPr>
        <w:sectPr>
          <w:pgSz w:w="11900" w:h="16838" w:orient="portrait"/>
          <w:cols w:equalWidth="0" w:num="2">
            <w:col w:w="7920" w:space="560"/>
            <w:col w:w="2940"/>
          </w:cols>
          <w:pgMar w:left="240" w:top="1175" w:right="239" w:bottom="1440" w:gutter="0" w:footer="0" w:header="0"/>
        </w:sectPr>
      </w:pPr>
    </w:p>
    <w:tbl>
      <w:tblPr>
        <w:tblLayout w:type="fixed"/>
        <w:tblInd w:w="0" w:type="dxa"/>
        <w:tblCellMar>
          <w:top w:w="0" w:type="dxa"/>
          <w:left w:w="0" w:type="dxa"/>
          <w:bottom w:w="0" w:type="dxa"/>
          <w:right w:w="0" w:type="dxa"/>
        </w:tblCellMar>
      </w:tblPr>
      <w:tr>
        <w:trPr>
          <w:trHeight w:val="196"/>
        </w:trPr>
        <w:tc>
          <w:tcPr>
            <w:tcW w:w="20" w:type="dxa"/>
            <w:vAlign w:val="bottom"/>
          </w:tcPr>
          <w:p>
            <w:pPr>
              <w:spacing w:after="0"/>
              <w:rPr>
                <w:sz w:val="17"/>
                <w:szCs w:val="17"/>
                <w:color w:val="auto"/>
              </w:rPr>
            </w:pPr>
          </w:p>
        </w:tc>
        <w:tc>
          <w:tcPr>
            <w:tcW w:w="5160" w:type="dxa"/>
            <w:vAlign w:val="bottom"/>
            <w:shd w:val="clear" w:color="auto" w:fill="CCEEFF"/>
          </w:tcPr>
          <w:p>
            <w:pPr>
              <w:spacing w:after="0"/>
              <w:rPr>
                <w:sz w:val="17"/>
                <w:szCs w:val="17"/>
                <w:color w:val="auto"/>
              </w:rPr>
            </w:pPr>
          </w:p>
        </w:tc>
        <w:tc>
          <w:tcPr>
            <w:tcW w:w="31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180" w:type="dxa"/>
            <w:vAlign w:val="bottom"/>
            <w:gridSpan w:val="2"/>
          </w:tcPr>
          <w:p>
            <w:pPr>
              <w:spacing w:after="0"/>
              <w:rPr>
                <w:sz w:val="20"/>
                <w:szCs w:val="20"/>
                <w:color w:val="auto"/>
              </w:rPr>
            </w:pPr>
            <w:r>
              <w:rPr>
                <w:rFonts w:ascii="Arial" w:cs="Arial" w:eastAsia="Arial" w:hAnsi="Arial"/>
                <w:sz w:val="18"/>
                <w:szCs w:val="18"/>
                <w:color w:val="auto"/>
              </w:rPr>
              <w:t>Interest income</w:t>
            </w:r>
          </w:p>
        </w:tc>
        <w:tc>
          <w:tcPr>
            <w:tcW w:w="4240" w:type="dxa"/>
            <w:vAlign w:val="bottom"/>
            <w:gridSpan w:val="3"/>
          </w:tcPr>
          <w:p>
            <w:pPr>
              <w:jc w:val="right"/>
              <w:ind w:right="220"/>
              <w:spacing w:after="0"/>
              <w:rPr>
                <w:sz w:val="20"/>
                <w:szCs w:val="20"/>
                <w:color w:val="auto"/>
              </w:rPr>
            </w:pPr>
            <w:r>
              <w:rPr>
                <w:rFonts w:ascii="Arial" w:cs="Arial" w:eastAsia="Arial" w:hAnsi="Arial"/>
                <w:sz w:val="18"/>
                <w:szCs w:val="18"/>
                <w:color w:val="auto"/>
              </w:rPr>
              <w:t>12,753</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9,506</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10,454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42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(13,519)</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5,328</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7,864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60" w:type="dxa"/>
            <w:vAlign w:val="bottom"/>
          </w:tcPr>
          <w:p>
            <w:pPr>
              <w:spacing w:after="0"/>
              <w:rPr>
                <w:sz w:val="18"/>
                <w:szCs w:val="18"/>
                <w:color w:val="auto"/>
              </w:rPr>
            </w:pPr>
          </w:p>
        </w:tc>
        <w:tc>
          <w:tcPr>
            <w:tcW w:w="3180" w:type="dxa"/>
            <w:vAlign w:val="bottom"/>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42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(766)</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14,834</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18,318</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5160" w:type="dxa"/>
            <w:vAlign w:val="bottom"/>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4240" w:type="dxa"/>
            <w:vAlign w:val="bottom"/>
            <w:gridSpan w:val="3"/>
          </w:tcPr>
          <w:p>
            <w:pPr>
              <w:jc w:val="right"/>
              <w:ind w:right="160"/>
              <w:spacing w:after="0"/>
              <w:rPr>
                <w:sz w:val="20"/>
                <w:szCs w:val="20"/>
                <w:color w:val="auto"/>
              </w:rPr>
            </w:pPr>
            <w:r>
              <w:rPr>
                <w:rFonts w:ascii="Arial" w:cs="Arial" w:eastAsia="Arial" w:hAnsi="Arial"/>
                <w:sz w:val="18"/>
                <w:szCs w:val="18"/>
                <w:color w:val="auto"/>
              </w:rPr>
              <w:t>(428)</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(3,568)</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6,887</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60" w:type="dxa"/>
            <w:vAlign w:val="bottom"/>
            <w:tcBorders>
              <w:top w:val="single" w:sz="8" w:color="CCEEFF"/>
            </w:tcBorders>
            <w:shd w:val="clear" w:color="auto" w:fill="CCEEFF"/>
          </w:tcPr>
          <w:p>
            <w:pPr>
              <w:spacing w:after="0"/>
              <w:rPr>
                <w:sz w:val="18"/>
                <w:szCs w:val="18"/>
                <w:color w:val="auto"/>
              </w:rPr>
            </w:pPr>
          </w:p>
        </w:tc>
        <w:tc>
          <w:tcPr>
            <w:tcW w:w="31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60" w:type="dxa"/>
            <w:vAlign w:val="bottom"/>
          </w:tcPr>
          <w:p>
            <w:pPr>
              <w:spacing w:after="0"/>
              <w:rPr>
                <w:sz w:val="20"/>
                <w:szCs w:val="20"/>
                <w:color w:val="auto"/>
              </w:rPr>
            </w:pPr>
            <w:r>
              <w:rPr>
                <w:rFonts w:ascii="Arial" w:cs="Arial" w:eastAsia="Arial" w:hAnsi="Arial"/>
                <w:sz w:val="18"/>
                <w:szCs w:val="18"/>
                <w:b w:val="1"/>
                <w:bCs w:val="1"/>
                <w:color w:val="auto"/>
              </w:rPr>
              <w:t>Total income</w:t>
            </w:r>
          </w:p>
        </w:tc>
        <w:tc>
          <w:tcPr>
            <w:tcW w:w="3180" w:type="dxa"/>
            <w:vAlign w:val="bottom"/>
          </w:tcPr>
          <w:p>
            <w:pPr>
              <w:spacing w:after="0"/>
              <w:rPr>
                <w:sz w:val="19"/>
                <w:szCs w:val="19"/>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(1,194)</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11,266</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25,205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60" w:type="dxa"/>
            <w:vAlign w:val="bottom"/>
            <w:vMerge w:val="restart"/>
            <w:shd w:val="clear" w:color="auto" w:fill="CCEEFF"/>
          </w:tcPr>
          <w:p>
            <w:pPr>
              <w:spacing w:after="0"/>
              <w:rPr>
                <w:sz w:val="20"/>
                <w:szCs w:val="20"/>
                <w:color w:val="auto"/>
              </w:rPr>
            </w:pPr>
            <w:r>
              <w:rPr>
                <w:rFonts w:ascii="Arial" w:cs="Arial" w:eastAsia="Arial" w:hAnsi="Arial"/>
                <w:sz w:val="18"/>
                <w:szCs w:val="18"/>
                <w:color w:val="auto"/>
                <w:w w:val="96"/>
              </w:rPr>
              <w:t>Impairment loss for expected credit losses on investment securities</w:t>
            </w:r>
          </w:p>
        </w:tc>
        <w:tc>
          <w:tcPr>
            <w:tcW w:w="3180" w:type="dxa"/>
            <w:vAlign w:val="bottom"/>
            <w:vMerge w:val="restart"/>
            <w:shd w:val="clear" w:color="auto" w:fill="CCEEFF"/>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vMerge w:val="continue"/>
            <w:shd w:val="clear" w:color="auto" w:fill="CCEEFF"/>
          </w:tcPr>
          <w:p>
            <w:pPr>
              <w:spacing w:after="0"/>
              <w:rPr>
                <w:sz w:val="18"/>
                <w:szCs w:val="18"/>
                <w:color w:val="auto"/>
              </w:rPr>
            </w:pPr>
          </w:p>
        </w:tc>
        <w:tc>
          <w:tcPr>
            <w:tcW w:w="3180" w:type="dxa"/>
            <w:vAlign w:val="bottom"/>
            <w:vMerge w:val="continue"/>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489</w:t>
            </w:r>
          </w:p>
        </w:tc>
        <w:tc>
          <w:tcPr>
            <w:tcW w:w="220" w:type="dxa"/>
            <w:vAlign w:val="bottom"/>
            <w:vMerge w:val="continue"/>
            <w:shd w:val="clear" w:color="auto" w:fill="CCEEFF"/>
          </w:tcPr>
          <w:p>
            <w:pPr>
              <w:spacing w:after="0"/>
              <w:rPr>
                <w:sz w:val="18"/>
                <w:szCs w:val="18"/>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(5,290)</w:t>
            </w:r>
          </w:p>
        </w:tc>
        <w:tc>
          <w:tcPr>
            <w:tcW w:w="10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60" w:type="dxa"/>
            <w:vAlign w:val="bottom"/>
          </w:tcPr>
          <w:p>
            <w:pPr>
              <w:spacing w:after="0"/>
              <w:rPr>
                <w:sz w:val="20"/>
                <w:szCs w:val="20"/>
                <w:color w:val="auto"/>
              </w:rPr>
            </w:pPr>
            <w:r>
              <w:rPr>
                <w:rFonts w:ascii="Arial" w:cs="Arial" w:eastAsia="Arial" w:hAnsi="Arial"/>
                <w:sz w:val="18"/>
                <w:szCs w:val="18"/>
                <w:color w:val="auto"/>
              </w:rPr>
              <w:t>Expenses, less impairment loss for expected credit losses</w:t>
            </w:r>
          </w:p>
        </w:tc>
        <w:tc>
          <w:tcPr>
            <w:tcW w:w="4240" w:type="dxa"/>
            <w:vAlign w:val="bottom"/>
            <w:gridSpan w:val="3"/>
          </w:tcPr>
          <w:p>
            <w:pPr>
              <w:jc w:val="right"/>
              <w:ind w:right="160"/>
              <w:spacing w:after="0"/>
              <w:rPr>
                <w:sz w:val="20"/>
                <w:szCs w:val="20"/>
                <w:color w:val="auto"/>
              </w:rPr>
            </w:pPr>
            <w:r>
              <w:rPr>
                <w:rFonts w:ascii="Arial" w:cs="Arial" w:eastAsia="Arial" w:hAnsi="Arial"/>
                <w:sz w:val="18"/>
                <w:szCs w:val="18"/>
                <w:color w:val="auto"/>
              </w:rPr>
              <w:t>(10,959)</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(11,216)</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(11,355)</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60" w:type="dxa"/>
            <w:vAlign w:val="bottom"/>
            <w:tcBorders>
              <w:top w:val="single" w:sz="8" w:color="CCEEFF"/>
            </w:tcBorders>
            <w:shd w:val="clear" w:color="auto" w:fill="CCEEFF"/>
          </w:tcPr>
          <w:p>
            <w:pPr>
              <w:spacing w:after="0"/>
              <w:rPr>
                <w:sz w:val="18"/>
                <w:szCs w:val="18"/>
                <w:color w:val="auto"/>
              </w:rPr>
            </w:pPr>
          </w:p>
        </w:tc>
        <w:tc>
          <w:tcPr>
            <w:tcW w:w="31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60" w:type="dxa"/>
            <w:vAlign w:val="bottom"/>
          </w:tcPr>
          <w:p>
            <w:pPr>
              <w:spacing w:after="0"/>
              <w:rPr>
                <w:sz w:val="20"/>
                <w:szCs w:val="20"/>
                <w:color w:val="auto"/>
              </w:rPr>
            </w:pPr>
            <w:r>
              <w:rPr>
                <w:rFonts w:ascii="Arial" w:cs="Arial" w:eastAsia="Arial" w:hAnsi="Arial"/>
                <w:sz w:val="18"/>
                <w:szCs w:val="18"/>
                <w:b w:val="1"/>
                <w:bCs w:val="1"/>
                <w:color w:val="auto"/>
              </w:rPr>
              <w:t>Profit (loss) for the year</w:t>
            </w:r>
          </w:p>
        </w:tc>
        <w:tc>
          <w:tcPr>
            <w:tcW w:w="4240" w:type="dxa"/>
            <w:vAlign w:val="bottom"/>
            <w:gridSpan w:val="3"/>
          </w:tcPr>
          <w:p>
            <w:pPr>
              <w:jc w:val="right"/>
              <w:ind w:right="160"/>
              <w:spacing w:after="0"/>
              <w:rPr>
                <w:sz w:val="20"/>
                <w:szCs w:val="20"/>
                <w:color w:val="auto"/>
              </w:rPr>
            </w:pPr>
            <w:r>
              <w:rPr>
                <w:rFonts w:ascii="Arial" w:cs="Arial" w:eastAsia="Arial" w:hAnsi="Arial"/>
                <w:sz w:val="18"/>
                <w:szCs w:val="18"/>
                <w:b w:val="1"/>
                <w:bCs w:val="1"/>
                <w:color w:val="auto"/>
              </w:rPr>
              <w:t>(11,664)</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47</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8,560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Treasury assets (end of year balances):</w:t>
            </w:r>
          </w:p>
        </w:tc>
        <w:tc>
          <w:tcPr>
            <w:tcW w:w="31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5160" w:type="dxa"/>
            <w:vAlign w:val="bottom"/>
          </w:tcPr>
          <w:p>
            <w:pPr>
              <w:spacing w:after="0" w:line="269"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tc>
        <w:tc>
          <w:tcPr>
            <w:tcW w:w="4240" w:type="dxa"/>
            <w:vAlign w:val="bottom"/>
            <w:gridSpan w:val="3"/>
          </w:tcPr>
          <w:p>
            <w:pPr>
              <w:jc w:val="right"/>
              <w:ind w:right="220"/>
              <w:spacing w:after="0"/>
              <w:rPr>
                <w:sz w:val="20"/>
                <w:szCs w:val="20"/>
                <w:color w:val="auto"/>
              </w:rPr>
            </w:pPr>
            <w:r>
              <w:rPr>
                <w:rFonts w:ascii="Arial" w:cs="Arial" w:eastAsia="Arial" w:hAnsi="Arial"/>
                <w:sz w:val="18"/>
                <w:szCs w:val="18"/>
                <w:color w:val="auto"/>
              </w:rPr>
              <w:t>757,911</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1,177,961</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1,603,921</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1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interest-earning assets</w:t>
            </w:r>
          </w:p>
        </w:tc>
        <w:tc>
          <w:tcPr>
            <w:tcW w:w="318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757,911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1,177,961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1,603,921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60" w:type="dxa"/>
            <w:vAlign w:val="bottom"/>
          </w:tcPr>
          <w:p>
            <w:pPr>
              <w:spacing w:after="0" w:line="20" w:lineRule="exact"/>
              <w:rPr>
                <w:sz w:val="1"/>
                <w:szCs w:val="1"/>
                <w:color w:val="auto"/>
              </w:rPr>
            </w:pPr>
          </w:p>
        </w:tc>
        <w:tc>
          <w:tcPr>
            <w:tcW w:w="318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0" w:type="dxa"/>
            <w:vAlign w:val="bottom"/>
          </w:tcPr>
          <w:p>
            <w:pPr>
              <w:spacing w:after="0"/>
              <w:rPr>
                <w:sz w:val="24"/>
                <w:szCs w:val="24"/>
                <w:color w:val="auto"/>
              </w:rPr>
            </w:pPr>
          </w:p>
        </w:tc>
        <w:tc>
          <w:tcPr>
            <w:tcW w:w="5160" w:type="dxa"/>
            <w:vAlign w:val="bottom"/>
            <w:tcBorders>
              <w:bottom w:val="single" w:sz="8" w:color="auto"/>
            </w:tcBorders>
          </w:tcPr>
          <w:p>
            <w:pPr>
              <w:spacing w:after="0"/>
              <w:rPr>
                <w:sz w:val="24"/>
                <w:szCs w:val="24"/>
                <w:color w:val="auto"/>
              </w:rPr>
            </w:pPr>
          </w:p>
        </w:tc>
        <w:tc>
          <w:tcPr>
            <w:tcW w:w="4240" w:type="dxa"/>
            <w:vAlign w:val="bottom"/>
            <w:tcBorders>
              <w:bottom w:val="single" w:sz="8" w:color="auto"/>
            </w:tcBorders>
            <w:gridSpan w:val="3"/>
          </w:tcPr>
          <w:p>
            <w:pPr>
              <w:jc w:val="right"/>
              <w:ind w:right="3520"/>
              <w:spacing w:after="0"/>
              <w:rPr>
                <w:sz w:val="20"/>
                <w:szCs w:val="20"/>
                <w:color w:val="auto"/>
              </w:rPr>
            </w:pPr>
            <w:r>
              <w:rPr>
                <w:rFonts w:ascii="Arial" w:cs="Arial" w:eastAsia="Arial" w:hAnsi="Arial"/>
                <w:sz w:val="18"/>
                <w:szCs w:val="18"/>
                <w:color w:val="auto"/>
              </w:rPr>
              <w:t>F-79</w:t>
            </w: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1175" w:right="239" w:bottom="1440" w:gutter="0" w:footer="0" w:header="0"/>
          <w:type w:val="continuous"/>
        </w:sectPr>
      </w:pPr>
    </w:p>
    <w:bookmarkStart w:id="201" w:name="page202"/>
    <w:bookmarkEnd w:id="20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17. Business segment information (continued)</w:t>
      </w: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Combined business segment 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-119380</wp:posOffset>
            </wp:positionV>
            <wp:extent cx="6989445" cy="14605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64">
                      <a:extLst>
                        <a:ext uri="{28A0092B-C50C-407E-A947-70E740481C1C}"/>
                      </a:extLst>
                    </a:blip>
                    <a:srcRect/>
                    <a:stretch>
                      <a:fillRect/>
                    </a:stretch>
                  </pic:blipFill>
                  <pic:spPr bwMode="auto">
                    <a:xfrm>
                      <a:off x="0" y="0"/>
                      <a:ext cx="6989445" cy="146050"/>
                    </a:xfrm>
                    <a:prstGeom prst="rect">
                      <a:avLst/>
                    </a:prstGeom>
                    <a:noFill/>
                  </pic:spPr>
                </pic:pic>
              </a:graphicData>
            </a:graphic>
          </wp:anchor>
        </w:drawing>
      </w:r>
    </w:p>
    <w:p>
      <w:pPr>
        <w:spacing w:after="0" w:line="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income</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expense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89445" cy="14605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65">
                      <a:extLst>
                        <a:ext uri="{28A0092B-C50C-407E-A947-70E740481C1C}"/>
                      </a:extLst>
                    </a:blip>
                    <a:srcRect/>
                    <a:stretch>
                      <a:fillRect/>
                    </a:stretch>
                  </pic:blipFill>
                  <pic:spPr bwMode="auto">
                    <a:xfrm>
                      <a:off x="0" y="0"/>
                      <a:ext cx="6989445" cy="146050"/>
                    </a:xfrm>
                    <a:prstGeom prst="rect">
                      <a:avLst/>
                    </a:prstGeom>
                    <a:noFill/>
                  </pic:spPr>
                </pic:pic>
              </a:graphicData>
            </a:graphic>
          </wp:anchor>
        </w:drawing>
      </w:r>
    </w:p>
    <w:p>
      <w:pPr>
        <w:spacing w:after="0" w:line="21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Net interest income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89445" cy="13716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66">
                      <a:extLst>
                        <a:ext uri="{28A0092B-C50C-407E-A947-70E740481C1C}"/>
                      </a:extLst>
                    </a:blip>
                    <a:srcRect/>
                    <a:stretch>
                      <a:fillRect/>
                    </a:stretch>
                  </pic:blipFill>
                  <pic:spPr bwMode="auto">
                    <a:xfrm>
                      <a:off x="0" y="0"/>
                      <a:ext cx="698944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-46990</wp:posOffset>
            </wp:positionV>
            <wp:extent cx="6989445" cy="14605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67">
                      <a:extLst>
                        <a:ext uri="{28A0092B-C50C-407E-A947-70E740481C1C}"/>
                      </a:extLst>
                    </a:blip>
                    <a:srcRect/>
                    <a:stretch>
                      <a:fillRect/>
                    </a:stretch>
                  </pic:blipFill>
                  <pic:spPr bwMode="auto">
                    <a:xfrm>
                      <a:off x="0" y="0"/>
                      <a:ext cx="6989445" cy="146050"/>
                    </a:xfrm>
                    <a:prstGeom prst="rect">
                      <a:avLst/>
                    </a:prstGeom>
                    <a:noFill/>
                  </pic:spPr>
                </pic:pic>
              </a:graphicData>
            </a:graphic>
          </wp:anchor>
        </w:drawing>
      </w:r>
    </w:p>
    <w:p>
      <w:pPr>
        <w:spacing w:after="0" w:line="11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 income</w:t>
      </w:r>
    </w:p>
    <w:p>
      <w:pPr>
        <w:spacing w:after="0" w:line="27" w:lineRule="exact"/>
        <w:rPr>
          <w:sz w:val="20"/>
          <w:szCs w:val="20"/>
          <w:color w:val="auto"/>
        </w:rPr>
      </w:pPr>
    </w:p>
    <w:p>
      <w:pPr>
        <w:ind w:left="340"/>
        <w:spacing w:after="0" w:line="258" w:lineRule="auto"/>
        <w:rPr>
          <w:sz w:val="20"/>
          <w:szCs w:val="20"/>
          <w:color w:val="auto"/>
        </w:rPr>
      </w:pPr>
      <w:r>
        <w:rPr>
          <w:rFonts w:ascii="Arial" w:cs="Arial" w:eastAsia="Arial" w:hAnsi="Arial"/>
          <w:sz w:val="18"/>
          <w:szCs w:val="18"/>
          <w:color w:val="auto"/>
        </w:rPr>
        <w:t>Impairment loss from expected credit losses on loans and impairment loss from expected credit losses on loan commitments and financial guarantee contracts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-273050</wp:posOffset>
            </wp:positionV>
            <wp:extent cx="6989445" cy="27432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68">
                      <a:extLst>
                        <a:ext uri="{28A0092B-C50C-407E-A947-70E740481C1C}"/>
                      </a:extLst>
                    </a:blip>
                    <a:srcRect/>
                    <a:stretch>
                      <a:fillRect/>
                    </a:stretch>
                  </pic:blipFill>
                  <pic:spPr bwMode="auto">
                    <a:xfrm>
                      <a:off x="0" y="0"/>
                      <a:ext cx="6989445" cy="274320"/>
                    </a:xfrm>
                    <a:prstGeom prst="rect">
                      <a:avLst/>
                    </a:prstGeom>
                    <a:noFill/>
                  </pic:spPr>
                </pic:pic>
              </a:graphicData>
            </a:graphic>
          </wp:anchor>
        </w:drawing>
      </w:r>
    </w:p>
    <w:p>
      <w:pPr>
        <w:ind w:left="340" w:right="2960"/>
        <w:spacing w:after="0" w:line="281" w:lineRule="auto"/>
        <w:rPr>
          <w:sz w:val="20"/>
          <w:szCs w:val="20"/>
          <w:color w:val="auto"/>
        </w:rPr>
      </w:pPr>
      <w:r>
        <w:rPr>
          <w:rFonts w:ascii="Arial" w:cs="Arial" w:eastAsia="Arial" w:hAnsi="Arial"/>
          <w:sz w:val="16"/>
          <w:szCs w:val="16"/>
          <w:color w:val="auto"/>
        </w:rPr>
        <w:t>Impairment loss from expected credit losses on investment securities Expenses, less impairment loss from expected credit losses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-135890</wp:posOffset>
            </wp:positionV>
            <wp:extent cx="6989445" cy="14605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69">
                      <a:extLst>
                        <a:ext uri="{28A0092B-C50C-407E-A947-70E740481C1C}"/>
                      </a:extLst>
                    </a:blip>
                    <a:srcRect/>
                    <a:stretch>
                      <a:fillRect/>
                    </a:stretch>
                  </pic:blipFill>
                  <pic:spPr bwMode="auto">
                    <a:xfrm>
                      <a:off x="0" y="0"/>
                      <a:ext cx="6989445" cy="14605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b w:val="1"/>
          <w:bCs w:val="1"/>
          <w:color w:val="auto"/>
        </w:rPr>
        <w:t>Profit for the year</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right="180"/>
        <w:spacing w:after="0"/>
        <w:rPr>
          <w:sz w:val="20"/>
          <w:szCs w:val="20"/>
          <w:color w:val="auto"/>
        </w:rPr>
      </w:pPr>
      <w:r>
        <w:rPr>
          <w:rFonts w:ascii="Arial" w:cs="Arial" w:eastAsia="Arial" w:hAnsi="Arial"/>
          <w:sz w:val="18"/>
          <w:szCs w:val="18"/>
          <w:b w:val="1"/>
          <w:bCs w:val="1"/>
          <w:color w:val="auto"/>
        </w:rPr>
        <w:t>Years ended December 31,</w:t>
      </w:r>
    </w:p>
    <w:p>
      <w:pPr>
        <w:spacing w:after="0" w:line="27" w:lineRule="exact"/>
        <w:rPr>
          <w:sz w:val="20"/>
          <w:szCs w:val="20"/>
          <w:color w:val="auto"/>
        </w:rPr>
      </w:pPr>
    </w:p>
    <w:p>
      <w:pPr>
        <w:ind w:left="140"/>
        <w:spacing w:after="0"/>
        <w:tabs>
          <w:tab w:leader="none" w:pos="1120" w:val="left"/>
          <w:tab w:leader="none" w:pos="2080" w:val="left"/>
        </w:tabs>
        <w:rPr>
          <w:sz w:val="20"/>
          <w:szCs w:val="20"/>
          <w:color w:val="auto"/>
        </w:rPr>
      </w:pPr>
      <w:r>
        <w:rPr>
          <w:rFonts w:ascii="Arial" w:cs="Arial" w:eastAsia="Arial" w:hAnsi="Arial"/>
          <w:sz w:val="18"/>
          <w:szCs w:val="18"/>
          <w:b w:val="1"/>
          <w:bCs w:val="1"/>
          <w:color w:val="auto"/>
        </w:rPr>
        <w:t>2017</w:t>
      </w:r>
      <w:r>
        <w:rPr>
          <w:rFonts w:ascii="Arial" w:cs="Arial" w:eastAsia="Arial" w:hAnsi="Arial"/>
          <w:sz w:val="30"/>
          <w:szCs w:val="30"/>
          <w:b w:val="1"/>
          <w:bCs w:val="1"/>
          <w:color w:val="auto"/>
          <w:vertAlign w:val="superscript"/>
        </w:rPr>
        <w:t>(1)</w:t>
      </w:r>
      <w:r>
        <w:rPr>
          <w:sz w:val="20"/>
          <w:szCs w:val="20"/>
          <w:color w:val="auto"/>
        </w:rPr>
        <w:tab/>
      </w:r>
      <w:r>
        <w:rPr>
          <w:rFonts w:ascii="Arial" w:cs="Arial" w:eastAsia="Arial" w:hAnsi="Arial"/>
          <w:sz w:val="18"/>
          <w:szCs w:val="18"/>
          <w:b w:val="1"/>
          <w:bCs w:val="1"/>
          <w:color w:val="auto"/>
        </w:rPr>
        <w:t>2016</w:t>
      </w:r>
      <w:r>
        <w:rPr>
          <w:rFonts w:ascii="Arial" w:cs="Arial" w:eastAsia="Arial" w:hAnsi="Arial"/>
          <w:sz w:val="30"/>
          <w:szCs w:val="30"/>
          <w:b w:val="1"/>
          <w:bCs w:val="1"/>
          <w:color w:val="auto"/>
          <w:vertAlign w:val="superscript"/>
        </w:rPr>
        <w:t>(1)</w:t>
      </w:r>
      <w:r>
        <w:rPr>
          <w:sz w:val="20"/>
          <w:szCs w:val="20"/>
          <w:color w:val="auto"/>
        </w:rPr>
        <w:tab/>
      </w:r>
      <w:r>
        <w:rPr>
          <w:rFonts w:ascii="Arial" w:cs="Arial" w:eastAsia="Arial" w:hAnsi="Arial"/>
          <w:sz w:val="15"/>
          <w:szCs w:val="15"/>
          <w:b w:val="1"/>
          <w:bCs w:val="1"/>
          <w:color w:val="auto"/>
        </w:rPr>
        <w:t>2015</w:t>
      </w:r>
      <w:r>
        <w:rPr>
          <w:rFonts w:ascii="Arial" w:cs="Arial" w:eastAsia="Arial" w:hAnsi="Arial"/>
          <w:sz w:val="24"/>
          <w:szCs w:val="24"/>
          <w:b w:val="1"/>
          <w:bCs w:val="1"/>
          <w:color w:val="auto"/>
          <w:vertAlign w:val="superscript"/>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5715</wp:posOffset>
            </wp:positionH>
            <wp:positionV relativeFrom="paragraph">
              <wp:posOffset>-218440</wp:posOffset>
            </wp:positionV>
            <wp:extent cx="1741170" cy="8890"/>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0">
                      <a:extLst>
                        <a:ext uri="{28A0092B-C50C-407E-A947-70E740481C1C}"/>
                      </a:extLst>
                    </a:blip>
                    <a:srcRect/>
                    <a:stretch>
                      <a:fillRect/>
                    </a:stretch>
                  </pic:blipFill>
                  <pic:spPr bwMode="auto">
                    <a:xfrm>
                      <a:off x="0" y="0"/>
                      <a:ext cx="1741170" cy="8890"/>
                    </a:xfrm>
                    <a:prstGeom prst="rect">
                      <a:avLst/>
                    </a:prstGeom>
                    <a:noFill/>
                  </pic:spPr>
                </pic:pic>
              </a:graphicData>
            </a:graphic>
          </wp:anchor>
        </w:drawing>
      </w:r>
    </w:p>
    <w:p>
      <w:pPr>
        <w:spacing w:after="0" w:line="12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800" w:type="dxa"/>
            <w:vAlign w:val="bottom"/>
          </w:tcPr>
          <w:p>
            <w:pPr>
              <w:jc w:val="right"/>
              <w:spacing w:after="0"/>
              <w:rPr>
                <w:sz w:val="20"/>
                <w:szCs w:val="20"/>
                <w:color w:val="auto"/>
              </w:rPr>
            </w:pPr>
            <w:r>
              <w:rPr>
                <w:rFonts w:ascii="Arial" w:cs="Arial" w:eastAsia="Arial" w:hAnsi="Arial"/>
                <w:sz w:val="18"/>
                <w:szCs w:val="18"/>
                <w:color w:val="auto"/>
              </w:rPr>
              <w:t>226,079</w:t>
            </w:r>
          </w:p>
        </w:tc>
        <w:tc>
          <w:tcPr>
            <w:tcW w:w="22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245,898</w:t>
            </w:r>
          </w:p>
        </w:tc>
        <w:tc>
          <w:tcPr>
            <w:tcW w:w="760" w:type="dxa"/>
            <w:vAlign w:val="bottom"/>
          </w:tcPr>
          <w:p>
            <w:pPr>
              <w:jc w:val="right"/>
              <w:spacing w:after="0"/>
              <w:rPr>
                <w:sz w:val="20"/>
                <w:szCs w:val="20"/>
                <w:color w:val="auto"/>
              </w:rPr>
            </w:pPr>
            <w:r>
              <w:rPr>
                <w:rFonts w:ascii="Arial" w:cs="Arial" w:eastAsia="Arial" w:hAnsi="Arial"/>
                <w:sz w:val="18"/>
                <w:szCs w:val="18"/>
                <w:color w:val="auto"/>
              </w:rPr>
              <w:t>220,312</w:t>
            </w:r>
          </w:p>
        </w:tc>
        <w:tc>
          <w:tcPr>
            <w:tcW w:w="60" w:type="dxa"/>
            <w:vAlign w:val="bottom"/>
          </w:tcPr>
          <w:p>
            <w:pPr>
              <w:spacing w:after="0"/>
              <w:rPr>
                <w:sz w:val="18"/>
                <w:szCs w:val="18"/>
                <w:color w:val="auto"/>
              </w:rPr>
            </w:pPr>
          </w:p>
        </w:tc>
      </w:tr>
      <w:tr>
        <w:trPr>
          <w:trHeight w:val="244"/>
        </w:trPr>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(106,264)</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(90,689)</w:t>
            </w:r>
          </w:p>
        </w:tc>
        <w:tc>
          <w:tcPr>
            <w:tcW w:w="820" w:type="dxa"/>
            <w:vAlign w:val="bottom"/>
            <w:gridSpan w:val="2"/>
          </w:tcPr>
          <w:p>
            <w:pPr>
              <w:jc w:val="right"/>
              <w:spacing w:after="0"/>
              <w:rPr>
                <w:sz w:val="20"/>
                <w:szCs w:val="20"/>
                <w:color w:val="auto"/>
              </w:rPr>
            </w:pPr>
            <w:r>
              <w:rPr>
                <w:rFonts w:ascii="Arial" w:cs="Arial" w:eastAsia="Arial" w:hAnsi="Arial"/>
                <w:sz w:val="18"/>
                <w:szCs w:val="18"/>
                <w:color w:val="auto"/>
              </w:rPr>
              <w:t>(74,833)</w:t>
            </w:r>
          </w:p>
        </w:tc>
      </w:tr>
      <w:tr>
        <w:trPr>
          <w:trHeight w:val="426"/>
        </w:trPr>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119,815</w:t>
            </w:r>
          </w:p>
        </w:tc>
        <w:tc>
          <w:tcPr>
            <w:tcW w:w="220" w:type="dxa"/>
            <w:vAlign w:val="bottom"/>
          </w:tcPr>
          <w:p>
            <w:pPr>
              <w:spacing w:after="0"/>
              <w:rPr>
                <w:sz w:val="24"/>
                <w:szCs w:val="24"/>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155,209</w:t>
            </w:r>
          </w:p>
        </w:tc>
        <w:tc>
          <w:tcPr>
            <w:tcW w:w="220" w:type="dxa"/>
            <w:vAlign w:val="bottom"/>
          </w:tcPr>
          <w:p>
            <w:pPr>
              <w:spacing w:after="0"/>
              <w:rPr>
                <w:sz w:val="24"/>
                <w:szCs w:val="24"/>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145,479</w:t>
            </w:r>
          </w:p>
        </w:tc>
        <w:tc>
          <w:tcPr>
            <w:tcW w:w="60" w:type="dxa"/>
            <w:vAlign w:val="bottom"/>
          </w:tcPr>
          <w:p>
            <w:pPr>
              <w:spacing w:after="0"/>
              <w:rPr>
                <w:sz w:val="24"/>
                <w:szCs w:val="24"/>
                <w:color w:val="auto"/>
              </w:rPr>
            </w:pPr>
          </w:p>
        </w:tc>
      </w:tr>
      <w:tr>
        <w:trPr>
          <w:trHeight w:val="270"/>
        </w:trPr>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18,498</w:t>
            </w:r>
          </w:p>
        </w:tc>
        <w:tc>
          <w:tcPr>
            <w:tcW w:w="220" w:type="dxa"/>
            <w:vAlign w:val="bottom"/>
          </w:tcPr>
          <w:p>
            <w:pPr>
              <w:spacing w:after="0"/>
              <w:rPr>
                <w:sz w:val="23"/>
                <w:szCs w:val="23"/>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12,765</w:t>
            </w:r>
          </w:p>
        </w:tc>
        <w:tc>
          <w:tcPr>
            <w:tcW w:w="220" w:type="dxa"/>
            <w:vAlign w:val="bottom"/>
          </w:tcPr>
          <w:p>
            <w:pPr>
              <w:spacing w:after="0"/>
              <w:rPr>
                <w:sz w:val="23"/>
                <w:szCs w:val="23"/>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28,379</w:t>
            </w:r>
          </w:p>
        </w:tc>
        <w:tc>
          <w:tcPr>
            <w:tcW w:w="60" w:type="dxa"/>
            <w:vAlign w:val="bottom"/>
          </w:tcPr>
          <w:p>
            <w:pPr>
              <w:spacing w:after="0"/>
              <w:rPr>
                <w:sz w:val="23"/>
                <w:szCs w:val="23"/>
                <w:color w:val="auto"/>
              </w:rPr>
            </w:pPr>
          </w:p>
        </w:tc>
      </w:tr>
      <w:tr>
        <w:trPr>
          <w:trHeight w:val="439"/>
        </w:trPr>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138,313</w:t>
            </w:r>
          </w:p>
        </w:tc>
        <w:tc>
          <w:tcPr>
            <w:tcW w:w="220" w:type="dxa"/>
            <w:vAlign w:val="bottom"/>
          </w:tcPr>
          <w:p>
            <w:pPr>
              <w:spacing w:after="0"/>
              <w:rPr>
                <w:sz w:val="24"/>
                <w:szCs w:val="24"/>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167,974</w:t>
            </w:r>
          </w:p>
        </w:tc>
        <w:tc>
          <w:tcPr>
            <w:tcW w:w="220" w:type="dxa"/>
            <w:vAlign w:val="bottom"/>
          </w:tcPr>
          <w:p>
            <w:pPr>
              <w:spacing w:after="0"/>
              <w:rPr>
                <w:sz w:val="24"/>
                <w:szCs w:val="24"/>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173,858</w:t>
            </w:r>
          </w:p>
        </w:tc>
        <w:tc>
          <w:tcPr>
            <w:tcW w:w="60" w:type="dxa"/>
            <w:vAlign w:val="bottom"/>
          </w:tcPr>
          <w:p>
            <w:pPr>
              <w:spacing w:after="0"/>
              <w:rPr>
                <w:sz w:val="24"/>
                <w:szCs w:val="24"/>
                <w:color w:val="auto"/>
              </w:rPr>
            </w:pPr>
          </w:p>
        </w:tc>
      </w:tr>
      <w:tr>
        <w:trPr>
          <w:trHeight w:val="398"/>
        </w:trPr>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(9,928)</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(35,112)</w:t>
            </w:r>
          </w:p>
        </w:tc>
        <w:tc>
          <w:tcPr>
            <w:tcW w:w="820" w:type="dxa"/>
            <w:vAlign w:val="bottom"/>
            <w:gridSpan w:val="2"/>
          </w:tcPr>
          <w:p>
            <w:pPr>
              <w:jc w:val="right"/>
              <w:spacing w:after="0"/>
              <w:rPr>
                <w:sz w:val="20"/>
                <w:szCs w:val="20"/>
                <w:color w:val="auto"/>
              </w:rPr>
            </w:pPr>
            <w:r>
              <w:rPr>
                <w:rFonts w:ascii="Arial" w:cs="Arial" w:eastAsia="Arial" w:hAnsi="Arial"/>
                <w:sz w:val="18"/>
                <w:szCs w:val="18"/>
                <w:color w:val="auto"/>
              </w:rPr>
              <w:t>(12,800)</w:t>
            </w:r>
          </w:p>
        </w:tc>
      </w:tr>
      <w:tr>
        <w:trPr>
          <w:trHeight w:val="216"/>
        </w:trPr>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489</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(3)</w:t>
            </w:r>
          </w:p>
        </w:tc>
        <w:tc>
          <w:tcPr>
            <w:tcW w:w="820" w:type="dxa"/>
            <w:vAlign w:val="bottom"/>
            <w:gridSpan w:val="2"/>
          </w:tcPr>
          <w:p>
            <w:pPr>
              <w:jc w:val="right"/>
              <w:spacing w:after="0"/>
              <w:rPr>
                <w:sz w:val="20"/>
                <w:szCs w:val="20"/>
                <w:color w:val="auto"/>
              </w:rPr>
            </w:pPr>
            <w:r>
              <w:rPr>
                <w:rFonts w:ascii="Arial" w:cs="Arial" w:eastAsia="Arial" w:hAnsi="Arial"/>
                <w:sz w:val="18"/>
                <w:szCs w:val="18"/>
                <w:color w:val="auto"/>
              </w:rPr>
              <w:t>(5,290)</w:t>
            </w:r>
          </w:p>
        </w:tc>
      </w:tr>
      <w:tr>
        <w:trPr>
          <w:trHeight w:val="244"/>
        </w:trPr>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(46,875)</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(45,814)</w:t>
            </w:r>
          </w:p>
        </w:tc>
        <w:tc>
          <w:tcPr>
            <w:tcW w:w="820" w:type="dxa"/>
            <w:vAlign w:val="bottom"/>
            <w:gridSpan w:val="2"/>
          </w:tcPr>
          <w:p>
            <w:pPr>
              <w:jc w:val="right"/>
              <w:spacing w:after="0"/>
              <w:rPr>
                <w:sz w:val="20"/>
                <w:szCs w:val="20"/>
                <w:color w:val="auto"/>
              </w:rPr>
            </w:pPr>
            <w:r>
              <w:rPr>
                <w:rFonts w:ascii="Arial" w:cs="Arial" w:eastAsia="Arial" w:hAnsi="Arial"/>
                <w:sz w:val="18"/>
                <w:szCs w:val="18"/>
                <w:color w:val="auto"/>
              </w:rPr>
              <w:t>(51,784)</w:t>
            </w:r>
          </w:p>
        </w:tc>
      </w:tr>
      <w:tr>
        <w:trPr>
          <w:trHeight w:val="223"/>
        </w:trPr>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81,999</w:t>
            </w:r>
          </w:p>
        </w:tc>
        <w:tc>
          <w:tcPr>
            <w:tcW w:w="220" w:type="dxa"/>
            <w:vAlign w:val="bottom"/>
          </w:tcPr>
          <w:p>
            <w:pPr>
              <w:spacing w:after="0"/>
              <w:rPr>
                <w:sz w:val="19"/>
                <w:szCs w:val="19"/>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87,045</w:t>
            </w:r>
          </w:p>
        </w:tc>
        <w:tc>
          <w:tcPr>
            <w:tcW w:w="220" w:type="dxa"/>
            <w:vAlign w:val="bottom"/>
          </w:tcPr>
          <w:p>
            <w:pPr>
              <w:spacing w:after="0"/>
              <w:rPr>
                <w:sz w:val="19"/>
                <w:szCs w:val="19"/>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103,984</w:t>
            </w:r>
          </w:p>
        </w:tc>
        <w:tc>
          <w:tcPr>
            <w:tcW w:w="60" w:type="dxa"/>
            <w:vAlign w:val="bottom"/>
          </w:tcPr>
          <w:p>
            <w:pPr>
              <w:spacing w:after="0"/>
              <w:rPr>
                <w:sz w:val="19"/>
                <w:szCs w:val="19"/>
                <w:color w:val="auto"/>
              </w:rPr>
            </w:pPr>
          </w:p>
        </w:tc>
      </w:tr>
      <w:tr>
        <w:trPr>
          <w:trHeight w:val="20"/>
        </w:trPr>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8260" w:space="220"/>
            <w:col w:w="2940"/>
          </w:cols>
          <w:pgMar w:left="240" w:top="1175" w:right="239" w:bottom="1440" w:gutter="0" w:footer="0" w:header="0"/>
        </w:sectPr>
      </w:pPr>
    </w:p>
    <w:p>
      <w:pPr>
        <w:spacing w:after="0" w:line="214"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600" w:type="dxa"/>
            <w:vAlign w:val="bottom"/>
          </w:tcPr>
          <w:p>
            <w:pPr>
              <w:spacing w:after="0"/>
              <w:rPr>
                <w:sz w:val="18"/>
                <w:szCs w:val="18"/>
                <w:color w:val="auto"/>
              </w:rPr>
            </w:pPr>
          </w:p>
        </w:tc>
        <w:tc>
          <w:tcPr>
            <w:tcW w:w="1260" w:type="dxa"/>
            <w:vAlign w:val="bottom"/>
            <w:gridSpan w:val="2"/>
          </w:tcPr>
          <w:p>
            <w:pPr>
              <w:spacing w:after="0"/>
              <w:rPr>
                <w:sz w:val="20"/>
                <w:szCs w:val="20"/>
                <w:color w:val="auto"/>
              </w:rPr>
            </w:pPr>
            <w:r>
              <w:rPr>
                <w:rFonts w:ascii="Arial" w:cs="Arial" w:eastAsia="Arial" w:hAnsi="Arial"/>
                <w:sz w:val="18"/>
                <w:szCs w:val="18"/>
                <w:b w:val="1"/>
                <w:bCs w:val="1"/>
                <w:color w:val="auto"/>
              </w:rPr>
              <w:t>December 31,</w:t>
            </w:r>
          </w:p>
        </w:tc>
        <w:tc>
          <w:tcPr>
            <w:tcW w:w="1140" w:type="dxa"/>
            <w:vAlign w:val="bottom"/>
            <w:gridSpan w:val="2"/>
          </w:tcPr>
          <w:p>
            <w:pPr>
              <w:spacing w:after="0"/>
              <w:rPr>
                <w:sz w:val="20"/>
                <w:szCs w:val="20"/>
                <w:color w:val="auto"/>
              </w:rPr>
            </w:pPr>
            <w:r>
              <w:rPr>
                <w:rFonts w:ascii="Arial" w:cs="Arial" w:eastAsia="Arial" w:hAnsi="Arial"/>
                <w:sz w:val="18"/>
                <w:szCs w:val="18"/>
                <w:b w:val="1"/>
                <w:bCs w:val="1"/>
                <w:color w:val="auto"/>
                <w:w w:val="95"/>
              </w:rPr>
              <w:t>December 31,</w:t>
            </w:r>
          </w:p>
        </w:tc>
      </w:tr>
      <w:tr>
        <w:trPr>
          <w:trHeight w:val="234"/>
        </w:trPr>
        <w:tc>
          <w:tcPr>
            <w:tcW w:w="86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20"/>
                <w:szCs w:val="20"/>
                <w:color w:val="auto"/>
              </w:rPr>
            </w:pPr>
          </w:p>
        </w:tc>
      </w:tr>
      <w:tr>
        <w:trPr>
          <w:trHeight w:val="210"/>
        </w:trPr>
        <w:tc>
          <w:tcPr>
            <w:tcW w:w="8600" w:type="dxa"/>
            <w:vAlign w:val="bottom"/>
            <w:shd w:val="clear" w:color="auto" w:fill="CCEEFF"/>
          </w:tcPr>
          <w:p>
            <w:pPr>
              <w:spacing w:after="0"/>
              <w:rPr>
                <w:sz w:val="20"/>
                <w:szCs w:val="20"/>
                <w:color w:val="auto"/>
              </w:rPr>
            </w:pPr>
            <w:r>
              <w:rPr>
                <w:rFonts w:ascii="Arial" w:cs="Arial" w:eastAsia="Arial" w:hAnsi="Arial"/>
                <w:sz w:val="18"/>
                <w:szCs w:val="18"/>
                <w:color w:val="auto"/>
              </w:rPr>
              <w:t>Total assets and loan commitments and financial guarantee contracts (end of year balances):</w:t>
            </w: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57"/>
        </w:trPr>
        <w:tc>
          <w:tcPr>
            <w:tcW w:w="8600" w:type="dxa"/>
            <w:vAlign w:val="bottom"/>
          </w:tcPr>
          <w:p>
            <w:pPr>
              <w:spacing w:after="0" w:line="256"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29"/>
                <w:szCs w:val="29"/>
                <w:color w:val="auto"/>
                <w:vertAlign w:val="superscript"/>
              </w:rPr>
              <w:t>(3 and 5)</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6,258,584</w:t>
            </w:r>
          </w:p>
        </w:tc>
        <w:tc>
          <w:tcPr>
            <w:tcW w:w="1040" w:type="dxa"/>
            <w:vAlign w:val="bottom"/>
          </w:tcPr>
          <w:p>
            <w:pPr>
              <w:jc w:val="right"/>
              <w:spacing w:after="0"/>
              <w:rPr>
                <w:sz w:val="20"/>
                <w:szCs w:val="20"/>
                <w:color w:val="auto"/>
              </w:rPr>
            </w:pPr>
            <w:r>
              <w:rPr>
                <w:rFonts w:ascii="Arial" w:cs="Arial" w:eastAsia="Arial" w:hAnsi="Arial"/>
                <w:sz w:val="18"/>
                <w:szCs w:val="18"/>
                <w:color w:val="auto"/>
              </w:rPr>
              <w:t>7,191,443</w:t>
            </w:r>
          </w:p>
        </w:tc>
        <w:tc>
          <w:tcPr>
            <w:tcW w:w="100" w:type="dxa"/>
            <w:vAlign w:val="bottom"/>
          </w:tcPr>
          <w:p>
            <w:pPr>
              <w:spacing w:after="0"/>
              <w:rPr>
                <w:sz w:val="22"/>
                <w:szCs w:val="22"/>
                <w:color w:val="auto"/>
              </w:rPr>
            </w:pPr>
          </w:p>
        </w:tc>
      </w:tr>
      <w:tr>
        <w:trPr>
          <w:trHeight w:val="270"/>
        </w:trPr>
        <w:tc>
          <w:tcPr>
            <w:tcW w:w="860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Other assets and loan commitments and financial guarantee contracts </w:t>
            </w:r>
            <w:r>
              <w:rPr>
                <w:rFonts w:ascii="Arial" w:cs="Arial" w:eastAsia="Arial" w:hAnsi="Arial"/>
                <w:sz w:val="30"/>
                <w:szCs w:val="30"/>
                <w:color w:val="auto"/>
                <w:vertAlign w:val="superscript"/>
              </w:rPr>
              <w:t>(4)</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493,794</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422,422</w:t>
            </w:r>
          </w:p>
        </w:tc>
      </w:tr>
      <w:tr>
        <w:trPr>
          <w:trHeight w:val="223"/>
        </w:trPr>
        <w:tc>
          <w:tcPr>
            <w:tcW w:w="8600" w:type="dxa"/>
            <w:vAlign w:val="bottom"/>
          </w:tcPr>
          <w:p>
            <w:pPr>
              <w:spacing w:after="0"/>
              <w:rPr>
                <w:sz w:val="20"/>
                <w:szCs w:val="20"/>
                <w:color w:val="auto"/>
              </w:rPr>
            </w:pPr>
            <w:r>
              <w:rPr>
                <w:rFonts w:ascii="Arial" w:cs="Arial" w:eastAsia="Arial" w:hAnsi="Arial"/>
                <w:sz w:val="18"/>
                <w:szCs w:val="18"/>
                <w:color w:val="auto"/>
              </w:rPr>
              <w:t>Total interest-earning assets, other assets and loan commitments and financial guarantee contracts</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6,752,378</w:t>
            </w:r>
          </w:p>
        </w:tc>
        <w:tc>
          <w:tcPr>
            <w:tcW w:w="22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7,613,865</w:t>
            </w:r>
          </w:p>
        </w:tc>
        <w:tc>
          <w:tcPr>
            <w:tcW w:w="100" w:type="dxa"/>
            <w:vAlign w:val="bottom"/>
          </w:tcPr>
          <w:p>
            <w:pPr>
              <w:spacing w:after="0"/>
              <w:rPr>
                <w:sz w:val="19"/>
                <w:szCs w:val="19"/>
                <w:color w:val="auto"/>
              </w:rPr>
            </w:pPr>
          </w:p>
        </w:tc>
      </w:tr>
      <w:tr>
        <w:trPr>
          <w:trHeight w:val="20"/>
        </w:trPr>
        <w:tc>
          <w:tcPr>
            <w:tcW w:w="86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660" w:hanging="328"/>
        <w:spacing w:after="0"/>
        <w:tabs>
          <w:tab w:leader="none" w:pos="660" w:val="left"/>
        </w:tabs>
        <w:numPr>
          <w:ilvl w:val="0"/>
          <w:numId w:val="202"/>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numbers set out in these tables have been rounded and accordingly may not total exactly.</w:t>
      </w:r>
    </w:p>
    <w:p>
      <w:pPr>
        <w:spacing w:after="0" w:line="1" w:lineRule="exact"/>
        <w:rPr>
          <w:rFonts w:ascii="Arial" w:cs="Arial" w:eastAsia="Arial" w:hAnsi="Arial"/>
          <w:sz w:val="30"/>
          <w:szCs w:val="30"/>
          <w:b w:val="1"/>
          <w:bCs w:val="1"/>
          <w:color w:val="auto"/>
          <w:vertAlign w:val="superscript"/>
        </w:rPr>
      </w:pPr>
    </w:p>
    <w:p>
      <w:pPr>
        <w:ind w:left="660" w:right="240" w:hanging="328"/>
        <w:spacing w:after="0" w:line="187" w:lineRule="auto"/>
        <w:tabs>
          <w:tab w:leader="none" w:pos="660" w:val="left"/>
        </w:tabs>
        <w:numPr>
          <w:ilvl w:val="0"/>
          <w:numId w:val="202"/>
        </w:numPr>
        <w:rPr>
          <w:rFonts w:ascii="Arial" w:cs="Arial" w:eastAsia="Arial" w:hAnsi="Arial"/>
          <w:sz w:val="30"/>
          <w:szCs w:val="30"/>
          <w:b w:val="1"/>
          <w:bCs w:val="1"/>
          <w:color w:val="auto"/>
          <w:vertAlign w:val="superscript"/>
        </w:rPr>
      </w:pPr>
      <w:r>
        <w:rPr>
          <w:rFonts w:ascii="Arial" w:cs="Arial" w:eastAsia="Arial" w:hAnsi="Arial"/>
          <w:sz w:val="18"/>
          <w:szCs w:val="18"/>
          <w:color w:val="auto"/>
        </w:rPr>
        <w:t>Net other income consists of other income including gains on sale of loans, gains (loss) per financial instrument at FVTPL and FVOCI, derivative instruments and foreign currency exchange.</w:t>
      </w:r>
    </w:p>
    <w:p>
      <w:pPr>
        <w:ind w:left="660" w:hanging="328"/>
        <w:spacing w:after="0" w:line="180" w:lineRule="auto"/>
        <w:tabs>
          <w:tab w:leader="none" w:pos="660" w:val="left"/>
        </w:tabs>
        <w:numPr>
          <w:ilvl w:val="0"/>
          <w:numId w:val="202"/>
        </w:numPr>
        <w:rPr>
          <w:rFonts w:ascii="Arial" w:cs="Arial" w:eastAsia="Arial" w:hAnsi="Arial"/>
          <w:sz w:val="25"/>
          <w:szCs w:val="25"/>
          <w:b w:val="1"/>
          <w:bCs w:val="1"/>
          <w:color w:val="auto"/>
          <w:vertAlign w:val="superscript"/>
        </w:rPr>
      </w:pPr>
      <w:r>
        <w:rPr>
          <w:rFonts w:ascii="Arial" w:cs="Arial" w:eastAsia="Arial" w:hAnsi="Arial"/>
          <w:sz w:val="16"/>
          <w:szCs w:val="16"/>
          <w:color w:val="auto"/>
        </w:rPr>
        <w:t>Includes deposits and loans, net of unearned interest and deferred fees.</w:t>
      </w:r>
    </w:p>
    <w:p>
      <w:pPr>
        <w:spacing w:after="0" w:line="2" w:lineRule="exact"/>
        <w:rPr>
          <w:rFonts w:ascii="Arial" w:cs="Arial" w:eastAsia="Arial" w:hAnsi="Arial"/>
          <w:sz w:val="25"/>
          <w:szCs w:val="25"/>
          <w:b w:val="1"/>
          <w:bCs w:val="1"/>
          <w:color w:val="auto"/>
          <w:vertAlign w:val="superscript"/>
        </w:rPr>
      </w:pPr>
    </w:p>
    <w:p>
      <w:pPr>
        <w:ind w:left="660" w:hanging="328"/>
        <w:spacing w:after="0" w:line="186" w:lineRule="auto"/>
        <w:tabs>
          <w:tab w:leader="none" w:pos="660" w:val="left"/>
        </w:tabs>
        <w:numPr>
          <w:ilvl w:val="0"/>
          <w:numId w:val="202"/>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customers’ liabilities under acceptances, loans commitments and financial guarantees contracts.</w:t>
      </w:r>
    </w:p>
    <w:p>
      <w:pPr>
        <w:spacing w:after="0" w:line="2" w:lineRule="exact"/>
        <w:rPr>
          <w:rFonts w:ascii="Arial" w:cs="Arial" w:eastAsia="Arial" w:hAnsi="Arial"/>
          <w:sz w:val="24"/>
          <w:szCs w:val="24"/>
          <w:b w:val="1"/>
          <w:bCs w:val="1"/>
          <w:color w:val="auto"/>
          <w:vertAlign w:val="superscript"/>
        </w:rPr>
      </w:pPr>
    </w:p>
    <w:p>
      <w:pPr>
        <w:ind w:left="660" w:right="320" w:hanging="328"/>
        <w:spacing w:after="0" w:line="187" w:lineRule="auto"/>
        <w:tabs>
          <w:tab w:leader="none" w:pos="660" w:val="left"/>
        </w:tabs>
        <w:numPr>
          <w:ilvl w:val="0"/>
          <w:numId w:val="202"/>
        </w:numPr>
        <w:rPr>
          <w:rFonts w:ascii="Arial" w:cs="Arial" w:eastAsia="Arial" w:hAnsi="Arial"/>
          <w:sz w:val="30"/>
          <w:szCs w:val="30"/>
          <w:b w:val="1"/>
          <w:bCs w:val="1"/>
          <w:color w:val="auto"/>
          <w:vertAlign w:val="superscript"/>
        </w:rPr>
      </w:pPr>
      <w:r>
        <w:rPr>
          <w:rFonts w:ascii="Arial" w:cs="Arial" w:eastAsia="Arial" w:hAnsi="Arial"/>
          <w:sz w:val="18"/>
          <w:szCs w:val="18"/>
          <w:color w:val="auto"/>
        </w:rPr>
        <w:t>Includes cash and cash equivalents, interest-bearing deposits with banks, financial instruments at fair value through OCI, financial instruments at amortized cost and financial instruments at fair value through profit or loss.</w:t>
      </w:r>
    </w:p>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2120" w:type="dxa"/>
            <w:vAlign w:val="bottom"/>
          </w:tcPr>
          <w:p>
            <w:pPr>
              <w:spacing w:after="0"/>
              <w:rPr>
                <w:sz w:val="18"/>
                <w:szCs w:val="18"/>
                <w:color w:val="auto"/>
              </w:rPr>
            </w:pPr>
          </w:p>
        </w:tc>
        <w:tc>
          <w:tcPr>
            <w:tcW w:w="292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87"/>
              </w:rPr>
              <w:t>December 31,</w:t>
            </w:r>
          </w:p>
        </w:tc>
        <w:tc>
          <w:tcPr>
            <w:tcW w:w="1260" w:type="dxa"/>
            <w:vAlign w:val="bottom"/>
            <w:gridSpan w:val="3"/>
          </w:tcPr>
          <w:p>
            <w:pPr>
              <w:jc w:val="right"/>
              <w:ind w:right="140"/>
              <w:spacing w:after="0"/>
              <w:rPr>
                <w:sz w:val="20"/>
                <w:szCs w:val="20"/>
                <w:color w:val="auto"/>
              </w:rPr>
            </w:pPr>
            <w:r>
              <w:rPr>
                <w:rFonts w:ascii="Arial" w:cs="Arial" w:eastAsia="Arial" w:hAnsi="Arial"/>
                <w:sz w:val="18"/>
                <w:szCs w:val="18"/>
                <w:b w:val="1"/>
                <w:bCs w:val="1"/>
                <w:color w:val="auto"/>
                <w:w w:val="93"/>
              </w:rPr>
              <w:t>December 31,</w:t>
            </w:r>
          </w:p>
        </w:tc>
        <w:tc>
          <w:tcPr>
            <w:tcW w:w="8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2920" w:type="dxa"/>
            <w:vAlign w:val="bottom"/>
          </w:tcPr>
          <w:p>
            <w:pPr>
              <w:spacing w:after="0"/>
              <w:rPr>
                <w:sz w:val="20"/>
                <w:szCs w:val="20"/>
                <w:color w:val="auto"/>
              </w:rPr>
            </w:pPr>
          </w:p>
        </w:tc>
        <w:tc>
          <w:tcPr>
            <w:tcW w:w="456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2017</w:t>
            </w:r>
          </w:p>
        </w:tc>
        <w:tc>
          <w:tcPr>
            <w:tcW w:w="140" w:type="dxa"/>
            <w:vAlign w:val="bottom"/>
          </w:tcPr>
          <w:p>
            <w:pPr>
              <w:spacing w:after="0"/>
              <w:rPr>
                <w:sz w:val="20"/>
                <w:szCs w:val="20"/>
                <w:color w:val="auto"/>
              </w:rPr>
            </w:pPr>
          </w:p>
        </w:tc>
        <w:tc>
          <w:tcPr>
            <w:tcW w:w="116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0"/>
        </w:trPr>
        <w:tc>
          <w:tcPr>
            <w:tcW w:w="340" w:type="dxa"/>
            <w:vAlign w:val="bottom"/>
          </w:tcPr>
          <w:p>
            <w:pPr>
              <w:spacing w:after="0"/>
              <w:rPr>
                <w:sz w:val="16"/>
                <w:szCs w:val="16"/>
                <w:color w:val="auto"/>
              </w:rPr>
            </w:pPr>
          </w:p>
        </w:tc>
        <w:tc>
          <w:tcPr>
            <w:tcW w:w="212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color w:val="auto"/>
                <w:w w:val="90"/>
              </w:rPr>
              <w:t>Reconciliation of total assets:</w:t>
            </w:r>
          </w:p>
        </w:tc>
        <w:tc>
          <w:tcPr>
            <w:tcW w:w="2920" w:type="dxa"/>
            <w:vAlign w:val="bottom"/>
            <w:tcBorders>
              <w:top w:val="single" w:sz="8" w:color="CCEEFF"/>
              <w:bottom w:val="single" w:sz="8" w:color="CCEEFF"/>
            </w:tcBorders>
            <w:shd w:val="clear" w:color="auto" w:fill="CCEEFF"/>
          </w:tcPr>
          <w:p>
            <w:pPr>
              <w:spacing w:after="0"/>
              <w:rPr>
                <w:sz w:val="16"/>
                <w:szCs w:val="16"/>
                <w:color w:val="auto"/>
              </w:rPr>
            </w:pPr>
          </w:p>
        </w:tc>
        <w:tc>
          <w:tcPr>
            <w:tcW w:w="348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14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Interest-earning assets – business segment</w:t>
            </w:r>
          </w:p>
        </w:tc>
        <w:tc>
          <w:tcPr>
            <w:tcW w:w="4700" w:type="dxa"/>
            <w:vAlign w:val="bottom"/>
            <w:gridSpan w:val="3"/>
          </w:tcPr>
          <w:p>
            <w:pPr>
              <w:jc w:val="right"/>
              <w:ind w:right="140"/>
              <w:spacing w:after="0"/>
              <w:rPr>
                <w:sz w:val="20"/>
                <w:szCs w:val="20"/>
                <w:color w:val="auto"/>
              </w:rPr>
            </w:pPr>
            <w:r>
              <w:rPr>
                <w:rFonts w:ascii="Arial" w:cs="Arial" w:eastAsia="Arial" w:hAnsi="Arial"/>
                <w:sz w:val="18"/>
                <w:szCs w:val="18"/>
                <w:color w:val="auto"/>
              </w:rPr>
              <w:t>6,258,584</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7,191,443</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Equity instruments</w:t>
            </w:r>
          </w:p>
        </w:tc>
        <w:tc>
          <w:tcPr>
            <w:tcW w:w="4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8,402</w:t>
            </w:r>
          </w:p>
        </w:tc>
        <w:tc>
          <w:tcPr>
            <w:tcW w:w="12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Allowance for expected credit losses on loans</w:t>
            </w:r>
          </w:p>
        </w:tc>
        <w:tc>
          <w:tcPr>
            <w:tcW w:w="4700" w:type="dxa"/>
            <w:vAlign w:val="bottom"/>
            <w:gridSpan w:val="3"/>
          </w:tcPr>
          <w:p>
            <w:pPr>
              <w:jc w:val="right"/>
              <w:ind w:right="80"/>
              <w:spacing w:after="0"/>
              <w:rPr>
                <w:sz w:val="20"/>
                <w:szCs w:val="20"/>
                <w:color w:val="auto"/>
              </w:rPr>
            </w:pPr>
            <w:r>
              <w:rPr>
                <w:rFonts w:ascii="Arial" w:cs="Arial" w:eastAsia="Arial" w:hAnsi="Arial"/>
                <w:sz w:val="18"/>
                <w:szCs w:val="18"/>
                <w:color w:val="auto"/>
              </w:rPr>
              <w:t>(81,294)</w:t>
            </w:r>
          </w:p>
        </w:tc>
        <w:tc>
          <w:tcPr>
            <w:tcW w:w="1260" w:type="dxa"/>
            <w:vAlign w:val="bottom"/>
            <w:gridSpan w:val="3"/>
          </w:tcPr>
          <w:p>
            <w:pPr>
              <w:jc w:val="right"/>
              <w:ind w:right="40"/>
              <w:spacing w:after="0"/>
              <w:rPr>
                <w:sz w:val="20"/>
                <w:szCs w:val="20"/>
                <w:color w:val="auto"/>
              </w:rPr>
            </w:pPr>
            <w:r>
              <w:rPr>
                <w:rFonts w:ascii="Arial" w:cs="Arial" w:eastAsia="Arial" w:hAnsi="Arial"/>
                <w:sz w:val="18"/>
                <w:szCs w:val="18"/>
                <w:color w:val="auto"/>
              </w:rPr>
              <w:t>(105,988)</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3"/>
              </w:rPr>
              <w:t>Allowance for expected credit losses on securities at amortized cost</w:t>
            </w:r>
          </w:p>
        </w:tc>
        <w:tc>
          <w:tcPr>
            <w:tcW w:w="470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(196)</w:t>
            </w:r>
          </w:p>
        </w:tc>
        <w:tc>
          <w:tcPr>
            <w:tcW w:w="12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(602)</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Customers’ liabilities under acceptances</w:t>
            </w:r>
          </w:p>
        </w:tc>
        <w:tc>
          <w:tcPr>
            <w:tcW w:w="4700" w:type="dxa"/>
            <w:vAlign w:val="bottom"/>
            <w:gridSpan w:val="3"/>
          </w:tcPr>
          <w:p>
            <w:pPr>
              <w:jc w:val="right"/>
              <w:ind w:right="140"/>
              <w:spacing w:after="0"/>
              <w:rPr>
                <w:sz w:val="20"/>
                <w:szCs w:val="20"/>
                <w:color w:val="auto"/>
              </w:rPr>
            </w:pPr>
            <w:r>
              <w:rPr>
                <w:rFonts w:ascii="Arial" w:cs="Arial" w:eastAsia="Arial" w:hAnsi="Arial"/>
                <w:sz w:val="18"/>
                <w:szCs w:val="18"/>
                <w:color w:val="auto"/>
              </w:rPr>
              <w:t>6,369</w:t>
            </w:r>
          </w:p>
        </w:tc>
        <w:tc>
          <w:tcPr>
            <w:tcW w:w="1260" w:type="dxa"/>
            <w:vAlign w:val="bottom"/>
            <w:gridSpan w:val="3"/>
          </w:tcPr>
          <w:p>
            <w:pPr>
              <w:jc w:val="right"/>
              <w:ind w:right="100"/>
              <w:spacing w:after="0"/>
              <w:rPr>
                <w:sz w:val="20"/>
                <w:szCs w:val="20"/>
                <w:color w:val="auto"/>
              </w:rPr>
            </w:pPr>
            <w:r>
              <w:rPr>
                <w:rFonts w:ascii="Arial" w:cs="Arial" w:eastAsia="Arial" w:hAnsi="Arial"/>
                <w:sz w:val="18"/>
                <w:szCs w:val="18"/>
                <w:color w:val="auto"/>
              </w:rPr>
              <w:t>19,387</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4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5,425</w:t>
            </w:r>
          </w:p>
        </w:tc>
        <w:tc>
          <w:tcPr>
            <w:tcW w:w="12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2,909</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Accrued interest receivable</w:t>
            </w:r>
          </w:p>
        </w:tc>
        <w:tc>
          <w:tcPr>
            <w:tcW w:w="4700" w:type="dxa"/>
            <w:vAlign w:val="bottom"/>
            <w:gridSpan w:val="3"/>
          </w:tcPr>
          <w:p>
            <w:pPr>
              <w:jc w:val="right"/>
              <w:ind w:right="140"/>
              <w:spacing w:after="0"/>
              <w:rPr>
                <w:sz w:val="20"/>
                <w:szCs w:val="20"/>
                <w:color w:val="auto"/>
              </w:rPr>
            </w:pPr>
            <w:r>
              <w:rPr>
                <w:rFonts w:ascii="Arial" w:cs="Arial" w:eastAsia="Arial" w:hAnsi="Arial"/>
                <w:sz w:val="18"/>
                <w:szCs w:val="18"/>
                <w:color w:val="auto"/>
              </w:rPr>
              <w:t>30,872</w:t>
            </w:r>
          </w:p>
        </w:tc>
        <w:tc>
          <w:tcPr>
            <w:tcW w:w="1260" w:type="dxa"/>
            <w:vAlign w:val="bottom"/>
            <w:gridSpan w:val="3"/>
          </w:tcPr>
          <w:p>
            <w:pPr>
              <w:jc w:val="right"/>
              <w:ind w:right="100"/>
              <w:spacing w:after="0"/>
              <w:rPr>
                <w:sz w:val="20"/>
                <w:szCs w:val="20"/>
                <w:color w:val="auto"/>
              </w:rPr>
            </w:pPr>
            <w:r>
              <w:rPr>
                <w:rFonts w:ascii="Arial" w:cs="Arial" w:eastAsia="Arial" w:hAnsi="Arial"/>
                <w:sz w:val="18"/>
                <w:szCs w:val="18"/>
                <w:color w:val="auto"/>
              </w:rPr>
              <w:t>44,187</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Property and equipment, net</w:t>
            </w:r>
          </w:p>
        </w:tc>
        <w:tc>
          <w:tcPr>
            <w:tcW w:w="4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7,420</w:t>
            </w:r>
          </w:p>
        </w:tc>
        <w:tc>
          <w:tcPr>
            <w:tcW w:w="12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8,549</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4700" w:type="dxa"/>
            <w:vAlign w:val="bottom"/>
            <w:gridSpan w:val="3"/>
          </w:tcPr>
          <w:p>
            <w:pPr>
              <w:jc w:val="right"/>
              <w:ind w:right="140"/>
              <w:spacing w:after="0"/>
              <w:rPr>
                <w:sz w:val="20"/>
                <w:szCs w:val="20"/>
                <w:color w:val="auto"/>
              </w:rPr>
            </w:pPr>
            <w:r>
              <w:rPr>
                <w:rFonts w:ascii="Arial" w:cs="Arial" w:eastAsia="Arial" w:hAnsi="Arial"/>
                <w:sz w:val="18"/>
                <w:szCs w:val="18"/>
                <w:color w:val="auto"/>
              </w:rPr>
              <w:t>13,338</w:t>
            </w:r>
          </w:p>
        </w:tc>
        <w:tc>
          <w:tcPr>
            <w:tcW w:w="1260" w:type="dxa"/>
            <w:vAlign w:val="bottom"/>
            <w:gridSpan w:val="3"/>
          </w:tcPr>
          <w:p>
            <w:pPr>
              <w:jc w:val="right"/>
              <w:ind w:right="100"/>
              <w:spacing w:after="0"/>
              <w:rPr>
                <w:sz w:val="20"/>
                <w:szCs w:val="20"/>
                <w:color w:val="auto"/>
              </w:rPr>
            </w:pPr>
            <w:r>
              <w:rPr>
                <w:rFonts w:ascii="Arial" w:cs="Arial" w:eastAsia="Arial" w:hAnsi="Arial"/>
                <w:sz w:val="18"/>
                <w:szCs w:val="18"/>
                <w:color w:val="auto"/>
              </w:rPr>
              <w:t>9,352</w:t>
            </w:r>
          </w:p>
        </w:tc>
        <w:tc>
          <w:tcPr>
            <w:tcW w:w="8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Other assets</w:t>
            </w:r>
          </w:p>
        </w:tc>
        <w:tc>
          <w:tcPr>
            <w:tcW w:w="47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18,827</w:t>
            </w:r>
          </w:p>
        </w:tc>
        <w:tc>
          <w:tcPr>
            <w:tcW w:w="12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11,546</w:t>
            </w:r>
          </w:p>
        </w:tc>
        <w:tc>
          <w:tcPr>
            <w:tcW w:w="8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040" w:type="dxa"/>
            <w:vAlign w:val="bottom"/>
            <w:gridSpan w:val="2"/>
          </w:tcPr>
          <w:p>
            <w:pPr>
              <w:spacing w:after="0"/>
              <w:rPr>
                <w:sz w:val="20"/>
                <w:szCs w:val="20"/>
                <w:color w:val="auto"/>
              </w:rPr>
            </w:pPr>
            <w:r>
              <w:rPr>
                <w:rFonts w:ascii="Arial" w:cs="Arial" w:eastAsia="Arial" w:hAnsi="Arial"/>
                <w:sz w:val="18"/>
                <w:szCs w:val="18"/>
                <w:b w:val="1"/>
                <w:bCs w:val="1"/>
                <w:color w:val="auto"/>
              </w:rPr>
              <w:t>Total assets – consolidated financial statements</w:t>
            </w:r>
          </w:p>
        </w:tc>
        <w:tc>
          <w:tcPr>
            <w:tcW w:w="348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6,267,747</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7,180,783</w:t>
            </w: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2920" w:type="dxa"/>
            <w:vAlign w:val="bottom"/>
          </w:tcPr>
          <w:p>
            <w:pPr>
              <w:spacing w:after="0" w:line="20" w:lineRule="exact"/>
              <w:rPr>
                <w:sz w:val="1"/>
                <w:szCs w:val="1"/>
                <w:color w:val="auto"/>
              </w:rPr>
            </w:pPr>
          </w:p>
        </w:tc>
        <w:tc>
          <w:tcPr>
            <w:tcW w:w="34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13"/>
        </w:trPr>
        <w:tc>
          <w:tcPr>
            <w:tcW w:w="34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tcPr>
          <w:p>
            <w:pPr>
              <w:spacing w:after="0"/>
              <w:rPr>
                <w:sz w:val="24"/>
                <w:szCs w:val="24"/>
                <w:color w:val="auto"/>
              </w:rPr>
            </w:pPr>
          </w:p>
        </w:tc>
        <w:tc>
          <w:tcPr>
            <w:tcW w:w="2920" w:type="dxa"/>
            <w:vAlign w:val="bottom"/>
            <w:tcBorders>
              <w:bottom w:val="single" w:sz="8" w:color="auto"/>
            </w:tcBorders>
          </w:tcPr>
          <w:p>
            <w:pPr>
              <w:spacing w:after="0"/>
              <w:rPr>
                <w:sz w:val="24"/>
                <w:szCs w:val="24"/>
                <w:color w:val="auto"/>
              </w:rPr>
            </w:pPr>
          </w:p>
        </w:tc>
        <w:tc>
          <w:tcPr>
            <w:tcW w:w="4700" w:type="dxa"/>
            <w:vAlign w:val="bottom"/>
            <w:tcBorders>
              <w:bottom w:val="single" w:sz="8" w:color="auto"/>
            </w:tcBorders>
            <w:gridSpan w:val="3"/>
          </w:tcPr>
          <w:p>
            <w:pPr>
              <w:jc w:val="right"/>
              <w:ind w:right="4180"/>
              <w:spacing w:after="0"/>
              <w:rPr>
                <w:sz w:val="20"/>
                <w:szCs w:val="20"/>
                <w:color w:val="auto"/>
              </w:rPr>
            </w:pPr>
            <w:r>
              <w:rPr>
                <w:rFonts w:ascii="Arial" w:cs="Arial" w:eastAsia="Arial" w:hAnsi="Arial"/>
                <w:sz w:val="18"/>
                <w:szCs w:val="18"/>
                <w:color w:val="auto"/>
              </w:rPr>
              <w:t>F-80</w:t>
            </w:r>
          </w:p>
        </w:tc>
        <w:tc>
          <w:tcPr>
            <w:tcW w:w="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1175" w:right="239" w:bottom="1440" w:gutter="0" w:footer="0" w:header="0"/>
          <w:type w:val="continuous"/>
        </w:sectPr>
      </w:pPr>
    </w:p>
    <w:bookmarkStart w:id="202" w:name="page203"/>
    <w:bookmarkEnd w:id="20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220"/>
        <w:spacing w:after="0"/>
        <w:rPr>
          <w:sz w:val="20"/>
          <w:szCs w:val="20"/>
          <w:color w:val="auto"/>
        </w:rPr>
      </w:pPr>
      <w:r>
        <w:rPr>
          <w:rFonts w:ascii="Arial" w:cs="Arial" w:eastAsia="Arial" w:hAnsi="Arial"/>
          <w:sz w:val="18"/>
          <w:szCs w:val="18"/>
          <w:b w:val="1"/>
          <w:bCs w:val="1"/>
          <w:color w:val="auto"/>
        </w:rPr>
        <w:t>18. Fair value of financial instruments</w:t>
      </w:r>
    </w:p>
    <w:p>
      <w:pPr>
        <w:spacing w:after="0" w:line="229" w:lineRule="exact"/>
        <w:rPr>
          <w:sz w:val="20"/>
          <w:szCs w:val="20"/>
          <w:color w:val="auto"/>
        </w:rPr>
      </w:pPr>
    </w:p>
    <w:p>
      <w:pPr>
        <w:jc w:val="both"/>
        <w:ind w:left="340"/>
        <w:spacing w:after="0" w:line="289" w:lineRule="auto"/>
        <w:rPr>
          <w:sz w:val="20"/>
          <w:szCs w:val="20"/>
          <w:color w:val="auto"/>
        </w:rPr>
      </w:pPr>
      <w:r>
        <w:rPr>
          <w:rFonts w:ascii="Arial" w:cs="Arial" w:eastAsia="Arial" w:hAnsi="Arial"/>
          <w:sz w:val="16"/>
          <w:szCs w:val="16"/>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67" w:lineRule="exact"/>
        <w:rPr>
          <w:sz w:val="20"/>
          <w:szCs w:val="20"/>
          <w:color w:val="auto"/>
        </w:rPr>
      </w:pPr>
    </w:p>
    <w:p>
      <w:pPr>
        <w:jc w:val="both"/>
        <w:ind w:left="980"/>
        <w:spacing w:after="0" w:line="277"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70" w:lineRule="exact"/>
        <w:rPr>
          <w:sz w:val="20"/>
          <w:szCs w:val="20"/>
          <w:color w:val="auto"/>
        </w:rPr>
      </w:pPr>
    </w:p>
    <w:p>
      <w:pPr>
        <w:jc w:val="both"/>
        <w:ind w:left="98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47" w:lineRule="exact"/>
        <w:rPr>
          <w:sz w:val="20"/>
          <w:szCs w:val="20"/>
          <w:color w:val="auto"/>
        </w:rPr>
      </w:pPr>
    </w:p>
    <w:p>
      <w:pPr>
        <w:jc w:val="both"/>
        <w:ind w:left="980"/>
        <w:spacing w:after="0" w:line="264" w:lineRule="auto"/>
        <w:rPr>
          <w:sz w:val="20"/>
          <w:szCs w:val="20"/>
          <w:color w:val="auto"/>
        </w:rPr>
      </w:pPr>
      <w:r>
        <w:rPr>
          <w:rFonts w:ascii="Arial" w:cs="Arial" w:eastAsia="Arial" w:hAnsi="Arial"/>
          <w:sz w:val="18"/>
          <w:szCs w:val="18"/>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81"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22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5" w:right="239" w:bottom="1440" w:gutter="0" w:footer="0" w:header="0"/>
        </w:sectPr>
      </w:pPr>
    </w:p>
    <w:bookmarkStart w:id="203" w:name="page204"/>
    <w:bookmarkEnd w:id="20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18. Fair value of financial instruments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 (continued)</w:t>
      </w:r>
    </w:p>
    <w:p>
      <w:pPr>
        <w:spacing w:after="0" w:line="225"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Transfer of financial assets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5" w:right="239" w:bottom="1440" w:gutter="0" w:footer="0" w:header="0"/>
        </w:sectPr>
      </w:pPr>
    </w:p>
    <w:bookmarkStart w:id="204" w:name="page205"/>
    <w:bookmarkEnd w:id="20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18. Fair value of financial instruments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Financial instruments measured at fair value on a recurring basis by caption on the consolidated statement of financial positions using the fair value hierarchy are described below:</w:t>
      </w:r>
    </w:p>
    <w:p>
      <w:pPr>
        <w:spacing w:after="0" w:line="396"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960" w:type="dxa"/>
            <w:vAlign w:val="bottom"/>
            <w:tcBorders>
              <w:bottom w:val="single" w:sz="8" w:color="auto"/>
            </w:tcBorders>
            <w:gridSpan w:val="4"/>
          </w:tcPr>
          <w:p>
            <w:pPr>
              <w:ind w:left="120"/>
              <w:spacing w:after="0"/>
              <w:rPr>
                <w:sz w:val="20"/>
                <w:szCs w:val="20"/>
                <w:color w:val="auto"/>
              </w:rPr>
            </w:pPr>
            <w:r>
              <w:rPr>
                <w:rFonts w:ascii="Arial" w:cs="Arial" w:eastAsia="Arial" w:hAnsi="Arial"/>
                <w:sz w:val="18"/>
                <w:szCs w:val="18"/>
                <w:b w:val="1"/>
                <w:bCs w:val="1"/>
                <w:color w:val="auto"/>
              </w:rPr>
              <w:t>December 31, 2017</w:t>
            </w:r>
          </w:p>
        </w:tc>
        <w:tc>
          <w:tcPr>
            <w:tcW w:w="7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50"/>
        </w:trPr>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860" w:type="dxa"/>
            <w:vAlign w:val="bottom"/>
          </w:tcPr>
          <w:p>
            <w:pPr>
              <w:spacing w:after="0"/>
              <w:rPr>
                <w:sz w:val="21"/>
                <w:szCs w:val="21"/>
                <w:color w:val="auto"/>
              </w:rPr>
            </w:pPr>
          </w:p>
        </w:tc>
        <w:tc>
          <w:tcPr>
            <w:tcW w:w="1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2620" w:type="dxa"/>
            <w:vAlign w:val="bottom"/>
          </w:tcPr>
          <w:p>
            <w:pPr>
              <w:spacing w:after="0"/>
              <w:rPr>
                <w:sz w:val="21"/>
                <w:szCs w:val="21"/>
                <w:color w:val="auto"/>
              </w:rPr>
            </w:pPr>
          </w:p>
        </w:tc>
        <w:tc>
          <w:tcPr>
            <w:tcW w:w="1020" w:type="dxa"/>
            <w:vAlign w:val="bottom"/>
            <w:gridSpan w:val="2"/>
          </w:tcPr>
          <w:p>
            <w:pPr>
              <w:jc w:val="right"/>
              <w:ind w:right="260"/>
              <w:spacing w:after="0" w:line="251" w:lineRule="exact"/>
              <w:rPr>
                <w:sz w:val="20"/>
                <w:szCs w:val="20"/>
                <w:color w:val="auto"/>
              </w:rPr>
            </w:pPr>
            <w:r>
              <w:rPr>
                <w:rFonts w:ascii="Arial" w:cs="Arial" w:eastAsia="Arial" w:hAnsi="Arial"/>
                <w:sz w:val="18"/>
                <w:szCs w:val="18"/>
                <w:b w:val="1"/>
                <w:bCs w:val="1"/>
                <w:color w:val="auto"/>
                <w:w w:val="87"/>
              </w:rPr>
              <w:t>Level 1</w:t>
            </w:r>
            <w:r>
              <w:rPr>
                <w:rFonts w:ascii="Arial" w:cs="Arial" w:eastAsia="Arial" w:hAnsi="Arial"/>
                <w:sz w:val="29"/>
                <w:szCs w:val="29"/>
                <w:b w:val="1"/>
                <w:bCs w:val="1"/>
                <w:color w:val="auto"/>
                <w:w w:val="87"/>
                <w:vertAlign w:val="superscript"/>
              </w:rPr>
              <w:t>(a)</w:t>
            </w:r>
          </w:p>
        </w:tc>
        <w:tc>
          <w:tcPr>
            <w:tcW w:w="980" w:type="dxa"/>
            <w:vAlign w:val="bottom"/>
            <w:gridSpan w:val="2"/>
          </w:tcPr>
          <w:p>
            <w:pPr>
              <w:jc w:val="right"/>
              <w:ind w:right="220"/>
              <w:spacing w:after="0" w:line="251" w:lineRule="exact"/>
              <w:rPr>
                <w:sz w:val="20"/>
                <w:szCs w:val="20"/>
                <w:color w:val="auto"/>
              </w:rPr>
            </w:pPr>
            <w:r>
              <w:rPr>
                <w:rFonts w:ascii="Arial" w:cs="Arial" w:eastAsia="Arial" w:hAnsi="Arial"/>
                <w:sz w:val="18"/>
                <w:szCs w:val="18"/>
                <w:b w:val="1"/>
                <w:bCs w:val="1"/>
                <w:color w:val="auto"/>
                <w:w w:val="86"/>
              </w:rPr>
              <w:t>Level 2</w:t>
            </w:r>
            <w:r>
              <w:rPr>
                <w:rFonts w:ascii="Arial" w:cs="Arial" w:eastAsia="Arial" w:hAnsi="Arial"/>
                <w:sz w:val="29"/>
                <w:szCs w:val="29"/>
                <w:b w:val="1"/>
                <w:bCs w:val="1"/>
                <w:color w:val="auto"/>
                <w:w w:val="86"/>
                <w:vertAlign w:val="superscript"/>
              </w:rPr>
              <w:t>(b)</w:t>
            </w:r>
          </w:p>
        </w:tc>
        <w:tc>
          <w:tcPr>
            <w:tcW w:w="980" w:type="dxa"/>
            <w:vAlign w:val="bottom"/>
            <w:gridSpan w:val="2"/>
          </w:tcPr>
          <w:p>
            <w:pPr>
              <w:ind w:left="20"/>
              <w:spacing w:after="0" w:line="251" w:lineRule="exact"/>
              <w:rPr>
                <w:sz w:val="20"/>
                <w:szCs w:val="20"/>
                <w:color w:val="auto"/>
              </w:rPr>
            </w:pPr>
            <w:r>
              <w:rPr>
                <w:rFonts w:ascii="Arial" w:cs="Arial" w:eastAsia="Arial" w:hAnsi="Arial"/>
                <w:sz w:val="18"/>
                <w:szCs w:val="18"/>
                <w:b w:val="1"/>
                <w:bCs w:val="1"/>
                <w:color w:val="auto"/>
              </w:rPr>
              <w:t>Level 3</w:t>
            </w:r>
            <w:r>
              <w:rPr>
                <w:rFonts w:ascii="Arial" w:cs="Arial" w:eastAsia="Arial" w:hAnsi="Arial"/>
                <w:sz w:val="29"/>
                <w:szCs w:val="29"/>
                <w:b w:val="1"/>
                <w:bCs w:val="1"/>
                <w:color w:val="auto"/>
                <w:vertAlign w:val="superscript"/>
              </w:rPr>
              <w:t>(c)</w:t>
            </w:r>
          </w:p>
        </w:tc>
        <w:tc>
          <w:tcPr>
            <w:tcW w:w="860" w:type="dxa"/>
            <w:vAlign w:val="bottom"/>
            <w:gridSpan w:val="3"/>
          </w:tcPr>
          <w:p>
            <w:pPr>
              <w:ind w:left="180"/>
              <w:spacing w:after="0"/>
              <w:rPr>
                <w:sz w:val="20"/>
                <w:szCs w:val="20"/>
                <w:color w:val="auto"/>
              </w:rPr>
            </w:pPr>
            <w:r>
              <w:rPr>
                <w:rFonts w:ascii="Arial" w:cs="Arial" w:eastAsia="Arial" w:hAnsi="Arial"/>
                <w:sz w:val="18"/>
                <w:szCs w:val="18"/>
                <w:b w:val="1"/>
                <w:bCs w:val="1"/>
                <w:color w:val="auto"/>
              </w:rPr>
              <w:t>Total</w:t>
            </w:r>
          </w:p>
        </w:tc>
      </w:tr>
      <w:tr>
        <w:trPr>
          <w:trHeight w:val="190"/>
        </w:trPr>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6680" w:type="dxa"/>
            <w:vAlign w:val="bottom"/>
            <w:tcBorders>
              <w:top w:val="single" w:sz="8" w:color="CCEEFF"/>
              <w:bottom w:val="single" w:sz="8" w:color="CCEEFF"/>
            </w:tcBorders>
            <w:gridSpan w:val="5"/>
            <w:shd w:val="clear" w:color="auto" w:fill="CCEEFF"/>
          </w:tcPr>
          <w:p>
            <w:pPr>
              <w:spacing w:after="0"/>
              <w:rPr>
                <w:sz w:val="16"/>
                <w:szCs w:val="16"/>
                <w:color w:val="auto"/>
              </w:rPr>
            </w:pPr>
          </w:p>
        </w:tc>
        <w:tc>
          <w:tcPr>
            <w:tcW w:w="780" w:type="dxa"/>
            <w:vAlign w:val="bottom"/>
            <w:tcBorders>
              <w:top w:val="single" w:sz="8" w:color="auto"/>
              <w:bottom w:val="single" w:sz="8" w:color="CCEEFF"/>
            </w:tcBorders>
            <w:shd w:val="clear" w:color="auto" w:fill="CCEEFF"/>
          </w:tcPr>
          <w:p>
            <w:pPr>
              <w:spacing w:after="0"/>
              <w:rPr>
                <w:sz w:val="16"/>
                <w:szCs w:val="16"/>
                <w:color w:val="auto"/>
              </w:rPr>
            </w:pPr>
          </w:p>
        </w:tc>
        <w:tc>
          <w:tcPr>
            <w:tcW w:w="240" w:type="dxa"/>
            <w:vAlign w:val="bottom"/>
            <w:tcBorders>
              <w:top w:val="single" w:sz="8" w:color="CCEEFF"/>
              <w:bottom w:val="single" w:sz="8" w:color="CCEEFF"/>
            </w:tcBorders>
            <w:shd w:val="clear" w:color="auto" w:fill="CCEEFF"/>
          </w:tcPr>
          <w:p>
            <w:pPr>
              <w:spacing w:after="0"/>
              <w:rPr>
                <w:sz w:val="16"/>
                <w:szCs w:val="16"/>
                <w:color w:val="auto"/>
              </w:rPr>
            </w:pPr>
          </w:p>
        </w:tc>
        <w:tc>
          <w:tcPr>
            <w:tcW w:w="76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76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76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176"/>
        </w:trPr>
        <w:tc>
          <w:tcPr>
            <w:tcW w:w="7160" w:type="dxa"/>
            <w:vAlign w:val="bottom"/>
            <w:gridSpan w:val="6"/>
          </w:tcPr>
          <w:p>
            <w:pPr>
              <w:spacing w:after="0" w:line="176" w:lineRule="exact"/>
              <w:rPr>
                <w:sz w:val="20"/>
                <w:szCs w:val="20"/>
                <w:color w:val="auto"/>
              </w:rPr>
            </w:pPr>
            <w:r>
              <w:rPr>
                <w:rFonts w:ascii="Arial" w:cs="Arial" w:eastAsia="Arial" w:hAnsi="Arial"/>
                <w:sz w:val="18"/>
                <w:szCs w:val="18"/>
                <w:color w:val="auto"/>
              </w:rPr>
              <w:t>Securities at fair value through OCI:</w:t>
            </w:r>
          </w:p>
        </w:tc>
        <w:tc>
          <w:tcPr>
            <w:tcW w:w="7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716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Equity investments</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8,402</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8,402</w:t>
            </w:r>
          </w:p>
        </w:tc>
        <w:tc>
          <w:tcPr>
            <w:tcW w:w="80" w:type="dxa"/>
            <w:vAlign w:val="bottom"/>
            <w:shd w:val="clear" w:color="auto" w:fill="CCEEFF"/>
          </w:tcPr>
          <w:p>
            <w:pPr>
              <w:spacing w:after="0"/>
              <w:rPr>
                <w:sz w:val="18"/>
                <w:szCs w:val="18"/>
                <w:color w:val="auto"/>
              </w:rPr>
            </w:pPr>
          </w:p>
        </w:tc>
      </w:tr>
      <w:tr>
        <w:trPr>
          <w:trHeight w:val="230"/>
        </w:trPr>
        <w:tc>
          <w:tcPr>
            <w:tcW w:w="7160" w:type="dxa"/>
            <w:vAlign w:val="bottom"/>
            <w:gridSpan w:val="6"/>
          </w:tcPr>
          <w:p>
            <w:pPr>
              <w:ind w:left="160"/>
              <w:spacing w:after="0"/>
              <w:rPr>
                <w:sz w:val="20"/>
                <w:szCs w:val="20"/>
                <w:color w:val="auto"/>
              </w:rPr>
            </w:pPr>
            <w:r>
              <w:rPr>
                <w:rFonts w:ascii="Arial" w:cs="Arial" w:eastAsia="Arial" w:hAnsi="Arial"/>
                <w:sz w:val="18"/>
                <w:szCs w:val="18"/>
                <w:color w:val="auto"/>
              </w:rPr>
              <w:t>Sovereign debt (1)</w:t>
            </w:r>
          </w:p>
        </w:tc>
        <w:tc>
          <w:tcPr>
            <w:tcW w:w="1020" w:type="dxa"/>
            <w:vAlign w:val="bottom"/>
            <w:gridSpan w:val="2"/>
          </w:tcPr>
          <w:p>
            <w:pPr>
              <w:jc w:val="right"/>
              <w:ind w:right="240"/>
              <w:spacing w:after="0"/>
              <w:rPr>
                <w:sz w:val="20"/>
                <w:szCs w:val="20"/>
                <w:color w:val="auto"/>
              </w:rPr>
            </w:pPr>
            <w:r>
              <w:rPr>
                <w:rFonts w:ascii="Arial" w:cs="Arial" w:eastAsia="Arial" w:hAnsi="Arial"/>
                <w:sz w:val="18"/>
                <w:szCs w:val="18"/>
                <w:color w:val="auto"/>
              </w:rPr>
              <w:t>16,733</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16,733</w:t>
            </w:r>
          </w:p>
        </w:tc>
        <w:tc>
          <w:tcPr>
            <w:tcW w:w="80" w:type="dxa"/>
            <w:vAlign w:val="bottom"/>
          </w:tcPr>
          <w:p>
            <w:pPr>
              <w:spacing w:after="0"/>
              <w:rPr>
                <w:sz w:val="19"/>
                <w:szCs w:val="19"/>
                <w:color w:val="auto"/>
              </w:rPr>
            </w:pPr>
          </w:p>
        </w:tc>
      </w:tr>
      <w:tr>
        <w:trPr>
          <w:trHeight w:val="210"/>
        </w:trPr>
        <w:tc>
          <w:tcPr>
            <w:tcW w:w="7160" w:type="dxa"/>
            <w:vAlign w:val="bottom"/>
            <w:tcBorders>
              <w:top w:val="single" w:sz="8" w:color="CCEEFF"/>
            </w:tcBorders>
            <w:gridSpan w:val="6"/>
            <w:shd w:val="clear" w:color="auto" w:fill="CCEEFF"/>
          </w:tcPr>
          <w:p>
            <w:pPr>
              <w:ind w:left="160"/>
              <w:spacing w:after="0"/>
              <w:rPr>
                <w:sz w:val="20"/>
                <w:szCs w:val="20"/>
                <w:color w:val="auto"/>
              </w:rPr>
            </w:pPr>
            <w:r>
              <w:rPr>
                <w:rFonts w:ascii="Arial" w:cs="Arial" w:eastAsia="Arial" w:hAnsi="Arial"/>
                <w:sz w:val="18"/>
                <w:szCs w:val="18"/>
                <w:color w:val="auto"/>
              </w:rPr>
              <w:t>Total securities at fair value through OCI</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25,135</w:t>
            </w:r>
          </w:p>
        </w:tc>
        <w:tc>
          <w:tcPr>
            <w:tcW w:w="24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25,135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169"/>
        </w:trPr>
        <w:tc>
          <w:tcPr>
            <w:tcW w:w="7160" w:type="dxa"/>
            <w:vAlign w:val="bottom"/>
            <w:gridSpan w:val="6"/>
          </w:tcPr>
          <w:p>
            <w:pPr>
              <w:spacing w:after="0" w:line="170" w:lineRule="exact"/>
              <w:rPr>
                <w:sz w:val="20"/>
                <w:szCs w:val="20"/>
                <w:color w:val="auto"/>
              </w:rPr>
            </w:pPr>
            <w:r>
              <w:rPr>
                <w:rFonts w:ascii="Arial" w:cs="Arial" w:eastAsia="Arial" w:hAnsi="Arial"/>
                <w:sz w:val="18"/>
                <w:szCs w:val="18"/>
                <w:color w:val="auto"/>
              </w:rPr>
              <w:t>Derivative financial instruments used for hedging – receivable:</w:t>
            </w: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Borders>
              <w:top w:val="single" w:sz="8" w:color="auto"/>
            </w:tcBorders>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716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129</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129</w:t>
            </w:r>
          </w:p>
        </w:tc>
        <w:tc>
          <w:tcPr>
            <w:tcW w:w="80" w:type="dxa"/>
            <w:vAlign w:val="bottom"/>
            <w:shd w:val="clear" w:color="auto" w:fill="CCEEFF"/>
          </w:tcPr>
          <w:p>
            <w:pPr>
              <w:spacing w:after="0"/>
              <w:rPr>
                <w:sz w:val="18"/>
                <w:szCs w:val="18"/>
                <w:color w:val="auto"/>
              </w:rPr>
            </w:pPr>
          </w:p>
        </w:tc>
      </w:tr>
      <w:tr>
        <w:trPr>
          <w:trHeight w:val="216"/>
        </w:trPr>
        <w:tc>
          <w:tcPr>
            <w:tcW w:w="7160" w:type="dxa"/>
            <w:vAlign w:val="bottom"/>
            <w:gridSpan w:val="6"/>
          </w:tcPr>
          <w:p>
            <w:pPr>
              <w:ind w:left="160"/>
              <w:spacing w:after="0"/>
              <w:rPr>
                <w:sz w:val="20"/>
                <w:szCs w:val="20"/>
                <w:color w:val="auto"/>
              </w:rPr>
            </w:pPr>
            <w:r>
              <w:rPr>
                <w:rFonts w:ascii="Arial" w:cs="Arial" w:eastAsia="Arial" w:hAnsi="Arial"/>
                <w:sz w:val="18"/>
                <w:szCs w:val="18"/>
                <w:color w:val="auto"/>
              </w:rPr>
              <w:t>Cross-currency interest rate swaps</w:t>
            </w:r>
          </w:p>
        </w:tc>
        <w:tc>
          <w:tcPr>
            <w:tcW w:w="102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4,550</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4,550</w:t>
            </w:r>
          </w:p>
        </w:tc>
        <w:tc>
          <w:tcPr>
            <w:tcW w:w="80" w:type="dxa"/>
            <w:vAlign w:val="bottom"/>
          </w:tcPr>
          <w:p>
            <w:pPr>
              <w:spacing w:after="0"/>
              <w:rPr>
                <w:sz w:val="18"/>
                <w:szCs w:val="18"/>
                <w:color w:val="auto"/>
              </w:rPr>
            </w:pPr>
          </w:p>
        </w:tc>
      </w:tr>
      <w:tr>
        <w:trPr>
          <w:trHeight w:val="230"/>
        </w:trPr>
        <w:tc>
          <w:tcPr>
            <w:tcW w:w="716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8,659</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8,659</w:t>
            </w:r>
          </w:p>
        </w:tc>
        <w:tc>
          <w:tcPr>
            <w:tcW w:w="80" w:type="dxa"/>
            <w:vAlign w:val="bottom"/>
            <w:shd w:val="clear" w:color="auto" w:fill="CCEEFF"/>
          </w:tcPr>
          <w:p>
            <w:pPr>
              <w:spacing w:after="0"/>
              <w:rPr>
                <w:sz w:val="19"/>
                <w:szCs w:val="19"/>
                <w:color w:val="auto"/>
              </w:rPr>
            </w:pPr>
          </w:p>
        </w:tc>
      </w:tr>
      <w:tr>
        <w:trPr>
          <w:trHeight w:val="210"/>
        </w:trPr>
        <w:tc>
          <w:tcPr>
            <w:tcW w:w="7160" w:type="dxa"/>
            <w:vAlign w:val="bottom"/>
            <w:tcBorders>
              <w:bottom w:val="single" w:sz="8" w:color="CCEEFF"/>
            </w:tcBorders>
            <w:gridSpan w:val="6"/>
          </w:tcPr>
          <w:p>
            <w:pPr>
              <w:ind w:left="160"/>
              <w:spacing w:after="0"/>
              <w:rPr>
                <w:sz w:val="20"/>
                <w:szCs w:val="20"/>
                <w:color w:val="auto"/>
              </w:rPr>
            </w:pPr>
            <w:r>
              <w:rPr>
                <w:rFonts w:ascii="Arial" w:cs="Arial" w:eastAsia="Arial" w:hAnsi="Arial"/>
                <w:sz w:val="18"/>
                <w:szCs w:val="18"/>
                <w:color w:val="auto"/>
              </w:rPr>
              <w:t>Total derivative financial instrument used for hedging – receivable</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13,338</w:t>
            </w:r>
          </w:p>
        </w:tc>
        <w:tc>
          <w:tcPr>
            <w:tcW w:w="22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13,338</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23"/>
        </w:trPr>
        <w:tc>
          <w:tcPr>
            <w:tcW w:w="7160" w:type="dxa"/>
            <w:vAlign w:val="bottom"/>
            <w:tcBorders>
              <w:bottom w:val="single" w:sz="8" w:color="CCEEFF"/>
            </w:tcBorders>
            <w:gridSpan w:val="6"/>
            <w:shd w:val="clear" w:color="auto" w:fill="CCEEFF"/>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25,135</w:t>
            </w:r>
          </w:p>
        </w:tc>
        <w:tc>
          <w:tcPr>
            <w:tcW w:w="240" w:type="dxa"/>
            <w:vAlign w:val="bottom"/>
            <w:tcBorders>
              <w:bottom w:val="single" w:sz="8" w:color="CCEEFF"/>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Borders>
              <w:bottom w:val="single" w:sz="8" w:color="CCEEFF"/>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38,473</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6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6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176"/>
        </w:trPr>
        <w:tc>
          <w:tcPr>
            <w:tcW w:w="7160" w:type="dxa"/>
            <w:vAlign w:val="bottom"/>
            <w:gridSpan w:val="6"/>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7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r>
      <w:tr>
        <w:trPr>
          <w:trHeight w:val="21"/>
        </w:trPr>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1860" w:type="dxa"/>
            <w:vAlign w:val="bottom"/>
            <w:tcBorders>
              <w:top w:val="single" w:sz="8" w:color="CCEEFF"/>
            </w:tcBorders>
            <w:shd w:val="clear" w:color="auto" w:fill="CCEEFF"/>
          </w:tcPr>
          <w:p>
            <w:pPr>
              <w:spacing w:after="0" w:line="20" w:lineRule="exact"/>
              <w:rPr>
                <w:sz w:val="1"/>
                <w:szCs w:val="1"/>
                <w:color w:val="auto"/>
              </w:rPr>
            </w:pPr>
          </w:p>
        </w:tc>
        <w:tc>
          <w:tcPr>
            <w:tcW w:w="17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62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7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7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7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r>
      <w:tr>
        <w:trPr>
          <w:trHeight w:val="176"/>
        </w:trPr>
        <w:tc>
          <w:tcPr>
            <w:tcW w:w="7160" w:type="dxa"/>
            <w:vAlign w:val="bottom"/>
            <w:gridSpan w:val="6"/>
          </w:tcPr>
          <w:p>
            <w:pPr>
              <w:spacing w:after="0" w:line="176" w:lineRule="exact"/>
              <w:rPr>
                <w:sz w:val="20"/>
                <w:szCs w:val="20"/>
                <w:color w:val="auto"/>
              </w:rPr>
            </w:pPr>
            <w:r>
              <w:rPr>
                <w:rFonts w:ascii="Arial" w:cs="Arial" w:eastAsia="Arial" w:hAnsi="Arial"/>
                <w:sz w:val="18"/>
                <w:szCs w:val="18"/>
                <w:color w:val="auto"/>
              </w:rPr>
              <w:t>Derivative financial instruments used for hedging – payable:</w:t>
            </w:r>
          </w:p>
        </w:tc>
        <w:tc>
          <w:tcPr>
            <w:tcW w:w="7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716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4,789</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4,789</w:t>
            </w:r>
          </w:p>
        </w:tc>
        <w:tc>
          <w:tcPr>
            <w:tcW w:w="80" w:type="dxa"/>
            <w:vAlign w:val="bottom"/>
            <w:shd w:val="clear" w:color="auto" w:fill="CCEEFF"/>
          </w:tcPr>
          <w:p>
            <w:pPr>
              <w:spacing w:after="0"/>
              <w:rPr>
                <w:sz w:val="18"/>
                <w:szCs w:val="18"/>
                <w:color w:val="auto"/>
              </w:rPr>
            </w:pPr>
          </w:p>
        </w:tc>
      </w:tr>
      <w:tr>
        <w:trPr>
          <w:trHeight w:val="230"/>
        </w:trPr>
        <w:tc>
          <w:tcPr>
            <w:tcW w:w="7160" w:type="dxa"/>
            <w:vAlign w:val="bottom"/>
            <w:gridSpan w:val="6"/>
          </w:tcPr>
          <w:p>
            <w:pPr>
              <w:ind w:left="160"/>
              <w:spacing w:after="0"/>
              <w:rPr>
                <w:sz w:val="20"/>
                <w:szCs w:val="20"/>
                <w:color w:val="auto"/>
              </w:rPr>
            </w:pPr>
            <w:r>
              <w:rPr>
                <w:rFonts w:ascii="Arial" w:cs="Arial" w:eastAsia="Arial" w:hAnsi="Arial"/>
                <w:sz w:val="18"/>
                <w:szCs w:val="18"/>
                <w:color w:val="auto"/>
              </w:rPr>
              <w:t>Cross-currency interest rate swaps</w:t>
            </w:r>
          </w:p>
        </w:tc>
        <w:tc>
          <w:tcPr>
            <w:tcW w:w="102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30,154</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30,154</w:t>
            </w:r>
          </w:p>
        </w:tc>
        <w:tc>
          <w:tcPr>
            <w:tcW w:w="80" w:type="dxa"/>
            <w:vAlign w:val="bottom"/>
          </w:tcPr>
          <w:p>
            <w:pPr>
              <w:spacing w:after="0"/>
              <w:rPr>
                <w:sz w:val="19"/>
                <w:szCs w:val="19"/>
                <w:color w:val="auto"/>
              </w:rPr>
            </w:pPr>
          </w:p>
        </w:tc>
      </w:tr>
      <w:tr>
        <w:trPr>
          <w:trHeight w:val="210"/>
        </w:trPr>
        <w:tc>
          <w:tcPr>
            <w:tcW w:w="7160" w:type="dxa"/>
            <w:vAlign w:val="bottom"/>
            <w:tcBorders>
              <w:top w:val="single" w:sz="8" w:color="CCEEFF"/>
            </w:tcBorders>
            <w:gridSpan w:val="6"/>
            <w:shd w:val="clear" w:color="auto" w:fill="CCEEFF"/>
          </w:tcPr>
          <w:p>
            <w:pPr>
              <w:ind w:left="160"/>
              <w:spacing w:after="0"/>
              <w:rPr>
                <w:sz w:val="20"/>
                <w:szCs w:val="20"/>
                <w:color w:val="auto"/>
              </w:rPr>
            </w:pPr>
            <w:r>
              <w:rPr>
                <w:rFonts w:ascii="Arial" w:cs="Arial" w:eastAsia="Arial" w:hAnsi="Arial"/>
                <w:sz w:val="18"/>
                <w:szCs w:val="18"/>
                <w:color w:val="auto"/>
              </w:rPr>
              <w:t>Total derivative financial instruments used for hedging – payable</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34,943</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34,943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7160" w:type="dxa"/>
            <w:vAlign w:val="bottom"/>
            <w:gridSpan w:val="6"/>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220" w:type="dxa"/>
            <w:vAlign w:val="bottom"/>
          </w:tcPr>
          <w:p>
            <w:pPr>
              <w:spacing w:after="0"/>
              <w:rPr>
                <w:sz w:val="19"/>
                <w:szCs w:val="19"/>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ind w:left="1300" w:hanging="320"/>
        <w:spacing w:after="0" w:line="194" w:lineRule="auto"/>
        <w:tabs>
          <w:tab w:leader="none" w:pos="1300" w:val="left"/>
        </w:tabs>
        <w:numPr>
          <w:ilvl w:val="1"/>
          <w:numId w:val="203"/>
        </w:numPr>
        <w:rPr>
          <w:rFonts w:ascii="Arial" w:cs="Arial" w:eastAsia="Arial" w:hAnsi="Arial"/>
          <w:sz w:val="30"/>
          <w:szCs w:val="30"/>
          <w:color w:val="222222"/>
          <w:vertAlign w:val="superscript"/>
        </w:rPr>
      </w:pPr>
      <w:r>
        <w:rPr>
          <w:rFonts w:ascii="Arial" w:cs="Arial" w:eastAsia="Arial" w:hAnsi="Arial"/>
          <w:sz w:val="18"/>
          <w:szCs w:val="18"/>
          <w:color w:val="222222"/>
        </w:rPr>
        <w:t>At December 31, 2017, securities at fair value through OCI for $2,955 were reclassified from level 2 to level 1 of the fair value hierarchy given that Bloomberg's valuation "BVAL" for these values increased from 7 (in 2016) to 10 (in 2017).</w:t>
      </w:r>
    </w:p>
    <w:p>
      <w:pPr>
        <w:spacing w:after="0" w:line="87" w:lineRule="exact"/>
        <w:rPr>
          <w:rFonts w:ascii="Arial" w:cs="Arial" w:eastAsia="Arial" w:hAnsi="Arial"/>
          <w:sz w:val="30"/>
          <w:szCs w:val="30"/>
          <w:color w:val="222222"/>
          <w:vertAlign w:val="superscript"/>
        </w:rPr>
      </w:pPr>
    </w:p>
    <w:p>
      <w:pPr>
        <w:ind w:left="980" w:hanging="324"/>
        <w:spacing w:after="0"/>
        <w:tabs>
          <w:tab w:leader="none" w:pos="980" w:val="left"/>
        </w:tabs>
        <w:numPr>
          <w:ilvl w:val="0"/>
          <w:numId w:val="204"/>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204"/>
        </w:numPr>
        <w:rPr>
          <w:rFonts w:ascii="Arial" w:cs="Arial" w:eastAsia="Arial" w:hAnsi="Arial"/>
          <w:sz w:val="24"/>
          <w:szCs w:val="24"/>
          <w:color w:val="auto"/>
          <w:vertAlign w:val="superscript"/>
        </w:rPr>
      </w:pPr>
      <w:r>
        <w:rPr>
          <w:rFonts w:ascii="Arial" w:cs="Arial" w:eastAsia="Arial" w:hAnsi="Arial"/>
          <w:sz w:val="15"/>
          <w:szCs w:val="15"/>
          <w:color w:val="auto"/>
        </w:rPr>
        <w:t>Level 2: Quoted market prices in an inactive market or internally developed models with significant observable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204"/>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2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5" w:right="239" w:bottom="1440" w:gutter="0" w:footer="0" w:header="0"/>
        </w:sectPr>
      </w:pPr>
    </w:p>
    <w:bookmarkStart w:id="205" w:name="page206"/>
    <w:bookmarkEnd w:id="20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tbl>
      <w:tblPr>
        <w:tblLayout w:type="fixed"/>
        <w:tblInd w:w="180" w:type="dxa"/>
        <w:tblCellMar>
          <w:top w:w="0" w:type="dxa"/>
          <w:left w:w="0" w:type="dxa"/>
          <w:bottom w:w="0" w:type="dxa"/>
          <w:right w:w="0" w:type="dxa"/>
        </w:tblCellMar>
      </w:tblPr>
      <w:tr>
        <w:trPr>
          <w:trHeight w:val="234"/>
        </w:trPr>
        <w:tc>
          <w:tcPr>
            <w:tcW w:w="7320" w:type="dxa"/>
            <w:vAlign w:val="bottom"/>
            <w:gridSpan w:val="8"/>
          </w:tcPr>
          <w:p>
            <w:pPr>
              <w:spacing w:after="0"/>
              <w:rPr>
                <w:sz w:val="20"/>
                <w:szCs w:val="20"/>
                <w:color w:val="auto"/>
              </w:rPr>
            </w:pPr>
            <w:r>
              <w:rPr>
                <w:rFonts w:ascii="Arial" w:cs="Arial" w:eastAsia="Arial" w:hAnsi="Arial"/>
                <w:sz w:val="18"/>
                <w:szCs w:val="18"/>
                <w:b w:val="1"/>
                <w:bCs w:val="1"/>
                <w:color w:val="auto"/>
              </w:rPr>
              <w:t>18. Fair value of financial instruments (continued)</w:t>
            </w:r>
          </w:p>
        </w:tc>
        <w:tc>
          <w:tcPr>
            <w:tcW w:w="7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662"/>
        </w:trPr>
        <w:tc>
          <w:tcPr>
            <w:tcW w:w="1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620" w:type="dxa"/>
            <w:vAlign w:val="bottom"/>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gridSpan w:val="5"/>
          </w:tcPr>
          <w:p>
            <w:pPr>
              <w:ind w:left="120"/>
              <w:spacing w:after="0"/>
              <w:rPr>
                <w:sz w:val="20"/>
                <w:szCs w:val="20"/>
                <w:color w:val="auto"/>
              </w:rPr>
            </w:pPr>
            <w:r>
              <w:rPr>
                <w:rFonts w:ascii="Arial" w:cs="Arial" w:eastAsia="Arial" w:hAnsi="Arial"/>
                <w:sz w:val="18"/>
                <w:szCs w:val="18"/>
                <w:b w:val="1"/>
                <w:bCs w:val="1"/>
                <w:color w:val="auto"/>
              </w:rPr>
              <w:t>December 31, 2016</w:t>
            </w:r>
          </w:p>
        </w:tc>
        <w:tc>
          <w:tcPr>
            <w:tcW w:w="7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50"/>
        </w:trPr>
        <w:tc>
          <w:tcPr>
            <w:tcW w:w="16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60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1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2620" w:type="dxa"/>
            <w:vAlign w:val="bottom"/>
          </w:tcPr>
          <w:p>
            <w:pPr>
              <w:spacing w:after="0"/>
              <w:rPr>
                <w:sz w:val="21"/>
                <w:szCs w:val="21"/>
                <w:color w:val="auto"/>
              </w:rPr>
            </w:pPr>
          </w:p>
        </w:tc>
        <w:tc>
          <w:tcPr>
            <w:tcW w:w="900" w:type="dxa"/>
            <w:vAlign w:val="bottom"/>
            <w:gridSpan w:val="2"/>
          </w:tcPr>
          <w:p>
            <w:pPr>
              <w:jc w:val="right"/>
              <w:ind w:right="140"/>
              <w:spacing w:after="0" w:line="251" w:lineRule="exact"/>
              <w:rPr>
                <w:sz w:val="20"/>
                <w:szCs w:val="20"/>
                <w:color w:val="auto"/>
              </w:rPr>
            </w:pPr>
            <w:r>
              <w:rPr>
                <w:rFonts w:ascii="Arial" w:cs="Arial" w:eastAsia="Arial" w:hAnsi="Arial"/>
                <w:sz w:val="18"/>
                <w:szCs w:val="18"/>
                <w:b w:val="1"/>
                <w:bCs w:val="1"/>
                <w:color w:val="auto"/>
                <w:w w:val="87"/>
              </w:rPr>
              <w:t>Level 1</w:t>
            </w:r>
            <w:r>
              <w:rPr>
                <w:rFonts w:ascii="Arial" w:cs="Arial" w:eastAsia="Arial" w:hAnsi="Arial"/>
                <w:sz w:val="29"/>
                <w:szCs w:val="29"/>
                <w:b w:val="1"/>
                <w:bCs w:val="1"/>
                <w:color w:val="auto"/>
                <w:w w:val="87"/>
                <w:vertAlign w:val="superscript"/>
              </w:rPr>
              <w:t>(a)</w:t>
            </w:r>
          </w:p>
        </w:tc>
        <w:tc>
          <w:tcPr>
            <w:tcW w:w="1000" w:type="dxa"/>
            <w:vAlign w:val="bottom"/>
            <w:gridSpan w:val="3"/>
          </w:tcPr>
          <w:p>
            <w:pPr>
              <w:jc w:val="right"/>
              <w:ind w:right="140"/>
              <w:spacing w:after="0" w:line="251" w:lineRule="exact"/>
              <w:rPr>
                <w:sz w:val="20"/>
                <w:szCs w:val="20"/>
                <w:color w:val="auto"/>
              </w:rPr>
            </w:pPr>
            <w:r>
              <w:rPr>
                <w:rFonts w:ascii="Arial" w:cs="Arial" w:eastAsia="Arial" w:hAnsi="Arial"/>
                <w:sz w:val="18"/>
                <w:szCs w:val="18"/>
                <w:b w:val="1"/>
                <w:bCs w:val="1"/>
                <w:color w:val="auto"/>
                <w:w w:val="97"/>
              </w:rPr>
              <w:t>Level 2</w:t>
            </w:r>
            <w:r>
              <w:rPr>
                <w:rFonts w:ascii="Arial" w:cs="Arial" w:eastAsia="Arial" w:hAnsi="Arial"/>
                <w:sz w:val="29"/>
                <w:szCs w:val="29"/>
                <w:b w:val="1"/>
                <w:bCs w:val="1"/>
                <w:color w:val="auto"/>
                <w:w w:val="97"/>
                <w:vertAlign w:val="superscript"/>
              </w:rPr>
              <w:t>(b)</w:t>
            </w:r>
          </w:p>
        </w:tc>
        <w:tc>
          <w:tcPr>
            <w:tcW w:w="1080" w:type="dxa"/>
            <w:vAlign w:val="bottom"/>
            <w:gridSpan w:val="3"/>
          </w:tcPr>
          <w:p>
            <w:pPr>
              <w:ind w:left="100"/>
              <w:spacing w:after="0" w:line="251" w:lineRule="exact"/>
              <w:rPr>
                <w:sz w:val="20"/>
                <w:szCs w:val="20"/>
                <w:color w:val="auto"/>
              </w:rPr>
            </w:pPr>
            <w:r>
              <w:rPr>
                <w:rFonts w:ascii="Arial" w:cs="Arial" w:eastAsia="Arial" w:hAnsi="Arial"/>
                <w:sz w:val="18"/>
                <w:szCs w:val="18"/>
                <w:b w:val="1"/>
                <w:bCs w:val="1"/>
                <w:color w:val="auto"/>
              </w:rPr>
              <w:t>Level 3</w:t>
            </w:r>
            <w:r>
              <w:rPr>
                <w:rFonts w:ascii="Arial" w:cs="Arial" w:eastAsia="Arial" w:hAnsi="Arial"/>
                <w:sz w:val="29"/>
                <w:szCs w:val="29"/>
                <w:b w:val="1"/>
                <w:bCs w:val="1"/>
                <w:color w:val="auto"/>
                <w:vertAlign w:val="superscript"/>
              </w:rPr>
              <w:t>(c)</w:t>
            </w:r>
          </w:p>
        </w:tc>
        <w:tc>
          <w:tcPr>
            <w:tcW w:w="860" w:type="dxa"/>
            <w:vAlign w:val="bottom"/>
            <w:gridSpan w:val="3"/>
          </w:tcPr>
          <w:p>
            <w:pPr>
              <w:spacing w:after="0"/>
              <w:rPr>
                <w:sz w:val="20"/>
                <w:szCs w:val="20"/>
                <w:color w:val="auto"/>
              </w:rPr>
            </w:pPr>
            <w:r>
              <w:rPr>
                <w:rFonts w:ascii="Arial" w:cs="Arial" w:eastAsia="Arial" w:hAnsi="Arial"/>
                <w:sz w:val="18"/>
                <w:szCs w:val="18"/>
                <w:b w:val="1"/>
                <w:bCs w:val="1"/>
                <w:color w:val="auto"/>
              </w:rPr>
              <w:t>Total</w:t>
            </w:r>
          </w:p>
        </w:tc>
      </w:tr>
      <w:tr>
        <w:trPr>
          <w:trHeight w:val="190"/>
        </w:trPr>
        <w:tc>
          <w:tcPr>
            <w:tcW w:w="16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6680" w:type="dxa"/>
            <w:vAlign w:val="bottom"/>
            <w:tcBorders>
              <w:top w:val="single" w:sz="8" w:color="CCEEFF"/>
              <w:bottom w:val="single" w:sz="8" w:color="CCEEFF"/>
            </w:tcBorders>
            <w:gridSpan w:val="6"/>
            <w:shd w:val="clear" w:color="auto" w:fill="CCEEFF"/>
          </w:tcPr>
          <w:p>
            <w:pPr>
              <w:spacing w:after="0"/>
              <w:rPr>
                <w:sz w:val="16"/>
                <w:szCs w:val="16"/>
                <w:color w:val="auto"/>
              </w:rPr>
            </w:pPr>
          </w:p>
        </w:tc>
        <w:tc>
          <w:tcPr>
            <w:tcW w:w="78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7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76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76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176"/>
        </w:trPr>
        <w:tc>
          <w:tcPr>
            <w:tcW w:w="160" w:type="dxa"/>
            <w:vAlign w:val="bottom"/>
          </w:tcPr>
          <w:p>
            <w:pPr>
              <w:spacing w:after="0"/>
              <w:rPr>
                <w:sz w:val="15"/>
                <w:szCs w:val="15"/>
                <w:color w:val="auto"/>
              </w:rPr>
            </w:pPr>
          </w:p>
        </w:tc>
        <w:tc>
          <w:tcPr>
            <w:tcW w:w="7160" w:type="dxa"/>
            <w:vAlign w:val="bottom"/>
            <w:gridSpan w:val="7"/>
          </w:tcPr>
          <w:p>
            <w:pPr>
              <w:spacing w:after="0" w:line="176" w:lineRule="exact"/>
              <w:rPr>
                <w:sz w:val="20"/>
                <w:szCs w:val="20"/>
                <w:color w:val="auto"/>
              </w:rPr>
            </w:pPr>
            <w:r>
              <w:rPr>
                <w:rFonts w:ascii="Arial" w:cs="Arial" w:eastAsia="Arial" w:hAnsi="Arial"/>
                <w:sz w:val="18"/>
                <w:szCs w:val="18"/>
                <w:color w:val="auto"/>
              </w:rPr>
              <w:t>Securities at fair value through OCI:</w:t>
            </w:r>
          </w:p>
        </w:tc>
        <w:tc>
          <w:tcPr>
            <w:tcW w:w="7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1"/>
        </w:trPr>
        <w:tc>
          <w:tcPr>
            <w:tcW w:w="16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60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160" w:type="dxa"/>
            <w:vAlign w:val="bottom"/>
          </w:tcPr>
          <w:p>
            <w:pPr>
              <w:spacing w:after="0"/>
              <w:rPr>
                <w:sz w:val="18"/>
                <w:szCs w:val="18"/>
                <w:color w:val="auto"/>
              </w:rPr>
            </w:pPr>
          </w:p>
        </w:tc>
        <w:tc>
          <w:tcPr>
            <w:tcW w:w="716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Corporate debt</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13,909</w:t>
            </w:r>
          </w:p>
        </w:tc>
        <w:tc>
          <w:tcPr>
            <w:tcW w:w="10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13,909</w:t>
            </w:r>
          </w:p>
        </w:tc>
        <w:tc>
          <w:tcPr>
            <w:tcW w:w="80" w:type="dxa"/>
            <w:vAlign w:val="bottom"/>
            <w:shd w:val="clear" w:color="auto" w:fill="CCEEFF"/>
          </w:tcPr>
          <w:p>
            <w:pPr>
              <w:spacing w:after="0"/>
              <w:rPr>
                <w:sz w:val="18"/>
                <w:szCs w:val="18"/>
                <w:color w:val="auto"/>
              </w:rPr>
            </w:pPr>
          </w:p>
        </w:tc>
      </w:tr>
      <w:tr>
        <w:trPr>
          <w:trHeight w:val="230"/>
        </w:trPr>
        <w:tc>
          <w:tcPr>
            <w:tcW w:w="160" w:type="dxa"/>
            <w:vAlign w:val="bottom"/>
          </w:tcPr>
          <w:p>
            <w:pPr>
              <w:spacing w:after="0"/>
              <w:rPr>
                <w:sz w:val="19"/>
                <w:szCs w:val="19"/>
                <w:color w:val="auto"/>
              </w:rPr>
            </w:pPr>
          </w:p>
        </w:tc>
        <w:tc>
          <w:tcPr>
            <w:tcW w:w="7160" w:type="dxa"/>
            <w:vAlign w:val="bottom"/>
            <w:gridSpan w:val="7"/>
          </w:tcPr>
          <w:p>
            <w:pPr>
              <w:ind w:left="160"/>
              <w:spacing w:after="0"/>
              <w:rPr>
                <w:sz w:val="20"/>
                <w:szCs w:val="20"/>
                <w:color w:val="auto"/>
              </w:rPr>
            </w:pPr>
            <w:r>
              <w:rPr>
                <w:rFonts w:ascii="Arial" w:cs="Arial" w:eastAsia="Arial" w:hAnsi="Arial"/>
                <w:sz w:val="18"/>
                <w:szCs w:val="18"/>
                <w:color w:val="auto"/>
              </w:rPr>
              <w:t>Sovereign debt</w:t>
            </w: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13,912</w:t>
            </w:r>
          </w:p>
        </w:tc>
        <w:tc>
          <w:tcPr>
            <w:tcW w:w="1000" w:type="dxa"/>
            <w:vAlign w:val="bottom"/>
            <w:gridSpan w:val="3"/>
          </w:tcPr>
          <w:p>
            <w:pPr>
              <w:jc w:val="right"/>
              <w:ind w:right="120"/>
              <w:spacing w:after="0"/>
              <w:rPr>
                <w:sz w:val="20"/>
                <w:szCs w:val="20"/>
                <w:color w:val="auto"/>
              </w:rPr>
            </w:pPr>
            <w:r>
              <w:rPr>
                <w:rFonts w:ascii="Arial" w:cs="Arial" w:eastAsia="Arial" w:hAnsi="Arial"/>
                <w:sz w:val="18"/>
                <w:szCs w:val="18"/>
                <w:color w:val="auto"/>
              </w:rPr>
              <w:t>2,786</w:t>
            </w:r>
          </w:p>
        </w:tc>
        <w:tc>
          <w:tcPr>
            <w:tcW w:w="10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16,698</w:t>
            </w:r>
          </w:p>
        </w:tc>
        <w:tc>
          <w:tcPr>
            <w:tcW w:w="80" w:type="dxa"/>
            <w:vAlign w:val="bottom"/>
          </w:tcPr>
          <w:p>
            <w:pPr>
              <w:spacing w:after="0"/>
              <w:rPr>
                <w:sz w:val="19"/>
                <w:szCs w:val="19"/>
                <w:color w:val="auto"/>
              </w:rPr>
            </w:pPr>
          </w:p>
        </w:tc>
      </w:tr>
      <w:tr>
        <w:trPr>
          <w:trHeight w:val="210"/>
        </w:trPr>
        <w:tc>
          <w:tcPr>
            <w:tcW w:w="160" w:type="dxa"/>
            <w:vAlign w:val="bottom"/>
          </w:tcPr>
          <w:p>
            <w:pPr>
              <w:spacing w:after="0"/>
              <w:rPr>
                <w:sz w:val="18"/>
                <w:szCs w:val="18"/>
                <w:color w:val="auto"/>
              </w:rPr>
            </w:pPr>
          </w:p>
        </w:tc>
        <w:tc>
          <w:tcPr>
            <w:tcW w:w="7160" w:type="dxa"/>
            <w:vAlign w:val="bottom"/>
            <w:tcBorders>
              <w:top w:val="single" w:sz="8" w:color="CCEEFF"/>
            </w:tcBorders>
            <w:gridSpan w:val="7"/>
            <w:shd w:val="clear" w:color="auto" w:fill="CCEEFF"/>
          </w:tcPr>
          <w:p>
            <w:pPr>
              <w:ind w:left="160"/>
              <w:spacing w:after="0"/>
              <w:rPr>
                <w:sz w:val="20"/>
                <w:szCs w:val="20"/>
                <w:color w:val="auto"/>
              </w:rPr>
            </w:pPr>
            <w:r>
              <w:rPr>
                <w:rFonts w:ascii="Arial" w:cs="Arial" w:eastAsia="Arial" w:hAnsi="Arial"/>
                <w:sz w:val="18"/>
                <w:szCs w:val="18"/>
                <w:color w:val="auto"/>
              </w:rPr>
              <w:t>Total securities at fair value through OCI</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27,821</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2,786</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30,607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169"/>
        </w:trPr>
        <w:tc>
          <w:tcPr>
            <w:tcW w:w="160" w:type="dxa"/>
            <w:vAlign w:val="bottom"/>
          </w:tcPr>
          <w:p>
            <w:pPr>
              <w:spacing w:after="0"/>
              <w:rPr>
                <w:sz w:val="14"/>
                <w:szCs w:val="14"/>
                <w:color w:val="auto"/>
              </w:rPr>
            </w:pPr>
          </w:p>
        </w:tc>
        <w:tc>
          <w:tcPr>
            <w:tcW w:w="7160" w:type="dxa"/>
            <w:vAlign w:val="bottom"/>
            <w:gridSpan w:val="7"/>
          </w:tcPr>
          <w:p>
            <w:pPr>
              <w:spacing w:after="0" w:line="170" w:lineRule="exact"/>
              <w:rPr>
                <w:sz w:val="20"/>
                <w:szCs w:val="20"/>
                <w:color w:val="auto"/>
              </w:rPr>
            </w:pPr>
            <w:r>
              <w:rPr>
                <w:rFonts w:ascii="Arial" w:cs="Arial" w:eastAsia="Arial" w:hAnsi="Arial"/>
                <w:sz w:val="18"/>
                <w:szCs w:val="18"/>
                <w:color w:val="auto"/>
              </w:rPr>
              <w:t>Derivative financial instruments used for hedging – receivable:</w:t>
            </w: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21"/>
        </w:trPr>
        <w:tc>
          <w:tcPr>
            <w:tcW w:w="16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60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Borders>
              <w:top w:val="single" w:sz="8" w:color="auto"/>
            </w:tcBorders>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160" w:type="dxa"/>
            <w:vAlign w:val="bottom"/>
          </w:tcPr>
          <w:p>
            <w:pPr>
              <w:spacing w:after="0"/>
              <w:rPr>
                <w:sz w:val="18"/>
                <w:szCs w:val="18"/>
                <w:color w:val="auto"/>
              </w:rPr>
            </w:pPr>
          </w:p>
        </w:tc>
        <w:tc>
          <w:tcPr>
            <w:tcW w:w="716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363</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363</w:t>
            </w:r>
          </w:p>
        </w:tc>
        <w:tc>
          <w:tcPr>
            <w:tcW w:w="80" w:type="dxa"/>
            <w:vAlign w:val="bottom"/>
            <w:shd w:val="clear" w:color="auto" w:fill="CCEEFF"/>
          </w:tcPr>
          <w:p>
            <w:pPr>
              <w:spacing w:after="0"/>
              <w:rPr>
                <w:sz w:val="18"/>
                <w:szCs w:val="18"/>
                <w:color w:val="auto"/>
              </w:rPr>
            </w:pPr>
          </w:p>
        </w:tc>
      </w:tr>
      <w:tr>
        <w:trPr>
          <w:trHeight w:val="216"/>
        </w:trPr>
        <w:tc>
          <w:tcPr>
            <w:tcW w:w="160" w:type="dxa"/>
            <w:vAlign w:val="bottom"/>
          </w:tcPr>
          <w:p>
            <w:pPr>
              <w:spacing w:after="0"/>
              <w:rPr>
                <w:sz w:val="18"/>
                <w:szCs w:val="18"/>
                <w:color w:val="auto"/>
              </w:rPr>
            </w:pPr>
          </w:p>
        </w:tc>
        <w:tc>
          <w:tcPr>
            <w:tcW w:w="7160" w:type="dxa"/>
            <w:vAlign w:val="bottom"/>
            <w:gridSpan w:val="7"/>
          </w:tcPr>
          <w:p>
            <w:pPr>
              <w:ind w:left="160"/>
              <w:spacing w:after="0"/>
              <w:rPr>
                <w:sz w:val="20"/>
                <w:szCs w:val="20"/>
                <w:color w:val="auto"/>
              </w:rPr>
            </w:pPr>
            <w:r>
              <w:rPr>
                <w:rFonts w:ascii="Arial" w:cs="Arial" w:eastAsia="Arial" w:hAnsi="Arial"/>
                <w:sz w:val="18"/>
                <w:szCs w:val="18"/>
                <w:color w:val="auto"/>
              </w:rPr>
              <w:t>Cross-currency interest rate swaps</w:t>
            </w: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jc w:val="right"/>
              <w:ind w:right="120"/>
              <w:spacing w:after="0"/>
              <w:rPr>
                <w:sz w:val="20"/>
                <w:szCs w:val="20"/>
                <w:color w:val="auto"/>
              </w:rPr>
            </w:pPr>
            <w:r>
              <w:rPr>
                <w:rFonts w:ascii="Arial" w:cs="Arial" w:eastAsia="Arial" w:hAnsi="Arial"/>
                <w:sz w:val="18"/>
                <w:szCs w:val="18"/>
                <w:color w:val="auto"/>
              </w:rPr>
              <w:t>2,561</w:t>
            </w:r>
          </w:p>
        </w:tc>
        <w:tc>
          <w:tcPr>
            <w:tcW w:w="10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2,561</w:t>
            </w:r>
          </w:p>
        </w:tc>
        <w:tc>
          <w:tcPr>
            <w:tcW w:w="80" w:type="dxa"/>
            <w:vAlign w:val="bottom"/>
          </w:tcPr>
          <w:p>
            <w:pPr>
              <w:spacing w:after="0"/>
              <w:rPr>
                <w:sz w:val="18"/>
                <w:szCs w:val="18"/>
                <w:color w:val="auto"/>
              </w:rPr>
            </w:pPr>
          </w:p>
        </w:tc>
      </w:tr>
      <w:tr>
        <w:trPr>
          <w:trHeight w:val="230"/>
        </w:trPr>
        <w:tc>
          <w:tcPr>
            <w:tcW w:w="160" w:type="dxa"/>
            <w:vAlign w:val="bottom"/>
          </w:tcPr>
          <w:p>
            <w:pPr>
              <w:spacing w:after="0"/>
              <w:rPr>
                <w:sz w:val="19"/>
                <w:szCs w:val="19"/>
                <w:color w:val="auto"/>
              </w:rPr>
            </w:pPr>
          </w:p>
        </w:tc>
        <w:tc>
          <w:tcPr>
            <w:tcW w:w="716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6,428</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6,428</w:t>
            </w:r>
          </w:p>
        </w:tc>
        <w:tc>
          <w:tcPr>
            <w:tcW w:w="80" w:type="dxa"/>
            <w:vAlign w:val="bottom"/>
            <w:shd w:val="clear" w:color="auto" w:fill="CCEEFF"/>
          </w:tcPr>
          <w:p>
            <w:pPr>
              <w:spacing w:after="0"/>
              <w:rPr>
                <w:sz w:val="19"/>
                <w:szCs w:val="19"/>
                <w:color w:val="auto"/>
              </w:rPr>
            </w:pPr>
          </w:p>
        </w:tc>
      </w:tr>
      <w:tr>
        <w:trPr>
          <w:trHeight w:val="210"/>
        </w:trPr>
        <w:tc>
          <w:tcPr>
            <w:tcW w:w="160" w:type="dxa"/>
            <w:vAlign w:val="bottom"/>
          </w:tcPr>
          <w:p>
            <w:pPr>
              <w:spacing w:after="0"/>
              <w:rPr>
                <w:sz w:val="18"/>
                <w:szCs w:val="18"/>
                <w:color w:val="auto"/>
              </w:rPr>
            </w:pPr>
          </w:p>
        </w:tc>
        <w:tc>
          <w:tcPr>
            <w:tcW w:w="7160" w:type="dxa"/>
            <w:vAlign w:val="bottom"/>
            <w:tcBorders>
              <w:bottom w:val="single" w:sz="8" w:color="CCEEFF"/>
            </w:tcBorders>
            <w:gridSpan w:val="7"/>
          </w:tcPr>
          <w:p>
            <w:pPr>
              <w:ind w:left="160"/>
              <w:spacing w:after="0"/>
              <w:rPr>
                <w:sz w:val="20"/>
                <w:szCs w:val="20"/>
                <w:color w:val="auto"/>
              </w:rPr>
            </w:pPr>
            <w:r>
              <w:rPr>
                <w:rFonts w:ascii="Arial" w:cs="Arial" w:eastAsia="Arial" w:hAnsi="Arial"/>
                <w:sz w:val="18"/>
                <w:szCs w:val="18"/>
                <w:color w:val="auto"/>
              </w:rPr>
              <w:t>Total derivative financial instrument used for hedging – receivable</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9,352</w:t>
            </w:r>
          </w:p>
        </w:tc>
        <w:tc>
          <w:tcPr>
            <w:tcW w:w="12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9,352</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23"/>
        </w:trPr>
        <w:tc>
          <w:tcPr>
            <w:tcW w:w="160" w:type="dxa"/>
            <w:vAlign w:val="bottom"/>
          </w:tcPr>
          <w:p>
            <w:pPr>
              <w:spacing w:after="0"/>
              <w:rPr>
                <w:sz w:val="19"/>
                <w:szCs w:val="19"/>
                <w:color w:val="auto"/>
              </w:rPr>
            </w:pPr>
          </w:p>
        </w:tc>
        <w:tc>
          <w:tcPr>
            <w:tcW w:w="7160" w:type="dxa"/>
            <w:vAlign w:val="bottom"/>
            <w:tcBorders>
              <w:bottom w:val="single" w:sz="8" w:color="CCEEFF"/>
            </w:tcBorders>
            <w:gridSpan w:val="7"/>
            <w:shd w:val="clear" w:color="auto" w:fill="CCEEFF"/>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27,821</w:t>
            </w:r>
          </w:p>
        </w:tc>
        <w:tc>
          <w:tcPr>
            <w:tcW w:w="12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CCEEFF"/>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12,138</w:t>
            </w:r>
          </w:p>
        </w:tc>
        <w:tc>
          <w:tcPr>
            <w:tcW w:w="12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39,959</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r>
      <w:tr>
        <w:trPr>
          <w:trHeight w:val="20"/>
        </w:trPr>
        <w:tc>
          <w:tcPr>
            <w:tcW w:w="16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16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6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6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176"/>
        </w:trPr>
        <w:tc>
          <w:tcPr>
            <w:tcW w:w="160" w:type="dxa"/>
            <w:vAlign w:val="bottom"/>
          </w:tcPr>
          <w:p>
            <w:pPr>
              <w:spacing w:after="0"/>
              <w:rPr>
                <w:sz w:val="15"/>
                <w:szCs w:val="15"/>
                <w:color w:val="auto"/>
              </w:rPr>
            </w:pPr>
          </w:p>
        </w:tc>
        <w:tc>
          <w:tcPr>
            <w:tcW w:w="7160" w:type="dxa"/>
            <w:vAlign w:val="bottom"/>
            <w:gridSpan w:val="7"/>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7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r>
      <w:tr>
        <w:trPr>
          <w:trHeight w:val="21"/>
        </w:trPr>
        <w:tc>
          <w:tcPr>
            <w:tcW w:w="160" w:type="dxa"/>
            <w:vAlign w:val="bottom"/>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160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17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62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7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7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7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r>
      <w:tr>
        <w:trPr>
          <w:trHeight w:val="176"/>
        </w:trPr>
        <w:tc>
          <w:tcPr>
            <w:tcW w:w="160" w:type="dxa"/>
            <w:vAlign w:val="bottom"/>
          </w:tcPr>
          <w:p>
            <w:pPr>
              <w:spacing w:after="0"/>
              <w:rPr>
                <w:sz w:val="15"/>
                <w:szCs w:val="15"/>
                <w:color w:val="auto"/>
              </w:rPr>
            </w:pPr>
          </w:p>
        </w:tc>
        <w:tc>
          <w:tcPr>
            <w:tcW w:w="7160" w:type="dxa"/>
            <w:vAlign w:val="bottom"/>
            <w:gridSpan w:val="7"/>
          </w:tcPr>
          <w:p>
            <w:pPr>
              <w:spacing w:after="0" w:line="176" w:lineRule="exact"/>
              <w:rPr>
                <w:sz w:val="20"/>
                <w:szCs w:val="20"/>
                <w:color w:val="auto"/>
              </w:rPr>
            </w:pPr>
            <w:r>
              <w:rPr>
                <w:rFonts w:ascii="Arial" w:cs="Arial" w:eastAsia="Arial" w:hAnsi="Arial"/>
                <w:sz w:val="18"/>
                <w:szCs w:val="18"/>
                <w:color w:val="auto"/>
              </w:rPr>
              <w:t>Financial instruments at FVTPL:</w:t>
            </w:r>
          </w:p>
        </w:tc>
        <w:tc>
          <w:tcPr>
            <w:tcW w:w="7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1"/>
        </w:trPr>
        <w:tc>
          <w:tcPr>
            <w:tcW w:w="16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600" w:type="dxa"/>
            <w:vAlign w:val="bottom"/>
            <w:tcBorders>
              <w:top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30"/>
        </w:trPr>
        <w:tc>
          <w:tcPr>
            <w:tcW w:w="160" w:type="dxa"/>
            <w:vAlign w:val="bottom"/>
          </w:tcPr>
          <w:p>
            <w:pPr>
              <w:spacing w:after="0"/>
              <w:rPr>
                <w:sz w:val="19"/>
                <w:szCs w:val="19"/>
                <w:color w:val="auto"/>
              </w:rPr>
            </w:pPr>
          </w:p>
        </w:tc>
        <w:tc>
          <w:tcPr>
            <w:tcW w:w="716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24</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10"/>
        </w:trPr>
        <w:tc>
          <w:tcPr>
            <w:tcW w:w="160" w:type="dxa"/>
            <w:vAlign w:val="bottom"/>
          </w:tcPr>
          <w:p>
            <w:pPr>
              <w:spacing w:after="0"/>
              <w:rPr>
                <w:sz w:val="18"/>
                <w:szCs w:val="18"/>
                <w:color w:val="auto"/>
              </w:rPr>
            </w:pPr>
          </w:p>
        </w:tc>
        <w:tc>
          <w:tcPr>
            <w:tcW w:w="7160" w:type="dxa"/>
            <w:vAlign w:val="bottom"/>
            <w:tcBorders>
              <w:bottom w:val="single" w:sz="8" w:color="CCEEFF"/>
            </w:tcBorders>
            <w:gridSpan w:val="7"/>
          </w:tcPr>
          <w:p>
            <w:pPr>
              <w:ind w:left="160"/>
              <w:spacing w:after="0"/>
              <w:rPr>
                <w:sz w:val="20"/>
                <w:szCs w:val="20"/>
                <w:color w:val="auto"/>
              </w:rPr>
            </w:pPr>
            <w:r>
              <w:rPr>
                <w:rFonts w:ascii="Arial" w:cs="Arial" w:eastAsia="Arial" w:hAnsi="Arial"/>
                <w:sz w:val="18"/>
                <w:szCs w:val="18"/>
                <w:color w:val="auto"/>
              </w:rPr>
              <w:t>Total financial instruments at FVTPL</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w:t>
            </w:r>
          </w:p>
        </w:tc>
        <w:tc>
          <w:tcPr>
            <w:tcW w:w="12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190"/>
        </w:trPr>
        <w:tc>
          <w:tcPr>
            <w:tcW w:w="160" w:type="dxa"/>
            <w:vAlign w:val="bottom"/>
          </w:tcPr>
          <w:p>
            <w:pPr>
              <w:spacing w:after="0"/>
              <w:rPr>
                <w:sz w:val="16"/>
                <w:szCs w:val="16"/>
                <w:color w:val="auto"/>
              </w:rPr>
            </w:pPr>
          </w:p>
        </w:tc>
        <w:tc>
          <w:tcPr>
            <w:tcW w:w="4360" w:type="dxa"/>
            <w:vAlign w:val="bottom"/>
            <w:tcBorders>
              <w:bottom w:val="single" w:sz="8" w:color="auto"/>
            </w:tcBorders>
            <w:gridSpan w:val="5"/>
            <w:shd w:val="clear" w:color="auto" w:fill="CCEEFF"/>
          </w:tcPr>
          <w:p>
            <w:pPr>
              <w:spacing w:after="0" w:line="170" w:lineRule="exact"/>
              <w:rPr>
                <w:sz w:val="20"/>
                <w:szCs w:val="20"/>
                <w:color w:val="auto"/>
              </w:rPr>
            </w:pPr>
            <w:r>
              <w:rPr>
                <w:rFonts w:ascii="Arial" w:cs="Arial" w:eastAsia="Arial" w:hAnsi="Arial"/>
                <w:sz w:val="18"/>
                <w:szCs w:val="18"/>
                <w:color w:val="auto"/>
                <w:w w:val="91"/>
              </w:rPr>
              <w:t>Derivative financial instruments used for hedging – payable:</w:t>
            </w:r>
          </w:p>
        </w:tc>
        <w:tc>
          <w:tcPr>
            <w:tcW w:w="2800" w:type="dxa"/>
            <w:vAlign w:val="bottom"/>
            <w:tcBorders>
              <w:bottom w:val="single" w:sz="8" w:color="CCEEFF"/>
            </w:tcBorders>
            <w:gridSpan w:val="2"/>
            <w:shd w:val="clear" w:color="auto" w:fill="CCEEFF"/>
          </w:tcPr>
          <w:p>
            <w:pPr>
              <w:spacing w:after="0"/>
              <w:rPr>
                <w:sz w:val="16"/>
                <w:szCs w:val="16"/>
                <w:color w:val="auto"/>
              </w:rPr>
            </w:pPr>
          </w:p>
        </w:tc>
        <w:tc>
          <w:tcPr>
            <w:tcW w:w="78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76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76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760" w:type="dxa"/>
            <w:vAlign w:val="bottom"/>
            <w:tcBorders>
              <w:bottom w:val="single" w:sz="8" w:color="CCEEFF"/>
            </w:tcBorders>
            <w:shd w:val="clear" w:color="auto" w:fill="CCEEFF"/>
          </w:tcPr>
          <w:p>
            <w:pPr>
              <w:spacing w:after="0"/>
              <w:rPr>
                <w:sz w:val="16"/>
                <w:szCs w:val="16"/>
                <w:color w:val="auto"/>
              </w:rPr>
            </w:pPr>
          </w:p>
        </w:tc>
        <w:tc>
          <w:tcPr>
            <w:tcW w:w="2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r>
      <w:tr>
        <w:trPr>
          <w:trHeight w:val="216"/>
        </w:trPr>
        <w:tc>
          <w:tcPr>
            <w:tcW w:w="160" w:type="dxa"/>
            <w:vAlign w:val="bottom"/>
          </w:tcPr>
          <w:p>
            <w:pPr>
              <w:spacing w:after="0"/>
              <w:rPr>
                <w:sz w:val="18"/>
                <w:szCs w:val="18"/>
                <w:color w:val="auto"/>
              </w:rPr>
            </w:pPr>
          </w:p>
        </w:tc>
        <w:tc>
          <w:tcPr>
            <w:tcW w:w="7160" w:type="dxa"/>
            <w:vAlign w:val="bottom"/>
            <w:gridSpan w:val="7"/>
          </w:tcPr>
          <w:p>
            <w:pPr>
              <w:ind w:left="160"/>
              <w:spacing w:after="0"/>
              <w:rPr>
                <w:sz w:val="20"/>
                <w:szCs w:val="20"/>
                <w:color w:val="auto"/>
              </w:rPr>
            </w:pPr>
            <w:r>
              <w:rPr>
                <w:rFonts w:ascii="Arial" w:cs="Arial" w:eastAsia="Arial" w:hAnsi="Arial"/>
                <w:sz w:val="18"/>
                <w:szCs w:val="18"/>
                <w:color w:val="auto"/>
              </w:rPr>
              <w:t>Interest rate swaps</w:t>
            </w: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jc w:val="right"/>
              <w:ind w:right="120"/>
              <w:spacing w:after="0"/>
              <w:rPr>
                <w:sz w:val="20"/>
                <w:szCs w:val="20"/>
                <w:color w:val="auto"/>
              </w:rPr>
            </w:pPr>
            <w:r>
              <w:rPr>
                <w:rFonts w:ascii="Arial" w:cs="Arial" w:eastAsia="Arial" w:hAnsi="Arial"/>
                <w:sz w:val="18"/>
                <w:szCs w:val="18"/>
                <w:color w:val="auto"/>
              </w:rPr>
              <w:t>3,704</w:t>
            </w:r>
          </w:p>
        </w:tc>
        <w:tc>
          <w:tcPr>
            <w:tcW w:w="10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3,704</w:t>
            </w:r>
          </w:p>
        </w:tc>
        <w:tc>
          <w:tcPr>
            <w:tcW w:w="80" w:type="dxa"/>
            <w:vAlign w:val="bottom"/>
          </w:tcPr>
          <w:p>
            <w:pPr>
              <w:spacing w:after="0"/>
              <w:rPr>
                <w:sz w:val="18"/>
                <w:szCs w:val="18"/>
                <w:color w:val="auto"/>
              </w:rPr>
            </w:pPr>
          </w:p>
        </w:tc>
      </w:tr>
      <w:tr>
        <w:trPr>
          <w:trHeight w:val="216"/>
        </w:trPr>
        <w:tc>
          <w:tcPr>
            <w:tcW w:w="160" w:type="dxa"/>
            <w:vAlign w:val="bottom"/>
          </w:tcPr>
          <w:p>
            <w:pPr>
              <w:spacing w:after="0"/>
              <w:rPr>
                <w:sz w:val="18"/>
                <w:szCs w:val="18"/>
                <w:color w:val="auto"/>
              </w:rPr>
            </w:pPr>
          </w:p>
        </w:tc>
        <w:tc>
          <w:tcPr>
            <w:tcW w:w="7160" w:type="dxa"/>
            <w:vAlign w:val="bottom"/>
            <w:gridSpan w:val="7"/>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46,198</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46,198</w:t>
            </w:r>
          </w:p>
        </w:tc>
        <w:tc>
          <w:tcPr>
            <w:tcW w:w="80" w:type="dxa"/>
            <w:vAlign w:val="bottom"/>
            <w:shd w:val="clear" w:color="auto" w:fill="CCEEFF"/>
          </w:tcPr>
          <w:p>
            <w:pPr>
              <w:spacing w:after="0"/>
              <w:rPr>
                <w:sz w:val="18"/>
                <w:szCs w:val="18"/>
                <w:color w:val="auto"/>
              </w:rPr>
            </w:pPr>
          </w:p>
        </w:tc>
      </w:tr>
      <w:tr>
        <w:trPr>
          <w:trHeight w:val="230"/>
        </w:trPr>
        <w:tc>
          <w:tcPr>
            <w:tcW w:w="160" w:type="dxa"/>
            <w:vAlign w:val="bottom"/>
          </w:tcPr>
          <w:p>
            <w:pPr>
              <w:spacing w:after="0"/>
              <w:rPr>
                <w:sz w:val="19"/>
                <w:szCs w:val="19"/>
                <w:color w:val="auto"/>
              </w:rPr>
            </w:pPr>
          </w:p>
        </w:tc>
        <w:tc>
          <w:tcPr>
            <w:tcW w:w="7160" w:type="dxa"/>
            <w:vAlign w:val="bottom"/>
            <w:gridSpan w:val="7"/>
          </w:tcPr>
          <w:p>
            <w:pPr>
              <w:ind w:left="160"/>
              <w:spacing w:after="0"/>
              <w:rPr>
                <w:sz w:val="20"/>
                <w:szCs w:val="20"/>
                <w:color w:val="auto"/>
              </w:rPr>
            </w:pPr>
            <w:r>
              <w:rPr>
                <w:rFonts w:ascii="Arial" w:cs="Arial" w:eastAsia="Arial" w:hAnsi="Arial"/>
                <w:sz w:val="18"/>
                <w:szCs w:val="18"/>
                <w:color w:val="auto"/>
              </w:rPr>
              <w:t>Foreign exchange forward</w:t>
            </w: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jc w:val="right"/>
              <w:ind w:right="120"/>
              <w:spacing w:after="0"/>
              <w:rPr>
                <w:sz w:val="20"/>
                <w:szCs w:val="20"/>
                <w:color w:val="auto"/>
              </w:rPr>
            </w:pPr>
            <w:r>
              <w:rPr>
                <w:rFonts w:ascii="Arial" w:cs="Arial" w:eastAsia="Arial" w:hAnsi="Arial"/>
                <w:sz w:val="18"/>
                <w:szCs w:val="18"/>
                <w:color w:val="auto"/>
              </w:rPr>
              <w:t>9,784</w:t>
            </w:r>
          </w:p>
        </w:tc>
        <w:tc>
          <w:tcPr>
            <w:tcW w:w="10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9,784</w:t>
            </w:r>
          </w:p>
        </w:tc>
        <w:tc>
          <w:tcPr>
            <w:tcW w:w="80" w:type="dxa"/>
            <w:vAlign w:val="bottom"/>
          </w:tcPr>
          <w:p>
            <w:pPr>
              <w:spacing w:after="0"/>
              <w:rPr>
                <w:sz w:val="19"/>
                <w:szCs w:val="19"/>
                <w:color w:val="auto"/>
              </w:rPr>
            </w:pPr>
          </w:p>
        </w:tc>
      </w:tr>
      <w:tr>
        <w:trPr>
          <w:trHeight w:val="210"/>
        </w:trPr>
        <w:tc>
          <w:tcPr>
            <w:tcW w:w="160" w:type="dxa"/>
            <w:vAlign w:val="bottom"/>
          </w:tcPr>
          <w:p>
            <w:pPr>
              <w:spacing w:after="0"/>
              <w:rPr>
                <w:sz w:val="18"/>
                <w:szCs w:val="18"/>
                <w:color w:val="auto"/>
              </w:rPr>
            </w:pPr>
          </w:p>
        </w:tc>
        <w:tc>
          <w:tcPr>
            <w:tcW w:w="7160" w:type="dxa"/>
            <w:vAlign w:val="bottom"/>
            <w:tcBorders>
              <w:top w:val="single" w:sz="8" w:color="CCEEFF"/>
            </w:tcBorders>
            <w:gridSpan w:val="7"/>
            <w:shd w:val="clear" w:color="auto" w:fill="CCEEFF"/>
          </w:tcPr>
          <w:p>
            <w:pPr>
              <w:ind w:left="160"/>
              <w:spacing w:after="0"/>
              <w:rPr>
                <w:sz w:val="20"/>
                <w:szCs w:val="20"/>
                <w:color w:val="auto"/>
              </w:rPr>
            </w:pPr>
            <w:r>
              <w:rPr>
                <w:rFonts w:ascii="Arial" w:cs="Arial" w:eastAsia="Arial" w:hAnsi="Arial"/>
                <w:sz w:val="18"/>
                <w:szCs w:val="18"/>
                <w:color w:val="auto"/>
              </w:rPr>
              <w:t>Total derivative financial instruments used for hedging – payable</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59,686</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59,686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160" w:type="dxa"/>
            <w:vAlign w:val="bottom"/>
          </w:tcPr>
          <w:p>
            <w:pPr>
              <w:spacing w:after="0"/>
              <w:rPr>
                <w:sz w:val="19"/>
                <w:szCs w:val="19"/>
                <w:color w:val="auto"/>
              </w:rPr>
            </w:pPr>
          </w:p>
        </w:tc>
        <w:tc>
          <w:tcPr>
            <w:tcW w:w="7160" w:type="dxa"/>
            <w:vAlign w:val="bottom"/>
            <w:gridSpan w:val="7"/>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59,710</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59,710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16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344" w:lineRule="exact"/>
        <w:rPr>
          <w:sz w:val="20"/>
          <w:szCs w:val="20"/>
          <w:color w:val="auto"/>
        </w:rPr>
      </w:pPr>
    </w:p>
    <w:p>
      <w:pPr>
        <w:ind w:left="980" w:hanging="324"/>
        <w:spacing w:after="0"/>
        <w:tabs>
          <w:tab w:leader="none" w:pos="980" w:val="left"/>
        </w:tabs>
        <w:numPr>
          <w:ilvl w:val="0"/>
          <w:numId w:val="205"/>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205"/>
        </w:numPr>
        <w:rPr>
          <w:rFonts w:ascii="Arial" w:cs="Arial" w:eastAsia="Arial" w:hAnsi="Arial"/>
          <w:sz w:val="24"/>
          <w:szCs w:val="24"/>
          <w:color w:val="auto"/>
          <w:vertAlign w:val="superscript"/>
        </w:rPr>
      </w:pPr>
      <w:r>
        <w:rPr>
          <w:rFonts w:ascii="Arial" w:cs="Arial" w:eastAsia="Arial" w:hAnsi="Arial"/>
          <w:sz w:val="15"/>
          <w:szCs w:val="15"/>
          <w:color w:val="auto"/>
        </w:rPr>
        <w:t>Level 2: Quoted market prices in an inactive market or internally developed models with significant observable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205"/>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2" w:lineRule="exact"/>
        <w:rPr>
          <w:sz w:val="20"/>
          <w:szCs w:val="20"/>
          <w:color w:val="auto"/>
        </w:rPr>
      </w:pPr>
    </w:p>
    <w:p>
      <w:pPr>
        <w:jc w:val="both"/>
        <w:ind w:left="420"/>
        <w:spacing w:after="0" w:line="286" w:lineRule="auto"/>
        <w:rPr>
          <w:sz w:val="20"/>
          <w:szCs w:val="20"/>
          <w:color w:val="auto"/>
        </w:rPr>
      </w:pPr>
      <w:r>
        <w:rPr>
          <w:rFonts w:ascii="Arial" w:cs="Arial" w:eastAsia="Arial" w:hAnsi="Arial"/>
          <w:sz w:val="17"/>
          <w:szCs w:val="17"/>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166" w:lineRule="exact"/>
        <w:rPr>
          <w:sz w:val="20"/>
          <w:szCs w:val="20"/>
          <w:color w:val="auto"/>
        </w:rPr>
      </w:pPr>
    </w:p>
    <w:p>
      <w:pPr>
        <w:ind w:left="420"/>
        <w:spacing w:after="0"/>
        <w:rPr>
          <w:sz w:val="20"/>
          <w:szCs w:val="20"/>
          <w:color w:val="auto"/>
        </w:rPr>
      </w:pPr>
      <w:r>
        <w:rPr>
          <w:rFonts w:ascii="Arial" w:cs="Arial" w:eastAsia="Arial" w:hAnsi="Arial"/>
          <w:sz w:val="17"/>
          <w:szCs w:val="17"/>
          <w:color w:val="222222"/>
        </w:rPr>
        <w:t>As of December 31, 2017 and 2016, there was no reclassification from one level to another in the fair value hierarchy in financial instruments.</w:t>
      </w:r>
    </w:p>
    <w:p>
      <w:pPr>
        <w:spacing w:after="0" w:line="237" w:lineRule="exact"/>
        <w:rPr>
          <w:sz w:val="20"/>
          <w:szCs w:val="20"/>
          <w:color w:val="auto"/>
        </w:rPr>
      </w:pPr>
    </w:p>
    <w:p>
      <w:pPr>
        <w:jc w:val="both"/>
        <w:ind w:left="420" w:right="20"/>
        <w:spacing w:after="0" w:line="277" w:lineRule="auto"/>
        <w:rPr>
          <w:sz w:val="20"/>
          <w:szCs w:val="20"/>
          <w:color w:val="auto"/>
        </w:rPr>
      </w:pPr>
      <w:r>
        <w:rPr>
          <w:rFonts w:ascii="Arial" w:cs="Arial" w:eastAsia="Arial" w:hAnsi="Arial"/>
          <w:sz w:val="18"/>
          <w:szCs w:val="18"/>
          <w:color w:val="222222"/>
        </w:rPr>
        <w:t>The following methods and assumptions were used by the Bank’s management in estimating the fair values of financial instruments whose fair value is not measured on a recurring basis:</w:t>
      </w:r>
    </w:p>
    <w:p>
      <w:pPr>
        <w:spacing w:after="0" w:line="170" w:lineRule="exact"/>
        <w:rPr>
          <w:sz w:val="20"/>
          <w:szCs w:val="20"/>
          <w:color w:val="auto"/>
        </w:rPr>
      </w:pPr>
    </w:p>
    <w:p>
      <w:pPr>
        <w:ind w:left="420"/>
        <w:spacing w:after="0"/>
        <w:rPr>
          <w:sz w:val="20"/>
          <w:szCs w:val="20"/>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sz w:val="20"/>
          <w:szCs w:val="20"/>
          <w:color w:val="auto"/>
        </w:rPr>
      </w:pPr>
    </w:p>
    <w:p>
      <w:pPr>
        <w:jc w:val="both"/>
        <w:ind w:left="420"/>
        <w:spacing w:after="0" w:line="259" w:lineRule="auto"/>
        <w:rPr>
          <w:sz w:val="20"/>
          <w:szCs w:val="20"/>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206" w:name="page207"/>
    <w:bookmarkEnd w:id="20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18. Fair value of financial instruments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amortized cost</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 2 and 3.</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 at amortized cost</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year. These assets are classified in Level 2.</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Short and long-term borrowings and debt</w:t>
      </w:r>
    </w:p>
    <w:p>
      <w:pPr>
        <w:spacing w:after="0" w:line="225"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fair value of short and long-term borrowings and debt is estimated using discounted cash flow analysis based on the current incremental borrowing rates for similar types of borrowing arrangements, taking into account the changes in the Bank’s credit margin. These liabilities are classified in Level 2.</w:t>
      </w:r>
    </w:p>
    <w:p>
      <w:pPr>
        <w:spacing w:after="0" w:line="12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540" w:type="dxa"/>
            <w:vAlign w:val="bottom"/>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080" w:type="dxa"/>
            <w:vAlign w:val="bottom"/>
            <w:tcBorders>
              <w:bottom w:val="single" w:sz="8" w:color="auto"/>
            </w:tcBorders>
            <w:gridSpan w:val="6"/>
          </w:tcPr>
          <w:p>
            <w:pPr>
              <w:ind w:left="660"/>
              <w:spacing w:after="0"/>
              <w:rPr>
                <w:sz w:val="20"/>
                <w:szCs w:val="20"/>
                <w:color w:val="auto"/>
              </w:rPr>
            </w:pPr>
            <w:r>
              <w:rPr>
                <w:rFonts w:ascii="Arial" w:cs="Arial" w:eastAsia="Arial" w:hAnsi="Arial"/>
                <w:sz w:val="18"/>
                <w:szCs w:val="18"/>
                <w:b w:val="1"/>
                <w:bCs w:val="1"/>
                <w:color w:val="auto"/>
              </w:rPr>
              <w:t>December 31, 2017</w:t>
            </w:r>
          </w:p>
        </w:tc>
        <w:tc>
          <w:tcPr>
            <w:tcW w:w="7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2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4540" w:type="dxa"/>
            <w:vAlign w:val="bottom"/>
          </w:tcPr>
          <w:p>
            <w:pPr>
              <w:spacing w:after="0"/>
              <w:rPr>
                <w:sz w:val="16"/>
                <w:szCs w:val="16"/>
                <w:color w:val="auto"/>
              </w:rPr>
            </w:pPr>
          </w:p>
        </w:tc>
        <w:tc>
          <w:tcPr>
            <w:tcW w:w="106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7"/>
              </w:rPr>
              <w:t>Carrying</w:t>
            </w:r>
          </w:p>
        </w:tc>
        <w:tc>
          <w:tcPr>
            <w:tcW w:w="1040" w:type="dxa"/>
            <w:vAlign w:val="bottom"/>
            <w:gridSpan w:val="2"/>
          </w:tcPr>
          <w:p>
            <w:pPr>
              <w:ind w:left="240"/>
              <w:spacing w:after="0" w:line="191" w:lineRule="exact"/>
              <w:rPr>
                <w:sz w:val="20"/>
                <w:szCs w:val="20"/>
                <w:color w:val="auto"/>
              </w:rPr>
            </w:pPr>
            <w:r>
              <w:rPr>
                <w:rFonts w:ascii="Arial" w:cs="Arial" w:eastAsia="Arial" w:hAnsi="Arial"/>
                <w:sz w:val="18"/>
                <w:szCs w:val="18"/>
                <w:b w:val="1"/>
                <w:bCs w:val="1"/>
                <w:color w:val="auto"/>
              </w:rPr>
              <w:t>Fair</w:t>
            </w:r>
          </w:p>
        </w:tc>
        <w:tc>
          <w:tcPr>
            <w:tcW w:w="980" w:type="dxa"/>
            <w:vAlign w:val="bottom"/>
            <w:gridSpan w:val="2"/>
            <w:vMerge w:val="restart"/>
          </w:tcPr>
          <w:p>
            <w:pPr>
              <w:jc w:val="right"/>
              <w:ind w:right="220"/>
              <w:spacing w:after="0"/>
              <w:rPr>
                <w:sz w:val="20"/>
                <w:szCs w:val="20"/>
                <w:color w:val="auto"/>
              </w:rPr>
            </w:pPr>
            <w:r>
              <w:rPr>
                <w:rFonts w:ascii="Arial" w:cs="Arial" w:eastAsia="Arial" w:hAnsi="Arial"/>
                <w:sz w:val="18"/>
                <w:szCs w:val="18"/>
                <w:b w:val="1"/>
                <w:bCs w:val="1"/>
                <w:color w:val="auto"/>
                <w:w w:val="86"/>
              </w:rPr>
              <w:t>Level 1</w:t>
            </w:r>
            <w:r>
              <w:rPr>
                <w:rFonts w:ascii="Arial" w:cs="Arial" w:eastAsia="Arial" w:hAnsi="Arial"/>
                <w:sz w:val="30"/>
                <w:szCs w:val="30"/>
                <w:b w:val="1"/>
                <w:bCs w:val="1"/>
                <w:color w:val="auto"/>
                <w:w w:val="86"/>
                <w:vertAlign w:val="superscript"/>
              </w:rPr>
              <w:t>(a)</w:t>
            </w:r>
          </w:p>
        </w:tc>
        <w:tc>
          <w:tcPr>
            <w:tcW w:w="1060" w:type="dxa"/>
            <w:vAlign w:val="bottom"/>
            <w:gridSpan w:val="2"/>
            <w:vMerge w:val="restart"/>
          </w:tcPr>
          <w:p>
            <w:pPr>
              <w:ind w:left="60"/>
              <w:spacing w:after="0"/>
              <w:rPr>
                <w:sz w:val="20"/>
                <w:szCs w:val="20"/>
                <w:color w:val="auto"/>
              </w:rPr>
            </w:pPr>
            <w:r>
              <w:rPr>
                <w:rFonts w:ascii="Arial" w:cs="Arial" w:eastAsia="Arial" w:hAnsi="Arial"/>
                <w:sz w:val="18"/>
                <w:szCs w:val="18"/>
                <w:b w:val="1"/>
                <w:bCs w:val="1"/>
                <w:color w:val="auto"/>
              </w:rPr>
              <w:t>Level 2</w:t>
            </w:r>
            <w:r>
              <w:rPr>
                <w:rFonts w:ascii="Arial" w:cs="Arial" w:eastAsia="Arial" w:hAnsi="Arial"/>
                <w:sz w:val="30"/>
                <w:szCs w:val="30"/>
                <w:b w:val="1"/>
                <w:bCs w:val="1"/>
                <w:color w:val="auto"/>
                <w:vertAlign w:val="superscript"/>
              </w:rPr>
              <w:t>(b)</w:t>
            </w:r>
          </w:p>
        </w:tc>
        <w:tc>
          <w:tcPr>
            <w:tcW w:w="86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w w:val="95"/>
              </w:rPr>
              <w:t>Level 3</w:t>
            </w:r>
            <w:r>
              <w:rPr>
                <w:rFonts w:ascii="Arial" w:cs="Arial" w:eastAsia="Arial" w:hAnsi="Arial"/>
                <w:sz w:val="30"/>
                <w:szCs w:val="30"/>
                <w:b w:val="1"/>
                <w:bCs w:val="1"/>
                <w:color w:val="auto"/>
                <w:w w:val="95"/>
                <w:vertAlign w:val="superscript"/>
              </w:rPr>
              <w:t>(c)</w:t>
            </w:r>
          </w:p>
        </w:tc>
        <w:tc>
          <w:tcPr>
            <w:tcW w:w="0" w:type="dxa"/>
            <w:vAlign w:val="bottom"/>
          </w:tcPr>
          <w:p>
            <w:pPr>
              <w:spacing w:after="0"/>
              <w:rPr>
                <w:sz w:val="1"/>
                <w:szCs w:val="1"/>
                <w:color w:val="auto"/>
              </w:rPr>
            </w:pPr>
          </w:p>
        </w:tc>
      </w:t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540" w:type="dxa"/>
            <w:vAlign w:val="bottom"/>
          </w:tcPr>
          <w:p>
            <w:pPr>
              <w:spacing w:after="0"/>
              <w:rPr>
                <w:sz w:val="20"/>
                <w:szCs w:val="20"/>
                <w:color w:val="auto"/>
              </w:rPr>
            </w:pPr>
          </w:p>
        </w:tc>
        <w:tc>
          <w:tcPr>
            <w:tcW w:w="10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value</w:t>
            </w:r>
          </w:p>
        </w:tc>
        <w:tc>
          <w:tcPr>
            <w:tcW w:w="1040" w:type="dxa"/>
            <w:vAlign w:val="bottom"/>
            <w:gridSpan w:val="2"/>
          </w:tcPr>
          <w:p>
            <w:pPr>
              <w:ind w:left="240"/>
              <w:spacing w:after="0"/>
              <w:rPr>
                <w:sz w:val="20"/>
                <w:szCs w:val="20"/>
                <w:color w:val="auto"/>
              </w:rPr>
            </w:pPr>
            <w:r>
              <w:rPr>
                <w:rFonts w:ascii="Arial" w:cs="Arial" w:eastAsia="Arial" w:hAnsi="Arial"/>
                <w:sz w:val="18"/>
                <w:szCs w:val="18"/>
                <w:b w:val="1"/>
                <w:bCs w:val="1"/>
                <w:color w:val="auto"/>
              </w:rPr>
              <w:t>value</w:t>
            </w:r>
          </w:p>
        </w:tc>
        <w:tc>
          <w:tcPr>
            <w:tcW w:w="980" w:type="dxa"/>
            <w:vAlign w:val="bottom"/>
            <w:gridSpan w:val="2"/>
            <w:vMerge w:val="continue"/>
          </w:tcPr>
          <w:p>
            <w:pPr>
              <w:spacing w:after="0"/>
              <w:rPr>
                <w:sz w:val="20"/>
                <w:szCs w:val="20"/>
                <w:color w:val="auto"/>
              </w:rPr>
            </w:pPr>
          </w:p>
        </w:tc>
        <w:tc>
          <w:tcPr>
            <w:tcW w:w="1060" w:type="dxa"/>
            <w:vAlign w:val="bottom"/>
            <w:gridSpan w:val="2"/>
            <w:vMerge w:val="continue"/>
          </w:tcPr>
          <w:p>
            <w:pPr>
              <w:spacing w:after="0"/>
              <w:rPr>
                <w:sz w:val="20"/>
                <w:szCs w:val="20"/>
                <w:color w:val="auto"/>
              </w:rPr>
            </w:pPr>
          </w:p>
        </w:tc>
        <w:tc>
          <w:tcPr>
            <w:tcW w:w="86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20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4"/>
              </w:rPr>
              <w:t>Financial assets</w:t>
            </w:r>
          </w:p>
        </w:tc>
        <w:tc>
          <w:tcPr>
            <w:tcW w:w="48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8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8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76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8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7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6000" w:type="dxa"/>
            <w:vAlign w:val="bottom"/>
            <w:gridSpan w:val="3"/>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0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Cash and deposits on banks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672,048</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672,048</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672,048</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tcPr>
          <w:p>
            <w:pPr>
              <w:ind w:left="160"/>
              <w:spacing w:after="0"/>
              <w:rPr>
                <w:sz w:val="20"/>
                <w:szCs w:val="20"/>
                <w:color w:val="auto"/>
              </w:rPr>
            </w:pPr>
            <w:r>
              <w:rPr>
                <w:rFonts w:ascii="Arial" w:cs="Arial" w:eastAsia="Arial" w:hAnsi="Arial"/>
                <w:sz w:val="18"/>
                <w:szCs w:val="18"/>
                <w:color w:val="auto"/>
              </w:rPr>
              <w:t>Acceptances</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6,369</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6,369</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6,369</w:t>
            </w:r>
          </w:p>
        </w:tc>
        <w:tc>
          <w:tcPr>
            <w:tcW w:w="8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Interest receivable</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30,872</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30,872</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30,872</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600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(2)</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68,934</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69,006</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50,581</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8,447</w:t>
            </w:r>
          </w:p>
        </w:tc>
        <w:tc>
          <w:tcPr>
            <w:tcW w:w="860" w:type="dxa"/>
            <w:vAlign w:val="bottom"/>
            <w:gridSpan w:val="2"/>
          </w:tcPr>
          <w:p>
            <w:pPr>
              <w:jc w:val="right"/>
              <w:ind w:right="100"/>
              <w:spacing w:after="0"/>
              <w:rPr>
                <w:sz w:val="20"/>
                <w:szCs w:val="20"/>
                <w:color w:val="auto"/>
              </w:rPr>
            </w:pPr>
            <w:r>
              <w:rPr>
                <w:rFonts w:ascii="Arial" w:cs="Arial" w:eastAsia="Arial" w:hAnsi="Arial"/>
                <w:sz w:val="18"/>
                <w:szCs w:val="18"/>
                <w:color w:val="auto"/>
              </w:rPr>
              <w:t>9,978</w:t>
            </w:r>
          </w:p>
        </w:tc>
        <w:tc>
          <w:tcPr>
            <w:tcW w:w="0" w:type="dxa"/>
            <w:vAlign w:val="bottom"/>
          </w:tcPr>
          <w:p>
            <w:pPr>
              <w:spacing w:after="0"/>
              <w:rPr>
                <w:sz w:val="1"/>
                <w:szCs w:val="1"/>
                <w:color w:val="auto"/>
              </w:rPr>
            </w:pPr>
          </w:p>
        </w:tc>
      </w:tr>
      <w:tr>
        <w:trPr>
          <w:trHeight w:val="257"/>
        </w:trPr>
        <w:tc>
          <w:tcPr>
            <w:tcW w:w="600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(1)</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5,419,379</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5,520,604</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5,520,604</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5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46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89"/>
              </w:rPr>
              <w:t>Financial liabilities</w:t>
            </w:r>
          </w:p>
        </w:tc>
        <w:tc>
          <w:tcPr>
            <w:tcW w:w="454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000" w:type="dxa"/>
            <w:vAlign w:val="bottom"/>
            <w:gridSpan w:val="3"/>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0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Deposits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2,928,844</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2,928,844</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2,928,844</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tcPr>
          <w:p>
            <w:pPr>
              <w:ind w:left="160"/>
              <w:spacing w:after="0"/>
              <w:rPr>
                <w:sz w:val="20"/>
                <w:szCs w:val="20"/>
                <w:color w:val="auto"/>
              </w:rPr>
            </w:pPr>
            <w:r>
              <w:rPr>
                <w:rFonts w:ascii="Arial" w:cs="Arial" w:eastAsia="Arial" w:hAnsi="Arial"/>
                <w:sz w:val="18"/>
                <w:szCs w:val="18"/>
                <w:color w:val="auto"/>
              </w:rPr>
              <w:t>Acceptances</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6,369</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6.369</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6,369</w:t>
            </w:r>
          </w:p>
        </w:tc>
        <w:tc>
          <w:tcPr>
            <w:tcW w:w="8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Interest payable</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15,816</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15,816</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15,816</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1,072,723</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1,072,483</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1,072,483</w:t>
            </w:r>
          </w:p>
        </w:tc>
        <w:tc>
          <w:tcPr>
            <w:tcW w:w="8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1,138,844</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1,158,534</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1,158,534</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206"/>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206"/>
        </w:numPr>
        <w:rPr>
          <w:rFonts w:ascii="Arial" w:cs="Arial" w:eastAsia="Arial" w:hAnsi="Arial"/>
          <w:sz w:val="24"/>
          <w:szCs w:val="24"/>
          <w:color w:val="auto"/>
          <w:vertAlign w:val="superscript"/>
        </w:rPr>
      </w:pPr>
      <w:r>
        <w:rPr>
          <w:rFonts w:ascii="Arial" w:cs="Arial" w:eastAsia="Arial" w:hAnsi="Arial"/>
          <w:sz w:val="15"/>
          <w:szCs w:val="15"/>
          <w:color w:val="auto"/>
        </w:rPr>
        <w:t>Level 2: Quoted market prices in an inactive market or internally developed models with significant observable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206"/>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1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4" w:right="239" w:bottom="1440" w:gutter="0" w:footer="0" w:header="0"/>
        </w:sectPr>
      </w:pPr>
    </w:p>
    <w:bookmarkStart w:id="207" w:name="page208"/>
    <w:bookmarkEnd w:id="20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18. Fair value of financial instruments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540" w:type="dxa"/>
            <w:vAlign w:val="bottom"/>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080" w:type="dxa"/>
            <w:vAlign w:val="bottom"/>
            <w:tcBorders>
              <w:bottom w:val="single" w:sz="8" w:color="auto"/>
            </w:tcBorders>
            <w:gridSpan w:val="6"/>
          </w:tcPr>
          <w:p>
            <w:pPr>
              <w:ind w:left="660"/>
              <w:spacing w:after="0"/>
              <w:rPr>
                <w:sz w:val="20"/>
                <w:szCs w:val="20"/>
                <w:color w:val="auto"/>
              </w:rPr>
            </w:pPr>
            <w:r>
              <w:rPr>
                <w:rFonts w:ascii="Arial" w:cs="Arial" w:eastAsia="Arial" w:hAnsi="Arial"/>
                <w:sz w:val="18"/>
                <w:szCs w:val="18"/>
                <w:b w:val="1"/>
                <w:bCs w:val="1"/>
                <w:color w:val="auto"/>
              </w:rPr>
              <w:t>December 31, 2016</w:t>
            </w:r>
          </w:p>
        </w:tc>
        <w:tc>
          <w:tcPr>
            <w:tcW w:w="7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2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4540" w:type="dxa"/>
            <w:vAlign w:val="bottom"/>
          </w:tcPr>
          <w:p>
            <w:pPr>
              <w:spacing w:after="0"/>
              <w:rPr>
                <w:sz w:val="16"/>
                <w:szCs w:val="16"/>
                <w:color w:val="auto"/>
              </w:rPr>
            </w:pPr>
          </w:p>
        </w:tc>
        <w:tc>
          <w:tcPr>
            <w:tcW w:w="1060" w:type="dxa"/>
            <w:vAlign w:val="bottom"/>
            <w:gridSpan w:val="2"/>
          </w:tcPr>
          <w:p>
            <w:pPr>
              <w:ind w:left="40"/>
              <w:spacing w:after="0" w:line="191" w:lineRule="exact"/>
              <w:rPr>
                <w:sz w:val="20"/>
                <w:szCs w:val="20"/>
                <w:color w:val="auto"/>
              </w:rPr>
            </w:pPr>
            <w:r>
              <w:rPr>
                <w:rFonts w:ascii="Arial" w:cs="Arial" w:eastAsia="Arial" w:hAnsi="Arial"/>
                <w:sz w:val="18"/>
                <w:szCs w:val="18"/>
                <w:b w:val="1"/>
                <w:bCs w:val="1"/>
                <w:color w:val="auto"/>
              </w:rPr>
              <w:t>Carrying</w:t>
            </w:r>
          </w:p>
        </w:tc>
        <w:tc>
          <w:tcPr>
            <w:tcW w:w="1040" w:type="dxa"/>
            <w:vAlign w:val="bottom"/>
            <w:gridSpan w:val="2"/>
          </w:tcPr>
          <w:p>
            <w:pPr>
              <w:ind w:left="240"/>
              <w:spacing w:after="0" w:line="191" w:lineRule="exact"/>
              <w:rPr>
                <w:sz w:val="20"/>
                <w:szCs w:val="20"/>
                <w:color w:val="auto"/>
              </w:rPr>
            </w:pPr>
            <w:r>
              <w:rPr>
                <w:rFonts w:ascii="Arial" w:cs="Arial" w:eastAsia="Arial" w:hAnsi="Arial"/>
                <w:sz w:val="18"/>
                <w:szCs w:val="18"/>
                <w:b w:val="1"/>
                <w:bCs w:val="1"/>
                <w:color w:val="auto"/>
              </w:rPr>
              <w:t>Fair</w:t>
            </w:r>
          </w:p>
        </w:tc>
        <w:tc>
          <w:tcPr>
            <w:tcW w:w="980" w:type="dxa"/>
            <w:vAlign w:val="bottom"/>
            <w:gridSpan w:val="2"/>
            <w:vMerge w:val="restart"/>
          </w:tcPr>
          <w:p>
            <w:pPr>
              <w:jc w:val="right"/>
              <w:ind w:right="220"/>
              <w:spacing w:after="0"/>
              <w:rPr>
                <w:sz w:val="20"/>
                <w:szCs w:val="20"/>
                <w:color w:val="auto"/>
              </w:rPr>
            </w:pPr>
            <w:r>
              <w:rPr>
                <w:rFonts w:ascii="Arial" w:cs="Arial" w:eastAsia="Arial" w:hAnsi="Arial"/>
                <w:sz w:val="18"/>
                <w:szCs w:val="18"/>
                <w:b w:val="1"/>
                <w:bCs w:val="1"/>
                <w:color w:val="auto"/>
                <w:w w:val="86"/>
              </w:rPr>
              <w:t>Level 1</w:t>
            </w:r>
            <w:r>
              <w:rPr>
                <w:rFonts w:ascii="Arial" w:cs="Arial" w:eastAsia="Arial" w:hAnsi="Arial"/>
                <w:sz w:val="30"/>
                <w:szCs w:val="30"/>
                <w:b w:val="1"/>
                <w:bCs w:val="1"/>
                <w:color w:val="auto"/>
                <w:w w:val="86"/>
                <w:vertAlign w:val="superscript"/>
              </w:rPr>
              <w:t>(a)</w:t>
            </w:r>
          </w:p>
        </w:tc>
        <w:tc>
          <w:tcPr>
            <w:tcW w:w="1060" w:type="dxa"/>
            <w:vAlign w:val="bottom"/>
            <w:gridSpan w:val="2"/>
            <w:vMerge w:val="restart"/>
          </w:tcPr>
          <w:p>
            <w:pPr>
              <w:ind w:left="60"/>
              <w:spacing w:after="0"/>
              <w:rPr>
                <w:sz w:val="20"/>
                <w:szCs w:val="20"/>
                <w:color w:val="auto"/>
              </w:rPr>
            </w:pPr>
            <w:r>
              <w:rPr>
                <w:rFonts w:ascii="Arial" w:cs="Arial" w:eastAsia="Arial" w:hAnsi="Arial"/>
                <w:sz w:val="18"/>
                <w:szCs w:val="18"/>
                <w:b w:val="1"/>
                <w:bCs w:val="1"/>
                <w:color w:val="auto"/>
              </w:rPr>
              <w:t>Level 2</w:t>
            </w:r>
            <w:r>
              <w:rPr>
                <w:rFonts w:ascii="Arial" w:cs="Arial" w:eastAsia="Arial" w:hAnsi="Arial"/>
                <w:sz w:val="30"/>
                <w:szCs w:val="30"/>
                <w:b w:val="1"/>
                <w:bCs w:val="1"/>
                <w:color w:val="auto"/>
                <w:vertAlign w:val="superscript"/>
              </w:rPr>
              <w:t>(b)</w:t>
            </w:r>
          </w:p>
        </w:tc>
        <w:tc>
          <w:tcPr>
            <w:tcW w:w="860" w:type="dxa"/>
            <w:vAlign w:val="bottom"/>
            <w:gridSpan w:val="2"/>
            <w:vMerge w:val="restart"/>
          </w:tcPr>
          <w:p>
            <w:pPr>
              <w:ind w:left="20"/>
              <w:spacing w:after="0"/>
              <w:rPr>
                <w:sz w:val="20"/>
                <w:szCs w:val="20"/>
                <w:color w:val="auto"/>
              </w:rPr>
            </w:pPr>
            <w:r>
              <w:rPr>
                <w:rFonts w:ascii="Arial" w:cs="Arial" w:eastAsia="Arial" w:hAnsi="Arial"/>
                <w:sz w:val="18"/>
                <w:szCs w:val="18"/>
                <w:b w:val="1"/>
                <w:bCs w:val="1"/>
                <w:color w:val="auto"/>
                <w:w w:val="95"/>
              </w:rPr>
              <w:t>Level 3</w:t>
            </w:r>
            <w:r>
              <w:rPr>
                <w:rFonts w:ascii="Arial" w:cs="Arial" w:eastAsia="Arial" w:hAnsi="Arial"/>
                <w:sz w:val="30"/>
                <w:szCs w:val="30"/>
                <w:b w:val="1"/>
                <w:bCs w:val="1"/>
                <w:color w:val="auto"/>
                <w:w w:val="95"/>
                <w:vertAlign w:val="superscript"/>
              </w:rPr>
              <w:t>(c)</w:t>
            </w:r>
          </w:p>
        </w:tc>
        <w:tc>
          <w:tcPr>
            <w:tcW w:w="0" w:type="dxa"/>
            <w:vAlign w:val="bottom"/>
          </w:tcPr>
          <w:p>
            <w:pPr>
              <w:spacing w:after="0"/>
              <w:rPr>
                <w:sz w:val="1"/>
                <w:szCs w:val="1"/>
                <w:color w:val="auto"/>
              </w:rPr>
            </w:pPr>
          </w:p>
        </w:tc>
      </w:t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540" w:type="dxa"/>
            <w:vAlign w:val="bottom"/>
          </w:tcPr>
          <w:p>
            <w:pPr>
              <w:spacing w:after="0"/>
              <w:rPr>
                <w:sz w:val="20"/>
                <w:szCs w:val="20"/>
                <w:color w:val="auto"/>
              </w:rPr>
            </w:pPr>
          </w:p>
        </w:tc>
        <w:tc>
          <w:tcPr>
            <w:tcW w:w="1060" w:type="dxa"/>
            <w:vAlign w:val="bottom"/>
            <w:gridSpan w:val="2"/>
          </w:tcPr>
          <w:p>
            <w:pPr>
              <w:ind w:left="220"/>
              <w:spacing w:after="0"/>
              <w:rPr>
                <w:sz w:val="20"/>
                <w:szCs w:val="20"/>
                <w:color w:val="auto"/>
              </w:rPr>
            </w:pPr>
            <w:r>
              <w:rPr>
                <w:rFonts w:ascii="Arial" w:cs="Arial" w:eastAsia="Arial" w:hAnsi="Arial"/>
                <w:sz w:val="18"/>
                <w:szCs w:val="18"/>
                <w:b w:val="1"/>
                <w:bCs w:val="1"/>
                <w:color w:val="auto"/>
              </w:rPr>
              <w:t>value</w:t>
            </w:r>
          </w:p>
        </w:tc>
        <w:tc>
          <w:tcPr>
            <w:tcW w:w="1040" w:type="dxa"/>
            <w:vAlign w:val="bottom"/>
            <w:gridSpan w:val="2"/>
          </w:tcPr>
          <w:p>
            <w:pPr>
              <w:ind w:left="240"/>
              <w:spacing w:after="0"/>
              <w:rPr>
                <w:sz w:val="20"/>
                <w:szCs w:val="20"/>
                <w:color w:val="auto"/>
              </w:rPr>
            </w:pPr>
            <w:r>
              <w:rPr>
                <w:rFonts w:ascii="Arial" w:cs="Arial" w:eastAsia="Arial" w:hAnsi="Arial"/>
                <w:sz w:val="18"/>
                <w:szCs w:val="18"/>
                <w:b w:val="1"/>
                <w:bCs w:val="1"/>
                <w:color w:val="auto"/>
              </w:rPr>
              <w:t>value</w:t>
            </w:r>
          </w:p>
        </w:tc>
        <w:tc>
          <w:tcPr>
            <w:tcW w:w="980" w:type="dxa"/>
            <w:vAlign w:val="bottom"/>
            <w:gridSpan w:val="2"/>
            <w:vMerge w:val="continue"/>
          </w:tcPr>
          <w:p>
            <w:pPr>
              <w:spacing w:after="0"/>
              <w:rPr>
                <w:sz w:val="20"/>
                <w:szCs w:val="20"/>
                <w:color w:val="auto"/>
              </w:rPr>
            </w:pPr>
          </w:p>
        </w:tc>
        <w:tc>
          <w:tcPr>
            <w:tcW w:w="1060" w:type="dxa"/>
            <w:vAlign w:val="bottom"/>
            <w:gridSpan w:val="2"/>
            <w:vMerge w:val="continue"/>
          </w:tcPr>
          <w:p>
            <w:pPr>
              <w:spacing w:after="0"/>
              <w:rPr>
                <w:sz w:val="20"/>
                <w:szCs w:val="20"/>
                <w:color w:val="auto"/>
              </w:rPr>
            </w:pPr>
          </w:p>
        </w:tc>
        <w:tc>
          <w:tcPr>
            <w:tcW w:w="86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20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4"/>
              </w:rPr>
              <w:t>Financial assets</w:t>
            </w:r>
          </w:p>
        </w:tc>
        <w:tc>
          <w:tcPr>
            <w:tcW w:w="48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8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8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76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8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7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6000" w:type="dxa"/>
            <w:vAlign w:val="bottom"/>
            <w:gridSpan w:val="3"/>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0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Cash and deposits on banks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1,069,538</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1,069,538</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1,069,538</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tcPr>
          <w:p>
            <w:pPr>
              <w:ind w:left="160"/>
              <w:spacing w:after="0"/>
              <w:rPr>
                <w:sz w:val="20"/>
                <w:szCs w:val="20"/>
                <w:color w:val="auto"/>
              </w:rPr>
            </w:pPr>
            <w:r>
              <w:rPr>
                <w:rFonts w:ascii="Arial" w:cs="Arial" w:eastAsia="Arial" w:hAnsi="Arial"/>
                <w:sz w:val="18"/>
                <w:szCs w:val="18"/>
                <w:color w:val="auto"/>
              </w:rPr>
              <w:t>Acceptances</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19,387</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8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Interest receivable</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44,187</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44,187</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44,187</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600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(2)</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77,214</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76,406</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73,406</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3,000</w:t>
            </w:r>
          </w:p>
        </w:tc>
        <w:tc>
          <w:tcPr>
            <w:tcW w:w="8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600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Loans , net </w:t>
            </w:r>
            <w:r>
              <w:rPr>
                <w:rFonts w:ascii="Arial" w:cs="Arial" w:eastAsia="Arial" w:hAnsi="Arial"/>
                <w:sz w:val="29"/>
                <w:szCs w:val="29"/>
                <w:color w:val="auto"/>
                <w:vertAlign w:val="superscript"/>
              </w:rPr>
              <w:t>(1)</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5,907,494</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6,021,006</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6,021,006</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5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46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89"/>
              </w:rPr>
              <w:t>Financial liabilities</w:t>
            </w:r>
          </w:p>
        </w:tc>
        <w:tc>
          <w:tcPr>
            <w:tcW w:w="454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000" w:type="dxa"/>
            <w:vAlign w:val="bottom"/>
            <w:gridSpan w:val="3"/>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0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Deposits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2,802,852</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2,802,852</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2,802,852</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tcPr>
          <w:p>
            <w:pPr>
              <w:ind w:left="160"/>
              <w:spacing w:after="0"/>
              <w:rPr>
                <w:sz w:val="20"/>
                <w:szCs w:val="20"/>
                <w:color w:val="auto"/>
              </w:rPr>
            </w:pPr>
            <w:r>
              <w:rPr>
                <w:rFonts w:ascii="Arial" w:cs="Arial" w:eastAsia="Arial" w:hAnsi="Arial"/>
                <w:sz w:val="18"/>
                <w:szCs w:val="18"/>
                <w:color w:val="auto"/>
              </w:rPr>
              <w:t>Acceptances</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19,387</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8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Interest payable</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16,603</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16,603</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16,603</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1,470,075</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1,470,045</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1,470,045</w:t>
            </w:r>
          </w:p>
        </w:tc>
        <w:tc>
          <w:tcPr>
            <w:tcW w:w="8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0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1,776,738</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1,808,228</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1,808,228</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bl>
    <w:p>
      <w:pPr>
        <w:spacing w:after="0" w:line="74" w:lineRule="exact"/>
        <w:rPr>
          <w:sz w:val="20"/>
          <w:szCs w:val="20"/>
          <w:color w:val="auto"/>
        </w:rPr>
      </w:pPr>
    </w:p>
    <w:p>
      <w:pPr>
        <w:ind w:left="980" w:hanging="324"/>
        <w:spacing w:after="0"/>
        <w:tabs>
          <w:tab w:leader="none" w:pos="980" w:val="left"/>
        </w:tabs>
        <w:numPr>
          <w:ilvl w:val="0"/>
          <w:numId w:val="207"/>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207"/>
        </w:numPr>
        <w:rPr>
          <w:rFonts w:ascii="Arial" w:cs="Arial" w:eastAsia="Arial" w:hAnsi="Arial"/>
          <w:sz w:val="24"/>
          <w:szCs w:val="24"/>
          <w:color w:val="auto"/>
          <w:vertAlign w:val="superscript"/>
        </w:rPr>
      </w:pPr>
      <w:r>
        <w:rPr>
          <w:rFonts w:ascii="Arial" w:cs="Arial" w:eastAsia="Arial" w:hAnsi="Arial"/>
          <w:sz w:val="15"/>
          <w:szCs w:val="15"/>
          <w:color w:val="auto"/>
        </w:rPr>
        <w:t>Level 2: Quoted market prices in an inactive market or internally developed models with significant observable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207"/>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2" w:lineRule="exact"/>
        <w:rPr>
          <w:sz w:val="20"/>
          <w:szCs w:val="20"/>
          <w:color w:val="auto"/>
        </w:rPr>
      </w:pPr>
    </w:p>
    <w:p>
      <w:pPr>
        <w:jc w:val="both"/>
        <w:ind w:left="840" w:hanging="175"/>
        <w:spacing w:after="0" w:line="209" w:lineRule="auto"/>
        <w:rPr>
          <w:sz w:val="20"/>
          <w:szCs w:val="20"/>
          <w:color w:val="auto"/>
        </w:rPr>
      </w:pPr>
      <w:r>
        <w:rPr>
          <w:rFonts w:ascii="Arial" w:cs="Arial" w:eastAsia="Arial" w:hAnsi="Arial"/>
          <w:sz w:val="30"/>
          <w:szCs w:val="30"/>
          <w:b w:val="1"/>
          <w:bCs w:val="1"/>
          <w:color w:val="auto"/>
          <w:vertAlign w:val="superscript"/>
        </w:rPr>
        <w:t>(1)</w:t>
      </w:r>
      <w:r>
        <w:rPr>
          <w:rFonts w:ascii="Arial" w:cs="Arial" w:eastAsia="Arial" w:hAnsi="Arial"/>
          <w:sz w:val="18"/>
          <w:szCs w:val="18"/>
          <w:color w:val="auto"/>
        </w:rPr>
        <w:t>The carrying value of loans at amortized cost is net of the allowance for expected credit losses of $81.3 million and unearned interest and deferred fees of $5.0 million for December 31, 2017; allowance for expected credit losses of $106.0 million and unearned interest and deferred fees of $7.2 million for December 31, 2016.</w:t>
      </w:r>
    </w:p>
    <w:p>
      <w:pPr>
        <w:spacing w:after="0" w:line="203" w:lineRule="exact"/>
        <w:rPr>
          <w:sz w:val="20"/>
          <w:szCs w:val="20"/>
          <w:color w:val="auto"/>
        </w:rPr>
      </w:pPr>
    </w:p>
    <w:p>
      <w:pPr>
        <w:jc w:val="both"/>
        <w:ind w:left="840" w:hanging="175"/>
        <w:spacing w:after="0" w:line="194" w:lineRule="auto"/>
        <w:rPr>
          <w:sz w:val="20"/>
          <w:szCs w:val="20"/>
          <w:color w:val="auto"/>
        </w:rPr>
      </w:pPr>
      <w:r>
        <w:rPr>
          <w:rFonts w:ascii="Arial" w:cs="Arial" w:eastAsia="Arial" w:hAnsi="Arial"/>
          <w:sz w:val="30"/>
          <w:szCs w:val="30"/>
          <w:b w:val="1"/>
          <w:bCs w:val="1"/>
          <w:color w:val="auto"/>
          <w:vertAlign w:val="superscript"/>
        </w:rPr>
        <w:t>(2)</w:t>
      </w:r>
      <w:r>
        <w:rPr>
          <w:rFonts w:ascii="Arial" w:cs="Arial" w:eastAsia="Arial" w:hAnsi="Arial"/>
          <w:sz w:val="18"/>
          <w:szCs w:val="18"/>
          <w:color w:val="auto"/>
        </w:rPr>
        <w:t>The carrying value of securities at amortized cost is net of the allowance for expected credit losses of $0.2 million for December 31, 2017 and $0.6 million for December 31, 2016.</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75" w:right="239" w:bottom="1440" w:gutter="0" w:footer="0" w:header="0"/>
        </w:sectPr>
      </w:pPr>
    </w:p>
    <w:bookmarkStart w:id="208" w:name="page209"/>
    <w:bookmarkEnd w:id="20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160"/>
        <w:spacing w:after="0"/>
        <w:rPr>
          <w:sz w:val="20"/>
          <w:szCs w:val="20"/>
          <w:color w:val="auto"/>
        </w:rPr>
      </w:pPr>
      <w:r>
        <w:rPr>
          <w:rFonts w:ascii="Arial" w:cs="Arial" w:eastAsia="Arial" w:hAnsi="Arial"/>
          <w:sz w:val="18"/>
          <w:szCs w:val="18"/>
          <w:b w:val="1"/>
          <w:bCs w:val="1"/>
          <w:color w:val="auto"/>
        </w:rPr>
        <w:t>19. Accumulated other comprehensive income (loss)</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breakdown of accumulated other comprehensive income (loss) related to financial instruments at FVOCI, derivative financial instruments, and foreign currency translation is as follows:</w:t>
      </w:r>
    </w:p>
    <w:p>
      <w:pPr>
        <w:sectPr>
          <w:pgSz w:w="11900" w:h="16838" w:orient="portrait"/>
          <w:cols w:equalWidth="0" w:num="1">
            <w:col w:w="11420"/>
          </w:cols>
          <w:pgMar w:left="240" w:top="689"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as of January 1, 2015</w:t>
      </w:r>
    </w:p>
    <w:p>
      <w:pPr>
        <w:spacing w:after="0" w:line="4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Net unrealized gain (loss) arising from the year</w:t>
      </w:r>
    </w:p>
    <w:p>
      <w:pPr>
        <w:spacing w:after="0" w:line="23" w:lineRule="exact"/>
        <w:rPr>
          <w:sz w:val="20"/>
          <w:szCs w:val="20"/>
          <w:color w:val="auto"/>
        </w:rPr>
      </w:pPr>
    </w:p>
    <w:p>
      <w:pPr>
        <w:ind w:left="340" w:right="120"/>
        <w:spacing w:after="0" w:line="206" w:lineRule="auto"/>
        <w:rPr>
          <w:sz w:val="20"/>
          <w:szCs w:val="20"/>
          <w:color w:val="auto"/>
        </w:rPr>
      </w:pPr>
      <w:r>
        <w:rPr>
          <w:rFonts w:ascii="Arial" w:cs="Arial" w:eastAsia="Arial" w:hAnsi="Arial"/>
          <w:sz w:val="18"/>
          <w:szCs w:val="18"/>
          <w:color w:val="auto"/>
        </w:rPr>
        <w:t xml:space="preserve">Reclassification adjustment for (gains) loss included in the profit of the year </w:t>
      </w:r>
      <w:r>
        <w:rPr>
          <w:rFonts w:ascii="Arial" w:cs="Arial" w:eastAsia="Arial" w:hAnsi="Arial"/>
          <w:sz w:val="30"/>
          <w:szCs w:val="30"/>
          <w:color w:val="auto"/>
          <w:vertAlign w:val="superscript"/>
        </w:rPr>
        <w:t>(1)</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Other comprehensive income (loss) from the year</w:t>
      </w:r>
    </w:p>
    <w:p>
      <w:pPr>
        <w:spacing w:after="0" w:line="2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as of December 31, 2015</w:t>
      </w:r>
    </w:p>
    <w:p>
      <w:pPr>
        <w:spacing w:after="0" w:line="29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as of January 1, 2016</w:t>
      </w:r>
    </w:p>
    <w:p>
      <w:pPr>
        <w:spacing w:after="0" w:line="4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Net unrealized gain (loss) arising from the year</w:t>
      </w:r>
    </w:p>
    <w:p>
      <w:pPr>
        <w:spacing w:after="0" w:line="23" w:lineRule="exact"/>
        <w:rPr>
          <w:sz w:val="20"/>
          <w:szCs w:val="20"/>
          <w:color w:val="auto"/>
        </w:rPr>
      </w:pPr>
    </w:p>
    <w:p>
      <w:pPr>
        <w:ind w:left="340" w:right="120"/>
        <w:spacing w:after="0" w:line="206" w:lineRule="auto"/>
        <w:rPr>
          <w:sz w:val="20"/>
          <w:szCs w:val="20"/>
          <w:color w:val="auto"/>
        </w:rPr>
      </w:pPr>
      <w:r>
        <w:rPr>
          <w:rFonts w:ascii="Arial" w:cs="Arial" w:eastAsia="Arial" w:hAnsi="Arial"/>
          <w:sz w:val="18"/>
          <w:szCs w:val="18"/>
          <w:color w:val="auto"/>
        </w:rPr>
        <w:t xml:space="preserve">Reclassification adjustment for (gains) loss included in the profit of the year </w:t>
      </w:r>
      <w:r>
        <w:rPr>
          <w:rFonts w:ascii="Arial" w:cs="Arial" w:eastAsia="Arial" w:hAnsi="Arial"/>
          <w:sz w:val="30"/>
          <w:szCs w:val="30"/>
          <w:color w:val="auto"/>
          <w:vertAlign w:val="superscript"/>
        </w:rPr>
        <w:t>(1)</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Other comprehensive income (loss) from the year</w:t>
      </w:r>
    </w:p>
    <w:p>
      <w:pPr>
        <w:spacing w:after="0" w:line="7" w:lineRule="exact"/>
        <w:rPr>
          <w:sz w:val="20"/>
          <w:szCs w:val="20"/>
          <w:color w:val="auto"/>
        </w:rPr>
      </w:pPr>
    </w:p>
    <w:p>
      <w:pPr>
        <w:ind w:left="400"/>
        <w:spacing w:after="0"/>
        <w:rPr>
          <w:sz w:val="20"/>
          <w:szCs w:val="20"/>
          <w:color w:val="auto"/>
        </w:rPr>
      </w:pPr>
      <w:r>
        <w:rPr>
          <w:rFonts w:ascii="Arial" w:cs="Arial" w:eastAsia="Arial" w:hAnsi="Arial"/>
          <w:sz w:val="18"/>
          <w:szCs w:val="18"/>
          <w:b w:val="1"/>
          <w:bCs w:val="1"/>
          <w:color w:val="auto"/>
        </w:rPr>
        <w:t>Balance as of December 31, 2016</w:t>
      </w:r>
    </w:p>
    <w:p>
      <w:pPr>
        <w:spacing w:after="0" w:line="28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as of January 1, 2017</w:t>
      </w:r>
    </w:p>
    <w:p>
      <w:pPr>
        <w:spacing w:after="0" w:line="40" w:lineRule="exact"/>
        <w:rPr>
          <w:sz w:val="20"/>
          <w:szCs w:val="20"/>
          <w:color w:val="auto"/>
        </w:rPr>
      </w:pPr>
    </w:p>
    <w:p>
      <w:pPr>
        <w:ind w:left="340"/>
        <w:spacing w:after="0" w:line="228" w:lineRule="auto"/>
        <w:rPr>
          <w:sz w:val="20"/>
          <w:szCs w:val="20"/>
          <w:color w:val="auto"/>
        </w:rPr>
      </w:pPr>
      <w:r>
        <w:rPr>
          <w:rFonts w:ascii="Arial" w:cs="Arial" w:eastAsia="Arial" w:hAnsi="Arial"/>
          <w:sz w:val="18"/>
          <w:szCs w:val="18"/>
          <w:color w:val="auto"/>
        </w:rPr>
        <w:t xml:space="preserve">Change in fair value for revaluation by debt instrument, net of hedging Change in fair value for revaluation by equity instrument, net of hedging Reclassification adjustment for (gains) loss included in the profit of the year </w:t>
      </w:r>
      <w:r>
        <w:rPr>
          <w:rFonts w:ascii="Arial" w:cs="Arial" w:eastAsia="Arial" w:hAnsi="Arial"/>
          <w:sz w:val="30"/>
          <w:szCs w:val="30"/>
          <w:color w:val="auto"/>
          <w:vertAlign w:val="superscript"/>
        </w:rPr>
        <w:t>(1)</w:t>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currency translation adjustment, net</w:t>
      </w:r>
    </w:p>
    <w:p>
      <w:pPr>
        <w:spacing w:after="0" w:line="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Exchange difference in conversion of foreign operating currency</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Foreign</w:t>
            </w:r>
          </w:p>
        </w:tc>
        <w:tc>
          <w:tcPr>
            <w:tcW w:w="1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currency</w:t>
            </w:r>
          </w:p>
        </w:tc>
        <w:tc>
          <w:tcPr>
            <w:tcW w:w="1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Financial</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Derivative</w:t>
            </w: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1"/>
              </w:rPr>
              <w:t>translation</w:t>
            </w:r>
          </w:p>
        </w:tc>
        <w:tc>
          <w:tcPr>
            <w:tcW w:w="1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8"/>
              </w:rPr>
              <w:t>instruments</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financial</w:t>
            </w:r>
          </w:p>
        </w:tc>
        <w:tc>
          <w:tcPr>
            <w:tcW w:w="14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adjustment</w:t>
            </w:r>
          </w:p>
        </w:tc>
        <w:tc>
          <w:tcPr>
            <w:tcW w:w="1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at FVOCI</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42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NIIF</w:t>
            </w:r>
          </w:p>
        </w:tc>
        <w:tc>
          <w:tcPr>
            <w:tcW w:w="126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(6,817</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(1,020</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(7,837</w:t>
            </w:r>
          </w:p>
        </w:tc>
        <w:tc>
          <w:tcPr>
            <w:tcW w:w="40" w:type="dxa"/>
            <w:vAlign w:val="bottom"/>
          </w:tcPr>
          <w:p>
            <w:pPr>
              <w:jc w:val="right"/>
              <w:spacing w:after="0"/>
              <w:rPr>
                <w:sz w:val="20"/>
                <w:szCs w:val="20"/>
                <w:color w:val="auto"/>
              </w:rPr>
            </w:pPr>
            <w:r>
              <w:rPr>
                <w:rFonts w:ascii="Arial" w:cs="Arial" w:eastAsia="Arial" w:hAnsi="Arial"/>
                <w:sz w:val="8"/>
                <w:szCs w:val="8"/>
                <w:color w:val="auto"/>
                <w:w w:val="73"/>
              </w:rPr>
              <w:t>)</w:t>
            </w:r>
          </w:p>
        </w:tc>
        <w:tc>
          <w:tcPr>
            <w:tcW w:w="0" w:type="dxa"/>
            <w:vAlign w:val="bottom"/>
          </w:tcPr>
          <w:p>
            <w:pPr>
              <w:spacing w:after="0"/>
              <w:rPr>
                <w:sz w:val="1"/>
                <w:szCs w:val="1"/>
                <w:color w:val="auto"/>
              </w:rPr>
            </w:pPr>
          </w:p>
        </w:tc>
      </w:tr>
      <w:tr>
        <w:trPr>
          <w:trHeight w:val="224"/>
        </w:trPr>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(6,267)</w:t>
            </w:r>
          </w:p>
        </w:tc>
        <w:tc>
          <w:tcPr>
            <w:tcW w:w="22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(4,942)</w:t>
            </w:r>
          </w:p>
        </w:tc>
        <w:tc>
          <w:tcPr>
            <w:tcW w:w="220" w:type="dxa"/>
            <w:vAlign w:val="bottom"/>
          </w:tcPr>
          <w:p>
            <w:pPr>
              <w:spacing w:after="0"/>
              <w:rPr>
                <w:sz w:val="19"/>
                <w:szCs w:val="19"/>
                <w:color w:val="auto"/>
              </w:rPr>
            </w:pPr>
          </w:p>
        </w:tc>
        <w:tc>
          <w:tcPr>
            <w:tcW w:w="120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(11,209)</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58"/>
        </w:trPr>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4,153</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4,212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8,365</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(2,114</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(730</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(2,844</w:t>
            </w:r>
          </w:p>
        </w:tc>
        <w:tc>
          <w:tcPr>
            <w:tcW w:w="40" w:type="dxa"/>
            <w:vAlign w:val="bottom"/>
          </w:tcPr>
          <w:p>
            <w:pPr>
              <w:jc w:val="right"/>
              <w:spacing w:after="0"/>
              <w:rPr>
                <w:sz w:val="20"/>
                <w:szCs w:val="20"/>
                <w:color w:val="auto"/>
              </w:rPr>
            </w:pPr>
            <w:r>
              <w:rPr>
                <w:rFonts w:ascii="Arial" w:cs="Arial" w:eastAsia="Arial" w:hAnsi="Arial"/>
                <w:sz w:val="8"/>
                <w:szCs w:val="8"/>
                <w:color w:val="auto"/>
                <w:w w:val="73"/>
              </w:rPr>
              <w:t>)</w:t>
            </w:r>
          </w:p>
        </w:tc>
        <w:tc>
          <w:tcPr>
            <w:tcW w:w="0" w:type="dxa"/>
            <w:vAlign w:val="bottom"/>
          </w:tcPr>
          <w:p>
            <w:pPr>
              <w:spacing w:after="0"/>
              <w:rPr>
                <w:sz w:val="1"/>
                <w:szCs w:val="1"/>
                <w:color w:val="auto"/>
              </w:rPr>
            </w:pPr>
          </w:p>
        </w:tc>
      </w:tr>
      <w:tr>
        <w:trPr>
          <w:trHeight w:val="453"/>
        </w:trPr>
        <w:tc>
          <w:tcPr>
            <w:tcW w:w="142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(8,931)</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(1,750)</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24"/>
                <w:szCs w:val="24"/>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b w:val="1"/>
                <w:bCs w:val="1"/>
                <w:color w:val="auto"/>
              </w:rPr>
              <w:t>(10,681)</w:t>
            </w:r>
          </w:p>
        </w:tc>
        <w:tc>
          <w:tcPr>
            <w:tcW w:w="0" w:type="dxa"/>
            <w:vAlign w:val="bottom"/>
          </w:tcPr>
          <w:p>
            <w:pPr>
              <w:spacing w:after="0"/>
              <w:rPr>
                <w:sz w:val="1"/>
                <w:szCs w:val="1"/>
                <w:color w:val="auto"/>
              </w:rPr>
            </w:pPr>
          </w:p>
        </w:tc>
      </w:tr>
      <w:tr>
        <w:trPr>
          <w:trHeight w:val="20"/>
        </w:trPr>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(8,931)</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(1,750)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(10,681)</w:t>
            </w:r>
          </w:p>
        </w:tc>
        <w:tc>
          <w:tcPr>
            <w:tcW w:w="0" w:type="dxa"/>
            <w:vAlign w:val="bottom"/>
          </w:tcPr>
          <w:p>
            <w:pPr>
              <w:spacing w:after="0"/>
              <w:rPr>
                <w:sz w:val="1"/>
                <w:szCs w:val="1"/>
                <w:color w:val="auto"/>
              </w:rPr>
            </w:pPr>
          </w:p>
        </w:tc>
      </w:tr>
      <w:tr>
        <w:trPr>
          <w:trHeight w:val="224"/>
        </w:trPr>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7,048</w:t>
            </w:r>
          </w:p>
        </w:tc>
        <w:tc>
          <w:tcPr>
            <w:tcW w:w="22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4,383</w:t>
            </w:r>
          </w:p>
        </w:tc>
        <w:tc>
          <w:tcPr>
            <w:tcW w:w="220" w:type="dxa"/>
            <w:vAlign w:val="bottom"/>
          </w:tcPr>
          <w:p>
            <w:pPr>
              <w:spacing w:after="0"/>
              <w:rPr>
                <w:sz w:val="19"/>
                <w:szCs w:val="19"/>
                <w:color w:val="auto"/>
              </w:rPr>
            </w:pPr>
          </w:p>
        </w:tc>
        <w:tc>
          <w:tcPr>
            <w:tcW w:w="120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11,431</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58"/>
        </w:trPr>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1,030</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(4,581)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(3,551)</w:t>
            </w:r>
          </w:p>
        </w:tc>
        <w:tc>
          <w:tcPr>
            <w:tcW w:w="0" w:type="dxa"/>
            <w:vAlign w:val="bottom"/>
          </w:tcPr>
          <w:p>
            <w:pPr>
              <w:spacing w:after="0"/>
              <w:rPr>
                <w:sz w:val="1"/>
                <w:szCs w:val="1"/>
                <w:color w:val="auto"/>
              </w:rPr>
            </w:pP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8,078</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(198</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7,880</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(853</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(1,948</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(2,801</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(853)</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(1,948)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(2,801)</w:t>
            </w:r>
          </w:p>
        </w:tc>
        <w:tc>
          <w:tcPr>
            <w:tcW w:w="0" w:type="dxa"/>
            <w:vAlign w:val="bottom"/>
          </w:tcPr>
          <w:p>
            <w:pPr>
              <w:spacing w:after="0"/>
              <w:rPr>
                <w:sz w:val="1"/>
                <w:szCs w:val="1"/>
                <w:color w:val="auto"/>
              </w:rPr>
            </w:pPr>
          </w:p>
        </w:tc>
      </w:tr>
      <w:tr>
        <w:trPr>
          <w:trHeight w:val="20"/>
        </w:trPr>
        <w:tc>
          <w:tcPr>
            <w:tcW w:w="12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20" w:type="dxa"/>
            <w:vAlign w:val="bottom"/>
            <w:tcBorders>
              <w:right w:val="single" w:sz="8" w:color="auto"/>
            </w:tcBorders>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612</w:t>
            </w:r>
          </w:p>
        </w:tc>
        <w:tc>
          <w:tcPr>
            <w:tcW w:w="220" w:type="dxa"/>
            <w:vAlign w:val="bottom"/>
            <w:vMerge w:val="continue"/>
          </w:tcPr>
          <w:p>
            <w:pPr>
              <w:spacing w:after="0"/>
              <w:rPr>
                <w:sz w:val="16"/>
                <w:szCs w:val="16"/>
                <w:color w:val="auto"/>
              </w:rPr>
            </w:pPr>
          </w:p>
        </w:tc>
        <w:tc>
          <w:tcPr>
            <w:tcW w:w="1420" w:type="dxa"/>
            <w:vAlign w:val="bottom"/>
            <w:gridSpan w:val="2"/>
          </w:tcPr>
          <w:p>
            <w:pPr>
              <w:jc w:val="right"/>
              <w:ind w:right="80"/>
              <w:spacing w:after="0" w:line="195" w:lineRule="exact"/>
              <w:rPr>
                <w:sz w:val="20"/>
                <w:szCs w:val="20"/>
                <w:color w:val="auto"/>
              </w:rPr>
            </w:pPr>
            <w:r>
              <w:rPr>
                <w:rFonts w:ascii="Arial" w:cs="Arial" w:eastAsia="Arial" w:hAnsi="Arial"/>
                <w:sz w:val="18"/>
                <w:szCs w:val="18"/>
                <w:color w:val="auto"/>
              </w:rPr>
              <w:t>(8)</w:t>
            </w:r>
          </w:p>
        </w:tc>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w:t>
            </w:r>
          </w:p>
        </w:tc>
        <w:tc>
          <w:tcPr>
            <w:tcW w:w="220" w:type="dxa"/>
            <w:vAlign w:val="bottom"/>
            <w:vMerge w:val="continue"/>
          </w:tcPr>
          <w:p>
            <w:pPr>
              <w:spacing w:after="0"/>
              <w:rPr>
                <w:sz w:val="16"/>
                <w:szCs w:val="16"/>
                <w:color w:val="auto"/>
              </w:rPr>
            </w:pPr>
          </w:p>
        </w:tc>
        <w:tc>
          <w:tcPr>
            <w:tcW w:w="1220" w:type="dxa"/>
            <w:vAlign w:val="bottom"/>
          </w:tcPr>
          <w:p>
            <w:pPr>
              <w:jc w:val="right"/>
              <w:spacing w:after="0" w:line="195" w:lineRule="exact"/>
              <w:rPr>
                <w:sz w:val="20"/>
                <w:szCs w:val="20"/>
                <w:color w:val="auto"/>
              </w:rPr>
            </w:pPr>
            <w:r>
              <w:rPr>
                <w:rFonts w:ascii="Arial" w:cs="Arial" w:eastAsia="Arial" w:hAnsi="Arial"/>
                <w:sz w:val="18"/>
                <w:szCs w:val="18"/>
                <w:color w:val="auto"/>
              </w:rPr>
              <w:t>604</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(228)</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415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187</w:t>
            </w: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8"/>
        </w:trPr>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84</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2,399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2,483</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(60)</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(60)</w:t>
            </w:r>
          </w:p>
        </w:tc>
        <w:tc>
          <w:tcPr>
            <w:tcW w:w="0" w:type="dxa"/>
            <w:vAlign w:val="bottom"/>
          </w:tcPr>
          <w:p>
            <w:pPr>
              <w:spacing w:after="0"/>
              <w:rPr>
                <w:sz w:val="1"/>
                <w:szCs w:val="1"/>
                <w:color w:val="auto"/>
              </w:rPr>
            </w:pPr>
          </w:p>
        </w:tc>
      </w:tr>
      <w:tr>
        <w:trPr>
          <w:trHeight w:val="230"/>
        </w:trPr>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1,550</w:t>
            </w:r>
          </w:p>
        </w:tc>
        <w:tc>
          <w:tcPr>
            <w:tcW w:w="220" w:type="dxa"/>
            <w:vAlign w:val="bottom"/>
          </w:tcPr>
          <w:p>
            <w:pPr>
              <w:spacing w:after="0"/>
              <w:rPr>
                <w:sz w:val="20"/>
                <w:szCs w:val="20"/>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1,550</w:t>
            </w: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-3420745</wp:posOffset>
            </wp:positionH>
            <wp:positionV relativeFrom="paragraph">
              <wp:posOffset>-3266440</wp:posOffset>
            </wp:positionV>
            <wp:extent cx="6955155" cy="14605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77">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-2974975</wp:posOffset>
            </wp:positionV>
            <wp:extent cx="6955155" cy="300355"/>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78">
                      <a:extLst>
                        <a:ext uri="{28A0092B-C50C-407E-A947-70E740481C1C}"/>
                      </a:extLst>
                    </a:blip>
                    <a:srcRect/>
                    <a:stretch>
                      <a:fillRect/>
                    </a:stretch>
                  </pic:blipFill>
                  <pic:spPr bwMode="auto">
                    <a:xfrm>
                      <a:off x="0" y="0"/>
                      <a:ext cx="6955155" cy="300355"/>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-2529205</wp:posOffset>
            </wp:positionV>
            <wp:extent cx="6955155" cy="14605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79">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-2220595</wp:posOffset>
            </wp:positionV>
            <wp:extent cx="6955155" cy="154305"/>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80">
                      <a:extLst>
                        <a:ext uri="{28A0092B-C50C-407E-A947-70E740481C1C}"/>
                      </a:extLst>
                    </a:blip>
                    <a:srcRect/>
                    <a:stretch>
                      <a:fillRect/>
                    </a:stretch>
                  </pic:blipFill>
                  <pic:spPr bwMode="auto">
                    <a:xfrm>
                      <a:off x="0" y="0"/>
                      <a:ext cx="6955155" cy="154305"/>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-1920240</wp:posOffset>
            </wp:positionV>
            <wp:extent cx="6955155" cy="14605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81">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-1474470</wp:posOffset>
            </wp:positionV>
            <wp:extent cx="6955155" cy="14605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2">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-1165860</wp:posOffset>
            </wp:positionV>
            <wp:extent cx="6955155" cy="154305"/>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83">
                      <a:extLst>
                        <a:ext uri="{28A0092B-C50C-407E-A947-70E740481C1C}"/>
                      </a:extLst>
                    </a:blip>
                    <a:srcRect/>
                    <a:stretch>
                      <a:fillRect/>
                    </a:stretch>
                  </pic:blipFill>
                  <pic:spPr bwMode="auto">
                    <a:xfrm>
                      <a:off x="0" y="0"/>
                      <a:ext cx="6955155" cy="154305"/>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-865505</wp:posOffset>
            </wp:positionV>
            <wp:extent cx="6955155" cy="146050"/>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84">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-582295</wp:posOffset>
            </wp:positionV>
            <wp:extent cx="6955155" cy="300355"/>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85">
                      <a:extLst>
                        <a:ext uri="{28A0092B-C50C-407E-A947-70E740481C1C}"/>
                      </a:extLst>
                    </a:blip>
                    <a:srcRect/>
                    <a:stretch>
                      <a:fillRect/>
                    </a:stretch>
                  </pic:blipFill>
                  <pic:spPr bwMode="auto">
                    <a:xfrm>
                      <a:off x="0" y="0"/>
                      <a:ext cx="6955155" cy="300355"/>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-145415</wp:posOffset>
            </wp:positionV>
            <wp:extent cx="6955155" cy="14605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8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5580" w:space="140"/>
            <w:col w:w="5700"/>
          </w:cols>
          <w:pgMar w:left="240" w:top="689" w:right="239" w:bottom="1440" w:gutter="0" w:footer="0" w:header="0"/>
          <w:type w:val="continuous"/>
        </w:sectPr>
      </w:pPr>
    </w:p>
    <w:tbl>
      <w:tblPr>
        <w:tblLayout w:type="fixed"/>
        <w:tblInd w:w="340" w:type="dxa"/>
        <w:tblCellMar>
          <w:top w:w="0" w:type="dxa"/>
          <w:left w:w="0" w:type="dxa"/>
          <w:bottom w:w="0" w:type="dxa"/>
          <w:right w:w="0" w:type="dxa"/>
        </w:tblCellMar>
      </w:tblP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Other comprehensive income (loss) from the year</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468</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2,806</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1,490</w:t>
            </w:r>
          </w:p>
        </w:tc>
        <w:tc>
          <w:tcPr>
            <w:tcW w:w="220" w:type="dxa"/>
            <w:vAlign w:val="bottom"/>
          </w:tcPr>
          <w:p>
            <w:pPr>
              <w:spacing w:after="0"/>
              <w:rPr>
                <w:sz w:val="18"/>
                <w:szCs w:val="18"/>
                <w:color w:val="auto"/>
              </w:rPr>
            </w:pPr>
          </w:p>
        </w:tc>
        <w:tc>
          <w:tcPr>
            <w:tcW w:w="122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4,764</w:t>
            </w:r>
          </w:p>
        </w:tc>
        <w:tc>
          <w:tcPr>
            <w:tcW w:w="80" w:type="dxa"/>
            <w:vAlign w:val="bottom"/>
          </w:tcPr>
          <w:p>
            <w:pPr>
              <w:spacing w:after="0"/>
              <w:rPr>
                <w:sz w:val="18"/>
                <w:szCs w:val="18"/>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(385</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1,490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1,963</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42" w:lineRule="exact"/>
        <w:rPr>
          <w:sz w:val="20"/>
          <w:szCs w:val="20"/>
          <w:color w:val="auto"/>
        </w:rPr>
      </w:pPr>
    </w:p>
    <w:p>
      <w:pPr>
        <w:ind w:left="660" w:right="100" w:hanging="4"/>
        <w:spacing w:after="0" w:line="211" w:lineRule="auto"/>
        <w:tabs>
          <w:tab w:leader="none" w:pos="880" w:val="left"/>
        </w:tabs>
        <w:numPr>
          <w:ilvl w:val="0"/>
          <w:numId w:val="208"/>
        </w:numPr>
        <w:rPr>
          <w:rFonts w:ascii="Arial" w:cs="Arial" w:eastAsia="Arial" w:hAnsi="Arial"/>
          <w:sz w:val="27"/>
          <w:szCs w:val="27"/>
          <w:color w:val="auto"/>
          <w:vertAlign w:val="superscript"/>
        </w:rPr>
      </w:pPr>
      <w:r>
        <w:rPr>
          <w:rFonts w:ascii="Arial" w:cs="Arial" w:eastAsia="Arial" w:hAnsi="Arial"/>
          <w:sz w:val="17"/>
          <w:szCs w:val="17"/>
          <w:color w:val="auto"/>
        </w:rPr>
        <w:t>Reclassification adjustments include amounts recognized in profit of the year that had been part of other comprehensive income (loss) in this and previous years.</w:t>
      </w: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type w:val="continuous"/>
        </w:sectPr>
      </w:pPr>
    </w:p>
    <w:bookmarkStart w:id="209" w:name="page210"/>
    <w:bookmarkEnd w:id="20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120"/>
        <w:spacing w:after="0"/>
        <w:rPr>
          <w:sz w:val="20"/>
          <w:szCs w:val="20"/>
          <w:color w:val="auto"/>
        </w:rPr>
      </w:pPr>
      <w:r>
        <w:rPr>
          <w:rFonts w:ascii="Arial" w:cs="Arial" w:eastAsia="Arial" w:hAnsi="Arial"/>
          <w:sz w:val="18"/>
          <w:szCs w:val="18"/>
          <w:b w:val="1"/>
          <w:bCs w:val="1"/>
          <w:color w:val="auto"/>
        </w:rPr>
        <w:t>19. Accumulated other comprehensive income (loss)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amounts reclassified from other comprehensive income to the profit of the year:</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4480" w:type="dxa"/>
            <w:vAlign w:val="bottom"/>
            <w:tcBorders>
              <w:top w:val="single" w:sz="8" w:color="auto"/>
            </w:tcBorders>
          </w:tcPr>
          <w:p>
            <w:pPr>
              <w:spacing w:after="0"/>
              <w:rPr>
                <w:sz w:val="16"/>
                <w:szCs w:val="16"/>
                <w:color w:val="auto"/>
              </w:rPr>
            </w:pPr>
          </w:p>
        </w:tc>
        <w:tc>
          <w:tcPr>
            <w:tcW w:w="4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080" w:type="dxa"/>
            <w:vAlign w:val="bottom"/>
            <w:tcBorders>
              <w:top w:val="single" w:sz="8" w:color="auto"/>
            </w:tcBorders>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w w:val="97"/>
              </w:rPr>
              <w:t>Amount reclassified</w:t>
            </w:r>
          </w:p>
        </w:tc>
        <w:tc>
          <w:tcPr>
            <w:tcW w:w="388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480" w:type="dxa"/>
            <w:vAlign w:val="bottom"/>
          </w:tcPr>
          <w:p>
            <w:pPr>
              <w:jc w:val="center"/>
              <w:ind w:left="290"/>
              <w:spacing w:after="0"/>
              <w:rPr>
                <w:sz w:val="20"/>
                <w:szCs w:val="20"/>
                <w:color w:val="auto"/>
              </w:rPr>
            </w:pPr>
            <w:r>
              <w:rPr>
                <w:rFonts w:ascii="Arial" w:cs="Arial" w:eastAsia="Arial" w:hAnsi="Arial"/>
                <w:sz w:val="18"/>
                <w:szCs w:val="18"/>
                <w:b w:val="1"/>
                <w:bCs w:val="1"/>
                <w:color w:val="auto"/>
                <w:w w:val="89"/>
              </w:rPr>
              <w:t>Details about accumulated other</w:t>
            </w:r>
          </w:p>
        </w:tc>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from accumulated other</w:t>
            </w:r>
          </w:p>
        </w:tc>
        <w:tc>
          <w:tcPr>
            <w:tcW w:w="3880" w:type="dxa"/>
            <w:vAlign w:val="bottom"/>
          </w:tcPr>
          <w:p>
            <w:pPr>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480" w:type="dxa"/>
            <w:vAlign w:val="bottom"/>
          </w:tcPr>
          <w:p>
            <w:pPr>
              <w:jc w:val="center"/>
              <w:ind w:left="330"/>
              <w:spacing w:after="0"/>
              <w:rPr>
                <w:sz w:val="20"/>
                <w:szCs w:val="20"/>
                <w:color w:val="auto"/>
              </w:rPr>
            </w:pPr>
            <w:r>
              <w:rPr>
                <w:rFonts w:ascii="Arial" w:cs="Arial" w:eastAsia="Arial" w:hAnsi="Arial"/>
                <w:sz w:val="18"/>
                <w:szCs w:val="18"/>
                <w:b w:val="1"/>
                <w:bCs w:val="1"/>
                <w:color w:val="auto"/>
                <w:w w:val="86"/>
              </w:rPr>
              <w:t>comprehensive income components</w:t>
            </w:r>
          </w:p>
        </w:tc>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comprehensive income</w:t>
            </w:r>
          </w:p>
        </w:tc>
        <w:tc>
          <w:tcPr>
            <w:tcW w:w="3880" w:type="dxa"/>
            <w:vAlign w:val="bottom"/>
          </w:tcPr>
          <w:p>
            <w:pPr>
              <w:ind w:left="280"/>
              <w:spacing w:after="0"/>
              <w:rPr>
                <w:sz w:val="20"/>
                <w:szCs w:val="20"/>
                <w:color w:val="auto"/>
              </w:rPr>
            </w:pPr>
            <w:r>
              <w:rPr>
                <w:rFonts w:ascii="Arial" w:cs="Arial" w:eastAsia="Arial" w:hAnsi="Arial"/>
                <w:sz w:val="18"/>
                <w:szCs w:val="18"/>
                <w:b w:val="1"/>
                <w:bCs w:val="1"/>
                <w:color w:val="auto"/>
                <w:w w:val="94"/>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4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5"/>
              </w:rPr>
              <w:t>Realized gains (losses) on financial instruments at FVOCI:</w:t>
            </w:r>
          </w:p>
        </w:tc>
        <w:tc>
          <w:tcPr>
            <w:tcW w:w="4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38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Interest income – financial instruments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80" w:type="dxa"/>
            <w:vAlign w:val="bottom"/>
          </w:tcPr>
          <w:p>
            <w:pPr>
              <w:spacing w:after="0"/>
              <w:rPr>
                <w:sz w:val="18"/>
                <w:szCs w:val="18"/>
                <w:color w:val="auto"/>
              </w:rPr>
            </w:pPr>
          </w:p>
        </w:tc>
        <w:tc>
          <w:tcPr>
            <w:tcW w:w="2400" w:type="dxa"/>
            <w:vAlign w:val="bottom"/>
            <w:gridSpan w:val="3"/>
          </w:tcPr>
          <w:p>
            <w:pPr>
              <w:jc w:val="right"/>
              <w:spacing w:after="0"/>
              <w:rPr>
                <w:sz w:val="20"/>
                <w:szCs w:val="20"/>
                <w:color w:val="auto"/>
              </w:rPr>
            </w:pPr>
            <w:r>
              <w:rPr>
                <w:rFonts w:ascii="Arial" w:cs="Arial" w:eastAsia="Arial" w:hAnsi="Arial"/>
                <w:sz w:val="18"/>
                <w:szCs w:val="18"/>
                <w:color w:val="auto"/>
              </w:rPr>
              <w:t>24</w:t>
            </w:r>
          </w:p>
        </w:tc>
        <w:tc>
          <w:tcPr>
            <w:tcW w:w="180" w:type="dxa"/>
            <w:vAlign w:val="bottom"/>
          </w:tcPr>
          <w:p>
            <w:pPr>
              <w:spacing w:after="0"/>
              <w:rPr>
                <w:sz w:val="18"/>
                <w:szCs w:val="18"/>
                <w:color w:val="auto"/>
              </w:rPr>
            </w:pPr>
          </w:p>
        </w:tc>
        <w:tc>
          <w:tcPr>
            <w:tcW w:w="3880" w:type="dxa"/>
            <w:vAlign w:val="bottom"/>
          </w:tcPr>
          <w:p>
            <w:pPr>
              <w:spacing w:after="0"/>
              <w:rPr>
                <w:sz w:val="20"/>
                <w:szCs w:val="20"/>
                <w:color w:val="auto"/>
              </w:rPr>
            </w:pPr>
            <w:r>
              <w:rPr>
                <w:rFonts w:ascii="Arial" w:cs="Arial" w:eastAsia="Arial" w:hAnsi="Arial"/>
                <w:sz w:val="18"/>
                <w:szCs w:val="18"/>
                <w:color w:val="auto"/>
                <w:w w:val="96"/>
              </w:rPr>
              <w:t>Net gain on sale of financial instruments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80" w:type="dxa"/>
            <w:vAlign w:val="bottom"/>
            <w:shd w:val="clear" w:color="auto" w:fill="CCEEFF"/>
          </w:tcPr>
          <w:p>
            <w:pPr>
              <w:spacing w:after="0"/>
              <w:rPr>
                <w:sz w:val="19"/>
                <w:szCs w:val="19"/>
                <w:color w:val="auto"/>
              </w:rPr>
            </w:pPr>
          </w:p>
        </w:tc>
        <w:tc>
          <w:tcPr>
            <w:tcW w:w="258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(108)</w:t>
            </w: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4480" w:type="dxa"/>
            <w:vAlign w:val="bottom"/>
            <w:tcBorders>
              <w:bottom w:val="single" w:sz="8" w:color="CCEEFF"/>
            </w:tcBorders>
          </w:tcPr>
          <w:p>
            <w:pPr>
              <w:spacing w:after="0"/>
              <w:rPr>
                <w:sz w:val="22"/>
                <w:szCs w:val="22"/>
                <w:color w:val="auto"/>
              </w:rPr>
            </w:pPr>
          </w:p>
        </w:tc>
        <w:tc>
          <w:tcPr>
            <w:tcW w:w="4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w:t>
            </w:r>
          </w:p>
        </w:tc>
        <w:tc>
          <w:tcPr>
            <w:tcW w:w="180" w:type="dxa"/>
            <w:vAlign w:val="bottom"/>
            <w:tcBorders>
              <w:bottom w:val="single" w:sz="8" w:color="CCEEFF"/>
            </w:tcBorders>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388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448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9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388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4480" w:type="dxa"/>
            <w:vAlign w:val="bottom"/>
          </w:tcPr>
          <w:p>
            <w:pPr>
              <w:spacing w:after="0"/>
              <w:rPr>
                <w:sz w:val="20"/>
                <w:szCs w:val="20"/>
                <w:color w:val="auto"/>
              </w:rPr>
            </w:pPr>
            <w:r>
              <w:rPr>
                <w:rFonts w:ascii="Arial" w:cs="Arial" w:eastAsia="Arial" w:hAnsi="Arial"/>
                <w:sz w:val="18"/>
                <w:szCs w:val="18"/>
                <w:color w:val="auto"/>
              </w:rPr>
              <w:t>Gains (losses) on derivative financial instruments:</w:t>
            </w:r>
          </w:p>
        </w:tc>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9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8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58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(7,611)</w:t>
            </w: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 at amortized cost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80" w:type="dxa"/>
            <w:vAlign w:val="bottom"/>
          </w:tcPr>
          <w:p>
            <w:pPr>
              <w:spacing w:after="0"/>
              <w:rPr>
                <w:sz w:val="18"/>
                <w:szCs w:val="18"/>
                <w:color w:val="auto"/>
              </w:rPr>
            </w:pPr>
          </w:p>
        </w:tc>
        <w:tc>
          <w:tcPr>
            <w:tcW w:w="2580" w:type="dxa"/>
            <w:vAlign w:val="bottom"/>
            <w:gridSpan w:val="4"/>
          </w:tcPr>
          <w:p>
            <w:pPr>
              <w:jc w:val="right"/>
              <w:ind w:right="40"/>
              <w:spacing w:after="0"/>
              <w:rPr>
                <w:sz w:val="20"/>
                <w:szCs w:val="20"/>
                <w:color w:val="auto"/>
              </w:rPr>
            </w:pPr>
            <w:r>
              <w:rPr>
                <w:rFonts w:ascii="Arial" w:cs="Arial" w:eastAsia="Arial" w:hAnsi="Arial"/>
                <w:sz w:val="18"/>
                <w:szCs w:val="18"/>
                <w:color w:val="auto"/>
              </w:rPr>
              <w:t>(2,102)</w:t>
            </w:r>
          </w:p>
        </w:tc>
        <w:tc>
          <w:tcPr>
            <w:tcW w:w="388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80" w:type="dxa"/>
            <w:vAlign w:val="bottom"/>
            <w:shd w:val="clear" w:color="auto" w:fill="CCEEFF"/>
          </w:tcPr>
          <w:p>
            <w:pPr>
              <w:spacing w:after="0"/>
              <w:rPr>
                <w:sz w:val="18"/>
                <w:szCs w:val="18"/>
                <w:color w:val="auto"/>
              </w:rPr>
            </w:pPr>
          </w:p>
        </w:tc>
        <w:tc>
          <w:tcPr>
            <w:tcW w:w="24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7,216</w:t>
            </w:r>
          </w:p>
        </w:tc>
        <w:tc>
          <w:tcPr>
            <w:tcW w:w="180" w:type="dxa"/>
            <w:vAlign w:val="bottom"/>
            <w:shd w:val="clear" w:color="auto" w:fill="CCEEFF"/>
          </w:tcPr>
          <w:p>
            <w:pPr>
              <w:spacing w:after="0"/>
              <w:rPr>
                <w:sz w:val="18"/>
                <w:szCs w:val="18"/>
                <w:color w:val="auto"/>
              </w:rPr>
            </w:pP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80" w:type="dxa"/>
            <w:vAlign w:val="bottom"/>
          </w:tcPr>
          <w:p>
            <w:pPr>
              <w:spacing w:after="0"/>
              <w:rPr>
                <w:sz w:val="20"/>
                <w:szCs w:val="20"/>
                <w:color w:val="auto"/>
              </w:rPr>
            </w:pPr>
            <w:r>
              <w:rPr>
                <w:rFonts w:ascii="Arial" w:cs="Arial" w:eastAsia="Arial" w:hAnsi="Arial"/>
                <w:sz w:val="18"/>
                <w:szCs w:val="18"/>
                <w:color w:val="auto"/>
              </w:rPr>
              <w:t>Interest rate swaps</w:t>
            </w:r>
          </w:p>
        </w:tc>
        <w:tc>
          <w:tcPr>
            <w:tcW w:w="2400" w:type="dxa"/>
            <w:vAlign w:val="bottom"/>
            <w:gridSpan w:val="3"/>
          </w:tcPr>
          <w:p>
            <w:pPr>
              <w:jc w:val="right"/>
              <w:spacing w:after="0"/>
              <w:rPr>
                <w:sz w:val="20"/>
                <w:szCs w:val="20"/>
                <w:color w:val="auto"/>
              </w:rPr>
            </w:pPr>
            <w:r>
              <w:rPr>
                <w:rFonts w:ascii="Arial" w:cs="Arial" w:eastAsia="Arial" w:hAnsi="Arial"/>
                <w:sz w:val="18"/>
                <w:szCs w:val="18"/>
                <w:color w:val="auto"/>
              </w:rPr>
              <w:t>86</w:t>
            </w:r>
          </w:p>
        </w:tc>
        <w:tc>
          <w:tcPr>
            <w:tcW w:w="180" w:type="dxa"/>
            <w:vAlign w:val="bottom"/>
          </w:tcPr>
          <w:p>
            <w:pPr>
              <w:spacing w:after="0"/>
              <w:rPr>
                <w:sz w:val="18"/>
                <w:szCs w:val="18"/>
                <w:color w:val="auto"/>
              </w:rPr>
            </w:pPr>
          </w:p>
        </w:tc>
        <w:tc>
          <w:tcPr>
            <w:tcW w:w="388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4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180" w:type="dxa"/>
            <w:vAlign w:val="bottom"/>
            <w:shd w:val="clear" w:color="auto" w:fill="CCEEFF"/>
          </w:tcPr>
          <w:p>
            <w:pPr>
              <w:spacing w:after="0"/>
              <w:rPr>
                <w:sz w:val="19"/>
                <w:szCs w:val="19"/>
                <w:color w:val="auto"/>
              </w:rPr>
            </w:pP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w w:val="93"/>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4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(2,399</w:t>
            </w:r>
          </w:p>
        </w:tc>
        <w:tc>
          <w:tcPr>
            <w:tcW w:w="180" w:type="dxa"/>
            <w:vAlign w:val="bottom"/>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388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8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Pr>
          <w:p>
            <w:pPr>
              <w:spacing w:after="0"/>
              <w:rPr>
                <w:sz w:val="24"/>
                <w:szCs w:val="24"/>
                <w:color w:val="auto"/>
              </w:rPr>
            </w:pPr>
          </w:p>
        </w:tc>
        <w:tc>
          <w:tcPr>
            <w:tcW w:w="448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gridSpan w:val="4"/>
          </w:tcPr>
          <w:p>
            <w:pPr>
              <w:jc w:val="right"/>
              <w:ind w:right="780"/>
              <w:spacing w:after="0"/>
              <w:rPr>
                <w:sz w:val="20"/>
                <w:szCs w:val="20"/>
                <w:color w:val="auto"/>
              </w:rPr>
            </w:pPr>
            <w:r>
              <w:rPr>
                <w:rFonts w:ascii="Arial" w:cs="Arial" w:eastAsia="Arial" w:hAnsi="Arial"/>
                <w:sz w:val="18"/>
                <w:szCs w:val="18"/>
                <w:b w:val="1"/>
                <w:bCs w:val="1"/>
                <w:color w:val="auto"/>
              </w:rPr>
              <w:t>December 31, 2016</w:t>
            </w:r>
          </w:p>
        </w:tc>
        <w:tc>
          <w:tcPr>
            <w:tcW w:w="388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4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80" w:type="dxa"/>
            <w:vAlign w:val="bottom"/>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w w:val="97"/>
              </w:rPr>
              <w:t>Amount reclassified</w:t>
            </w:r>
          </w:p>
        </w:tc>
        <w:tc>
          <w:tcPr>
            <w:tcW w:w="388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480" w:type="dxa"/>
            <w:vAlign w:val="bottom"/>
          </w:tcPr>
          <w:p>
            <w:pPr>
              <w:jc w:val="center"/>
              <w:ind w:left="290"/>
              <w:spacing w:after="0"/>
              <w:rPr>
                <w:sz w:val="20"/>
                <w:szCs w:val="20"/>
                <w:color w:val="auto"/>
              </w:rPr>
            </w:pPr>
            <w:r>
              <w:rPr>
                <w:rFonts w:ascii="Arial" w:cs="Arial" w:eastAsia="Arial" w:hAnsi="Arial"/>
                <w:sz w:val="18"/>
                <w:szCs w:val="18"/>
                <w:b w:val="1"/>
                <w:bCs w:val="1"/>
                <w:color w:val="auto"/>
                <w:w w:val="89"/>
              </w:rPr>
              <w:t>Details about accumulated other</w:t>
            </w:r>
          </w:p>
        </w:tc>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from accumulated other</w:t>
            </w:r>
          </w:p>
        </w:tc>
        <w:tc>
          <w:tcPr>
            <w:tcW w:w="3880" w:type="dxa"/>
            <w:vAlign w:val="bottom"/>
          </w:tcPr>
          <w:p>
            <w:pPr>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480" w:type="dxa"/>
            <w:vAlign w:val="bottom"/>
          </w:tcPr>
          <w:p>
            <w:pPr>
              <w:jc w:val="center"/>
              <w:ind w:left="330"/>
              <w:spacing w:after="0"/>
              <w:rPr>
                <w:sz w:val="20"/>
                <w:szCs w:val="20"/>
                <w:color w:val="auto"/>
              </w:rPr>
            </w:pPr>
            <w:r>
              <w:rPr>
                <w:rFonts w:ascii="Arial" w:cs="Arial" w:eastAsia="Arial" w:hAnsi="Arial"/>
                <w:sz w:val="18"/>
                <w:szCs w:val="18"/>
                <w:b w:val="1"/>
                <w:bCs w:val="1"/>
                <w:color w:val="auto"/>
                <w:w w:val="86"/>
              </w:rPr>
              <w:t>comprehensive income components</w:t>
            </w:r>
          </w:p>
        </w:tc>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comprehensive income</w:t>
            </w:r>
          </w:p>
        </w:tc>
        <w:tc>
          <w:tcPr>
            <w:tcW w:w="3880" w:type="dxa"/>
            <w:vAlign w:val="bottom"/>
          </w:tcPr>
          <w:p>
            <w:pPr>
              <w:ind w:left="280"/>
              <w:spacing w:after="0"/>
              <w:rPr>
                <w:sz w:val="20"/>
                <w:szCs w:val="20"/>
                <w:color w:val="auto"/>
              </w:rPr>
            </w:pPr>
            <w:r>
              <w:rPr>
                <w:rFonts w:ascii="Arial" w:cs="Arial" w:eastAsia="Arial" w:hAnsi="Arial"/>
                <w:sz w:val="18"/>
                <w:szCs w:val="18"/>
                <w:b w:val="1"/>
                <w:bCs w:val="1"/>
                <w:color w:val="auto"/>
                <w:w w:val="94"/>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4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5"/>
              </w:rPr>
              <w:t>Realized gains (losses) on financial instruments at FVOCI:</w:t>
            </w:r>
          </w:p>
        </w:tc>
        <w:tc>
          <w:tcPr>
            <w:tcW w:w="4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38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Interest income – financial instruments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80" w:type="dxa"/>
            <w:vAlign w:val="bottom"/>
          </w:tcPr>
          <w:p>
            <w:pPr>
              <w:spacing w:after="0"/>
              <w:rPr>
                <w:sz w:val="18"/>
                <w:szCs w:val="18"/>
                <w:color w:val="auto"/>
              </w:rPr>
            </w:pPr>
          </w:p>
        </w:tc>
        <w:tc>
          <w:tcPr>
            <w:tcW w:w="2580" w:type="dxa"/>
            <w:vAlign w:val="bottom"/>
            <w:gridSpan w:val="4"/>
          </w:tcPr>
          <w:p>
            <w:pPr>
              <w:jc w:val="right"/>
              <w:ind w:right="40"/>
              <w:spacing w:after="0"/>
              <w:rPr>
                <w:sz w:val="20"/>
                <w:szCs w:val="20"/>
                <w:color w:val="auto"/>
              </w:rPr>
            </w:pPr>
            <w:r>
              <w:rPr>
                <w:rFonts w:ascii="Arial" w:cs="Arial" w:eastAsia="Arial" w:hAnsi="Arial"/>
                <w:sz w:val="18"/>
                <w:szCs w:val="18"/>
                <w:color w:val="auto"/>
              </w:rPr>
              <w:t>(7,243)</w:t>
            </w:r>
          </w:p>
        </w:tc>
        <w:tc>
          <w:tcPr>
            <w:tcW w:w="3880" w:type="dxa"/>
            <w:vAlign w:val="bottom"/>
          </w:tcPr>
          <w:p>
            <w:pPr>
              <w:spacing w:after="0"/>
              <w:rPr>
                <w:sz w:val="20"/>
                <w:szCs w:val="20"/>
                <w:color w:val="auto"/>
              </w:rPr>
            </w:pPr>
            <w:r>
              <w:rPr>
                <w:rFonts w:ascii="Arial" w:cs="Arial" w:eastAsia="Arial" w:hAnsi="Arial"/>
                <w:sz w:val="18"/>
                <w:szCs w:val="18"/>
                <w:color w:val="auto"/>
                <w:w w:val="96"/>
              </w:rPr>
              <w:t>Net gain on sale of financial instruments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80" w:type="dxa"/>
            <w:vAlign w:val="bottom"/>
            <w:shd w:val="clear" w:color="auto" w:fill="CCEEFF"/>
          </w:tcPr>
          <w:p>
            <w:pPr>
              <w:spacing w:after="0"/>
              <w:rPr>
                <w:sz w:val="19"/>
                <w:szCs w:val="19"/>
                <w:color w:val="auto"/>
              </w:rPr>
            </w:pPr>
          </w:p>
        </w:tc>
        <w:tc>
          <w:tcPr>
            <w:tcW w:w="24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6,213</w:t>
            </w:r>
          </w:p>
        </w:tc>
        <w:tc>
          <w:tcPr>
            <w:tcW w:w="180" w:type="dxa"/>
            <w:vAlign w:val="bottom"/>
            <w:shd w:val="clear" w:color="auto" w:fill="CCEEFF"/>
          </w:tcPr>
          <w:p>
            <w:pPr>
              <w:spacing w:after="0"/>
              <w:rPr>
                <w:sz w:val="19"/>
                <w:szCs w:val="19"/>
                <w:color w:val="auto"/>
              </w:rPr>
            </w:pP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4480" w:type="dxa"/>
            <w:vAlign w:val="bottom"/>
            <w:tcBorders>
              <w:bottom w:val="single" w:sz="8" w:color="CCEEFF"/>
            </w:tcBorders>
          </w:tcPr>
          <w:p>
            <w:pPr>
              <w:spacing w:after="0"/>
              <w:rPr>
                <w:sz w:val="22"/>
                <w:szCs w:val="22"/>
                <w:color w:val="auto"/>
              </w:rPr>
            </w:pPr>
          </w:p>
        </w:tc>
        <w:tc>
          <w:tcPr>
            <w:tcW w:w="500" w:type="dxa"/>
            <w:vAlign w:val="bottom"/>
            <w:tcBorders>
              <w:bottom w:val="single" w:sz="8" w:color="CCEEFF"/>
            </w:tcBorders>
            <w:gridSpan w:val="2"/>
          </w:tcPr>
          <w:p>
            <w:pPr>
              <w:spacing w:after="0"/>
              <w:rPr>
                <w:sz w:val="22"/>
                <w:szCs w:val="22"/>
                <w:color w:val="auto"/>
              </w:rPr>
            </w:pPr>
          </w:p>
        </w:tc>
        <w:tc>
          <w:tcPr>
            <w:tcW w:w="1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(1,030</w:t>
            </w:r>
          </w:p>
        </w:tc>
        <w:tc>
          <w:tcPr>
            <w:tcW w:w="180" w:type="dxa"/>
            <w:vAlign w:val="bottom"/>
            <w:tcBorders>
              <w:bottom w:val="single" w:sz="8" w:color="CCEEFF"/>
            </w:tcBorders>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388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448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9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388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4480" w:type="dxa"/>
            <w:vAlign w:val="bottom"/>
          </w:tcPr>
          <w:p>
            <w:pPr>
              <w:spacing w:after="0"/>
              <w:rPr>
                <w:sz w:val="20"/>
                <w:szCs w:val="20"/>
                <w:color w:val="auto"/>
              </w:rPr>
            </w:pPr>
            <w:r>
              <w:rPr>
                <w:rFonts w:ascii="Arial" w:cs="Arial" w:eastAsia="Arial" w:hAnsi="Arial"/>
                <w:sz w:val="18"/>
                <w:szCs w:val="18"/>
                <w:color w:val="auto"/>
              </w:rPr>
              <w:t>Gains (losses) on derivative financial instruments:</w:t>
            </w:r>
          </w:p>
        </w:tc>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9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8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58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(4,750)</w:t>
            </w: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 at amortized cost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80" w:type="dxa"/>
            <w:vAlign w:val="bottom"/>
          </w:tcPr>
          <w:p>
            <w:pPr>
              <w:spacing w:after="0"/>
              <w:rPr>
                <w:sz w:val="18"/>
                <w:szCs w:val="18"/>
                <w:color w:val="auto"/>
              </w:rPr>
            </w:pPr>
          </w:p>
        </w:tc>
        <w:tc>
          <w:tcPr>
            <w:tcW w:w="2400" w:type="dxa"/>
            <w:vAlign w:val="bottom"/>
            <w:gridSpan w:val="3"/>
          </w:tcPr>
          <w:p>
            <w:pPr>
              <w:jc w:val="right"/>
              <w:spacing w:after="0"/>
              <w:rPr>
                <w:sz w:val="20"/>
                <w:szCs w:val="20"/>
                <w:color w:val="auto"/>
              </w:rPr>
            </w:pPr>
            <w:r>
              <w:rPr>
                <w:rFonts w:ascii="Arial" w:cs="Arial" w:eastAsia="Arial" w:hAnsi="Arial"/>
                <w:sz w:val="18"/>
                <w:szCs w:val="18"/>
                <w:color w:val="auto"/>
              </w:rPr>
              <w:t>1,679</w:t>
            </w:r>
          </w:p>
        </w:tc>
        <w:tc>
          <w:tcPr>
            <w:tcW w:w="180" w:type="dxa"/>
            <w:vAlign w:val="bottom"/>
          </w:tcPr>
          <w:p>
            <w:pPr>
              <w:spacing w:after="0"/>
              <w:rPr>
                <w:sz w:val="18"/>
                <w:szCs w:val="18"/>
                <w:color w:val="auto"/>
              </w:rPr>
            </w:pPr>
          </w:p>
        </w:tc>
        <w:tc>
          <w:tcPr>
            <w:tcW w:w="388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80" w:type="dxa"/>
            <w:vAlign w:val="bottom"/>
            <w:shd w:val="clear" w:color="auto" w:fill="CCEEFF"/>
          </w:tcPr>
          <w:p>
            <w:pPr>
              <w:spacing w:after="0"/>
              <w:rPr>
                <w:sz w:val="18"/>
                <w:szCs w:val="18"/>
                <w:color w:val="auto"/>
              </w:rPr>
            </w:pPr>
          </w:p>
        </w:tc>
        <w:tc>
          <w:tcPr>
            <w:tcW w:w="24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6,060</w:t>
            </w:r>
          </w:p>
        </w:tc>
        <w:tc>
          <w:tcPr>
            <w:tcW w:w="180" w:type="dxa"/>
            <w:vAlign w:val="bottom"/>
            <w:shd w:val="clear" w:color="auto" w:fill="CCEEFF"/>
          </w:tcPr>
          <w:p>
            <w:pPr>
              <w:spacing w:after="0"/>
              <w:rPr>
                <w:sz w:val="18"/>
                <w:szCs w:val="18"/>
                <w:color w:val="auto"/>
              </w:rPr>
            </w:pP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80" w:type="dxa"/>
            <w:vAlign w:val="bottom"/>
          </w:tcPr>
          <w:p>
            <w:pPr>
              <w:spacing w:after="0"/>
              <w:rPr>
                <w:sz w:val="20"/>
                <w:szCs w:val="20"/>
                <w:color w:val="auto"/>
              </w:rPr>
            </w:pPr>
            <w:r>
              <w:rPr>
                <w:rFonts w:ascii="Arial" w:cs="Arial" w:eastAsia="Arial" w:hAnsi="Arial"/>
                <w:sz w:val="18"/>
                <w:szCs w:val="18"/>
                <w:color w:val="auto"/>
              </w:rPr>
              <w:t>Interest rate swaps</w:t>
            </w:r>
          </w:p>
        </w:tc>
        <w:tc>
          <w:tcPr>
            <w:tcW w:w="2400" w:type="dxa"/>
            <w:vAlign w:val="bottom"/>
            <w:gridSpan w:val="3"/>
          </w:tcPr>
          <w:p>
            <w:pPr>
              <w:jc w:val="right"/>
              <w:spacing w:after="0"/>
              <w:rPr>
                <w:sz w:val="20"/>
                <w:szCs w:val="20"/>
                <w:color w:val="auto"/>
              </w:rPr>
            </w:pPr>
            <w:r>
              <w:rPr>
                <w:rFonts w:ascii="Arial" w:cs="Arial" w:eastAsia="Arial" w:hAnsi="Arial"/>
                <w:sz w:val="18"/>
                <w:szCs w:val="18"/>
                <w:color w:val="auto"/>
              </w:rPr>
              <w:t>1,104</w:t>
            </w:r>
          </w:p>
        </w:tc>
        <w:tc>
          <w:tcPr>
            <w:tcW w:w="180" w:type="dxa"/>
            <w:vAlign w:val="bottom"/>
          </w:tcPr>
          <w:p>
            <w:pPr>
              <w:spacing w:after="0"/>
              <w:rPr>
                <w:sz w:val="18"/>
                <w:szCs w:val="18"/>
                <w:color w:val="auto"/>
              </w:rPr>
            </w:pPr>
          </w:p>
        </w:tc>
        <w:tc>
          <w:tcPr>
            <w:tcW w:w="388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58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488</w:t>
            </w: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w w:val="93"/>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480" w:type="dxa"/>
            <w:vAlign w:val="bottom"/>
          </w:tcPr>
          <w:p>
            <w:pPr>
              <w:spacing w:after="0"/>
              <w:rPr>
                <w:sz w:val="19"/>
                <w:szCs w:val="19"/>
                <w:color w:val="auto"/>
              </w:rPr>
            </w:pPr>
          </w:p>
        </w:tc>
        <w:tc>
          <w:tcPr>
            <w:tcW w:w="500" w:type="dxa"/>
            <w:vAlign w:val="bottom"/>
            <w:gridSpan w:val="2"/>
          </w:tcPr>
          <w:p>
            <w:pPr>
              <w:spacing w:after="0"/>
              <w:rPr>
                <w:sz w:val="19"/>
                <w:szCs w:val="19"/>
                <w:color w:val="auto"/>
              </w:rPr>
            </w:pPr>
          </w:p>
        </w:tc>
        <w:tc>
          <w:tcPr>
            <w:tcW w:w="1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4,581</w:t>
            </w:r>
          </w:p>
        </w:tc>
        <w:tc>
          <w:tcPr>
            <w:tcW w:w="180" w:type="dxa"/>
            <w:vAlign w:val="bottom"/>
          </w:tcPr>
          <w:p>
            <w:pPr>
              <w:spacing w:after="0"/>
              <w:rPr>
                <w:sz w:val="19"/>
                <w:szCs w:val="19"/>
                <w:color w:val="auto"/>
              </w:rPr>
            </w:pPr>
          </w:p>
        </w:tc>
        <w:tc>
          <w:tcPr>
            <w:tcW w:w="388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8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80" w:type="dxa"/>
            <w:vAlign w:val="bottom"/>
            <w:tcBorders>
              <w:bottom w:val="single" w:sz="8" w:color="auto"/>
            </w:tcBorders>
            <w:gridSpan w:val="2"/>
          </w:tcPr>
          <w:p>
            <w:pPr>
              <w:jc w:val="right"/>
              <w:ind w:right="1420"/>
              <w:spacing w:after="0"/>
              <w:rPr>
                <w:sz w:val="20"/>
                <w:szCs w:val="20"/>
                <w:color w:val="auto"/>
              </w:rPr>
            </w:pPr>
            <w:r>
              <w:rPr>
                <w:rFonts w:ascii="Arial" w:cs="Arial" w:eastAsia="Arial" w:hAnsi="Arial"/>
                <w:sz w:val="18"/>
                <w:szCs w:val="18"/>
                <w:color w:val="auto"/>
              </w:rPr>
              <w:t>F-88</w:t>
            </w:r>
          </w:p>
        </w:tc>
        <w:tc>
          <w:tcPr>
            <w:tcW w:w="38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689" w:right="239" w:bottom="1440" w:gutter="0" w:footer="0" w:header="0"/>
        </w:sectPr>
      </w:pPr>
    </w:p>
    <w:bookmarkStart w:id="210" w:name="page211"/>
    <w:bookmarkEnd w:id="2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120"/>
        <w:spacing w:after="0"/>
        <w:rPr>
          <w:sz w:val="20"/>
          <w:szCs w:val="20"/>
          <w:color w:val="auto"/>
        </w:rPr>
      </w:pPr>
      <w:r>
        <w:rPr>
          <w:rFonts w:ascii="Arial" w:cs="Arial" w:eastAsia="Arial" w:hAnsi="Arial"/>
          <w:sz w:val="18"/>
          <w:szCs w:val="18"/>
          <w:b w:val="1"/>
          <w:bCs w:val="1"/>
          <w:color w:val="auto"/>
        </w:rPr>
        <w:t>19. Accumulated other comprehensive income (loss) (continued)</w:t>
      </w:r>
    </w:p>
    <w:p>
      <w:pPr>
        <w:spacing w:after="0" w:line="225" w:lineRule="exact"/>
        <w:rPr>
          <w:sz w:val="20"/>
          <w:szCs w:val="20"/>
          <w:color w:val="auto"/>
        </w:rPr>
      </w:pPr>
    </w:p>
    <w:p>
      <w:pPr>
        <w:jc w:val="center"/>
        <w:ind w:right="-259"/>
        <w:spacing w:after="0"/>
        <w:rPr>
          <w:sz w:val="20"/>
          <w:szCs w:val="20"/>
          <w:color w:val="auto"/>
        </w:rPr>
      </w:pPr>
      <w:r>
        <w:rPr>
          <w:rFonts w:ascii="Arial" w:cs="Arial" w:eastAsia="Arial" w:hAnsi="Arial"/>
          <w:sz w:val="18"/>
          <w:szCs w:val="18"/>
          <w:b w:val="1"/>
          <w:bCs w:val="1"/>
          <w:color w:val="auto"/>
        </w:rPr>
        <w:t>December 31, 2015</w:t>
      </w:r>
    </w:p>
    <w:p>
      <w:pPr>
        <w:spacing w:after="0" w:line="27" w:lineRule="exact"/>
        <w:rPr>
          <w:sz w:val="20"/>
          <w:szCs w:val="20"/>
          <w:color w:val="auto"/>
        </w:rPr>
      </w:pPr>
    </w:p>
    <w:tbl>
      <w:tblPr>
        <w:tblLayout w:type="fixed"/>
        <w:tblInd w:w="300" w:type="dxa"/>
        <w:tblCellMar>
          <w:top w:w="0" w:type="dxa"/>
          <w:left w:w="0" w:type="dxa"/>
          <w:bottom w:w="0" w:type="dxa"/>
          <w:right w:w="0" w:type="dxa"/>
        </w:tblCellMar>
      </w:tblPr>
      <w:tr>
        <w:trPr>
          <w:trHeight w:val="191"/>
        </w:trPr>
        <w:tc>
          <w:tcPr>
            <w:tcW w:w="40" w:type="dxa"/>
            <w:vAlign w:val="bottom"/>
          </w:tcPr>
          <w:p>
            <w:pPr>
              <w:spacing w:after="0"/>
              <w:rPr>
                <w:sz w:val="16"/>
                <w:szCs w:val="16"/>
                <w:color w:val="auto"/>
              </w:rPr>
            </w:pPr>
          </w:p>
        </w:tc>
        <w:tc>
          <w:tcPr>
            <w:tcW w:w="49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040" w:type="dxa"/>
            <w:vAlign w:val="bottom"/>
            <w:tcBorders>
              <w:top w:val="single" w:sz="8" w:color="auto"/>
            </w:tcBorders>
            <w:gridSpan w:val="2"/>
          </w:tcPr>
          <w:p>
            <w:pPr>
              <w:jc w:val="right"/>
              <w:ind w:right="280"/>
              <w:spacing w:after="0" w:line="191" w:lineRule="exact"/>
              <w:rPr>
                <w:sz w:val="20"/>
                <w:szCs w:val="20"/>
                <w:color w:val="auto"/>
              </w:rPr>
            </w:pPr>
            <w:r>
              <w:rPr>
                <w:rFonts w:ascii="Arial" w:cs="Arial" w:eastAsia="Arial" w:hAnsi="Arial"/>
                <w:sz w:val="18"/>
                <w:szCs w:val="18"/>
                <w:b w:val="1"/>
                <w:bCs w:val="1"/>
                <w:color w:val="auto"/>
                <w:w w:val="96"/>
              </w:rPr>
              <w:t>Amount reclassified</w:t>
            </w:r>
          </w:p>
        </w:tc>
        <w:tc>
          <w:tcPr>
            <w:tcW w:w="3880" w:type="dxa"/>
            <w:vAlign w:val="bottom"/>
            <w:tcBorders>
              <w:top w:val="single" w:sz="8" w:color="auto"/>
            </w:tcBorders>
          </w:tcPr>
          <w:p>
            <w:pPr>
              <w:spacing w:after="0"/>
              <w:rPr>
                <w:sz w:val="16"/>
                <w:szCs w:val="16"/>
                <w:color w:val="auto"/>
              </w:rPr>
            </w:pPr>
          </w:p>
        </w:tc>
      </w:tr>
      <w:tr>
        <w:trPr>
          <w:trHeight w:val="216"/>
        </w:trPr>
        <w:tc>
          <w:tcPr>
            <w:tcW w:w="40" w:type="dxa"/>
            <w:vAlign w:val="bottom"/>
          </w:tcPr>
          <w:p>
            <w:pPr>
              <w:spacing w:after="0"/>
              <w:rPr>
                <w:sz w:val="18"/>
                <w:szCs w:val="18"/>
                <w:color w:val="auto"/>
              </w:rPr>
            </w:pPr>
          </w:p>
        </w:tc>
        <w:tc>
          <w:tcPr>
            <w:tcW w:w="4940" w:type="dxa"/>
            <w:vAlign w:val="bottom"/>
          </w:tcPr>
          <w:p>
            <w:pPr>
              <w:ind w:left="1220"/>
              <w:spacing w:after="0"/>
              <w:rPr>
                <w:sz w:val="20"/>
                <w:szCs w:val="20"/>
                <w:color w:val="auto"/>
              </w:rPr>
            </w:pPr>
            <w:r>
              <w:rPr>
                <w:rFonts w:ascii="Arial" w:cs="Arial" w:eastAsia="Arial" w:hAnsi="Arial"/>
                <w:sz w:val="18"/>
                <w:szCs w:val="18"/>
                <w:b w:val="1"/>
                <w:bCs w:val="1"/>
                <w:color w:val="auto"/>
              </w:rPr>
              <w:t>Details about accumulated other</w:t>
            </w:r>
          </w:p>
        </w:tc>
        <w:tc>
          <w:tcPr>
            <w:tcW w:w="212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w w:val="93"/>
              </w:rPr>
              <w:t>from accumulated other</w:t>
            </w:r>
          </w:p>
        </w:tc>
        <w:tc>
          <w:tcPr>
            <w:tcW w:w="3880" w:type="dxa"/>
            <w:vAlign w:val="bottom"/>
          </w:tcPr>
          <w:p>
            <w:pPr>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r>
      <w:tr>
        <w:trPr>
          <w:trHeight w:val="234"/>
        </w:trPr>
        <w:tc>
          <w:tcPr>
            <w:tcW w:w="40" w:type="dxa"/>
            <w:vAlign w:val="bottom"/>
          </w:tcPr>
          <w:p>
            <w:pPr>
              <w:spacing w:after="0"/>
              <w:rPr>
                <w:sz w:val="20"/>
                <w:szCs w:val="20"/>
                <w:color w:val="auto"/>
              </w:rPr>
            </w:pPr>
          </w:p>
        </w:tc>
        <w:tc>
          <w:tcPr>
            <w:tcW w:w="4940" w:type="dxa"/>
            <w:vAlign w:val="bottom"/>
          </w:tcPr>
          <w:p>
            <w:pPr>
              <w:ind w:left="1140"/>
              <w:spacing w:after="0"/>
              <w:rPr>
                <w:sz w:val="20"/>
                <w:szCs w:val="20"/>
                <w:color w:val="auto"/>
              </w:rPr>
            </w:pPr>
            <w:r>
              <w:rPr>
                <w:rFonts w:ascii="Arial" w:cs="Arial" w:eastAsia="Arial" w:hAnsi="Arial"/>
                <w:sz w:val="18"/>
                <w:szCs w:val="18"/>
                <w:b w:val="1"/>
                <w:bCs w:val="1"/>
                <w:color w:val="auto"/>
              </w:rPr>
              <w:t>comprehensive income components</w:t>
            </w:r>
          </w:p>
        </w:tc>
        <w:tc>
          <w:tcPr>
            <w:tcW w:w="80" w:type="dxa"/>
            <w:vAlign w:val="bottom"/>
          </w:tcPr>
          <w:p>
            <w:pPr>
              <w:spacing w:after="0"/>
              <w:rPr>
                <w:sz w:val="20"/>
                <w:szCs w:val="20"/>
                <w:color w:val="auto"/>
              </w:rPr>
            </w:pPr>
          </w:p>
        </w:tc>
        <w:tc>
          <w:tcPr>
            <w:tcW w:w="204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w w:val="89"/>
              </w:rPr>
              <w:t>comprehensive income</w:t>
            </w:r>
          </w:p>
        </w:tc>
        <w:tc>
          <w:tcPr>
            <w:tcW w:w="3880" w:type="dxa"/>
            <w:vAlign w:val="bottom"/>
          </w:tcPr>
          <w:p>
            <w:pPr>
              <w:ind w:left="280"/>
              <w:spacing w:after="0"/>
              <w:rPr>
                <w:sz w:val="20"/>
                <w:szCs w:val="20"/>
                <w:color w:val="auto"/>
              </w:rPr>
            </w:pPr>
            <w:r>
              <w:rPr>
                <w:rFonts w:ascii="Arial" w:cs="Arial" w:eastAsia="Arial" w:hAnsi="Arial"/>
                <w:sz w:val="18"/>
                <w:szCs w:val="18"/>
                <w:b w:val="1"/>
                <w:bCs w:val="1"/>
                <w:color w:val="auto"/>
                <w:w w:val="94"/>
              </w:rPr>
              <w:t>profit or loss where net income is presented</w:t>
            </w:r>
          </w:p>
        </w:tc>
      </w:tr>
      <w:tr>
        <w:trPr>
          <w:trHeight w:val="210"/>
        </w:trPr>
        <w:tc>
          <w:tcPr>
            <w:tcW w:w="40" w:type="dxa"/>
            <w:vAlign w:val="bottom"/>
          </w:tcPr>
          <w:p>
            <w:pPr>
              <w:spacing w:after="0"/>
              <w:rPr>
                <w:sz w:val="18"/>
                <w:szCs w:val="18"/>
                <w:color w:val="auto"/>
              </w:rPr>
            </w:pPr>
          </w:p>
        </w:tc>
        <w:tc>
          <w:tcPr>
            <w:tcW w:w="4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financial instruments at FVOCI:</w:t>
            </w:r>
          </w:p>
        </w:tc>
        <w:tc>
          <w:tcPr>
            <w:tcW w:w="80" w:type="dxa"/>
            <w:vAlign w:val="bottom"/>
            <w:tcBorders>
              <w:top w:val="single" w:sz="8" w:color="CCEEFF"/>
            </w:tcBorders>
            <w:shd w:val="clear" w:color="auto" w:fill="CCEEFF"/>
          </w:tcPr>
          <w:p>
            <w:pPr>
              <w:spacing w:after="0"/>
              <w:rPr>
                <w:sz w:val="18"/>
                <w:szCs w:val="18"/>
                <w:color w:val="auto"/>
              </w:rPr>
            </w:pPr>
          </w:p>
        </w:tc>
        <w:tc>
          <w:tcPr>
            <w:tcW w:w="1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240</w:t>
            </w:r>
          </w:p>
        </w:tc>
        <w:tc>
          <w:tcPr>
            <w:tcW w:w="180" w:type="dxa"/>
            <w:vAlign w:val="bottom"/>
            <w:tcBorders>
              <w:top w:val="single" w:sz="8" w:color="CCEEFF"/>
            </w:tcBorders>
            <w:shd w:val="clear" w:color="auto" w:fill="CCEEFF"/>
          </w:tcPr>
          <w:p>
            <w:pPr>
              <w:spacing w:after="0"/>
              <w:rPr>
                <w:sz w:val="18"/>
                <w:szCs w:val="18"/>
                <w:color w:val="auto"/>
              </w:rPr>
            </w:pPr>
          </w:p>
        </w:tc>
        <w:tc>
          <w:tcPr>
            <w:tcW w:w="38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Interest income – financial instruments at FVOCI</w:t>
            </w:r>
          </w:p>
        </w:tc>
      </w:tr>
      <w:tr>
        <w:trPr>
          <w:trHeight w:val="216"/>
        </w:trPr>
        <w:tc>
          <w:tcPr>
            <w:tcW w:w="40" w:type="dxa"/>
            <w:vAlign w:val="bottom"/>
          </w:tcPr>
          <w:p>
            <w:pPr>
              <w:spacing w:after="0"/>
              <w:rPr>
                <w:sz w:val="18"/>
                <w:szCs w:val="18"/>
                <w:color w:val="auto"/>
              </w:rPr>
            </w:pPr>
          </w:p>
        </w:tc>
        <w:tc>
          <w:tcPr>
            <w:tcW w:w="4940" w:type="dxa"/>
            <w:vAlign w:val="bottom"/>
          </w:tcPr>
          <w:p>
            <w:pPr>
              <w:spacing w:after="0"/>
              <w:rPr>
                <w:sz w:val="18"/>
                <w:szCs w:val="18"/>
                <w:color w:val="auto"/>
              </w:rPr>
            </w:pPr>
          </w:p>
        </w:tc>
        <w:tc>
          <w:tcPr>
            <w:tcW w:w="2120" w:type="dxa"/>
            <w:vAlign w:val="bottom"/>
            <w:gridSpan w:val="3"/>
          </w:tcPr>
          <w:p>
            <w:pPr>
              <w:jc w:val="right"/>
              <w:ind w:right="100"/>
              <w:spacing w:after="0"/>
              <w:rPr>
                <w:sz w:val="20"/>
                <w:szCs w:val="20"/>
                <w:color w:val="auto"/>
              </w:rPr>
            </w:pPr>
            <w:r>
              <w:rPr>
                <w:rFonts w:ascii="Arial" w:cs="Arial" w:eastAsia="Arial" w:hAnsi="Arial"/>
                <w:sz w:val="18"/>
                <w:szCs w:val="18"/>
                <w:color w:val="auto"/>
              </w:rPr>
              <w:t>393</w:t>
            </w:r>
          </w:p>
        </w:tc>
        <w:tc>
          <w:tcPr>
            <w:tcW w:w="3880" w:type="dxa"/>
            <w:vAlign w:val="bottom"/>
          </w:tcPr>
          <w:p>
            <w:pPr>
              <w:spacing w:after="0"/>
              <w:rPr>
                <w:sz w:val="20"/>
                <w:szCs w:val="20"/>
                <w:color w:val="auto"/>
              </w:rPr>
            </w:pPr>
            <w:r>
              <w:rPr>
                <w:rFonts w:ascii="Arial" w:cs="Arial" w:eastAsia="Arial" w:hAnsi="Arial"/>
                <w:sz w:val="18"/>
                <w:szCs w:val="18"/>
                <w:color w:val="auto"/>
                <w:w w:val="96"/>
              </w:rPr>
              <w:t>Net gain on sale of financial instruments at FVOCI</w:t>
            </w:r>
          </w:p>
        </w:tc>
      </w:tr>
      <w:tr>
        <w:trPr>
          <w:trHeight w:val="230"/>
        </w:trPr>
        <w:tc>
          <w:tcPr>
            <w:tcW w:w="40" w:type="dxa"/>
            <w:vAlign w:val="bottom"/>
          </w:tcPr>
          <w:p>
            <w:pPr>
              <w:spacing w:after="0"/>
              <w:rPr>
                <w:sz w:val="19"/>
                <w:szCs w:val="19"/>
                <w:color w:val="auto"/>
              </w:rPr>
            </w:pPr>
          </w:p>
        </w:tc>
        <w:tc>
          <w:tcPr>
            <w:tcW w:w="4940" w:type="dxa"/>
            <w:vAlign w:val="bottom"/>
            <w:shd w:val="clear" w:color="auto" w:fill="CCEEFF"/>
          </w:tcPr>
          <w:p>
            <w:pPr>
              <w:spacing w:after="0"/>
              <w:rPr>
                <w:sz w:val="19"/>
                <w:szCs w:val="19"/>
                <w:color w:val="auto"/>
              </w:rPr>
            </w:pPr>
          </w:p>
        </w:tc>
        <w:tc>
          <w:tcPr>
            <w:tcW w:w="21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(4,786)</w:t>
            </w: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r>
      <w:tr>
        <w:trPr>
          <w:trHeight w:val="263"/>
        </w:trPr>
        <w:tc>
          <w:tcPr>
            <w:tcW w:w="40" w:type="dxa"/>
            <w:vAlign w:val="bottom"/>
          </w:tcPr>
          <w:p>
            <w:pPr>
              <w:spacing w:after="0"/>
              <w:rPr>
                <w:sz w:val="22"/>
                <w:szCs w:val="22"/>
                <w:color w:val="auto"/>
              </w:rPr>
            </w:pPr>
          </w:p>
        </w:tc>
        <w:tc>
          <w:tcPr>
            <w:tcW w:w="494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(4,153</w:t>
            </w:r>
          </w:p>
        </w:tc>
        <w:tc>
          <w:tcPr>
            <w:tcW w:w="180" w:type="dxa"/>
            <w:vAlign w:val="bottom"/>
            <w:tcBorders>
              <w:bottom w:val="single" w:sz="8" w:color="CCEEFF"/>
            </w:tcBorders>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3880" w:type="dxa"/>
            <w:vAlign w:val="bottom"/>
            <w:tcBorders>
              <w:bottom w:val="single" w:sz="8" w:color="CCEEFF"/>
            </w:tcBorders>
          </w:tcPr>
          <w:p>
            <w:pPr>
              <w:spacing w:after="0"/>
              <w:rPr>
                <w:sz w:val="22"/>
                <w:szCs w:val="22"/>
                <w:color w:val="auto"/>
              </w:rPr>
            </w:pPr>
          </w:p>
        </w:tc>
      </w:tr>
      <w:tr>
        <w:trPr>
          <w:trHeight w:val="197"/>
        </w:trPr>
        <w:tc>
          <w:tcPr>
            <w:tcW w:w="40" w:type="dxa"/>
            <w:vAlign w:val="bottom"/>
          </w:tcPr>
          <w:p>
            <w:pPr>
              <w:spacing w:after="0"/>
              <w:rPr>
                <w:sz w:val="17"/>
                <w:szCs w:val="17"/>
                <w:color w:val="auto"/>
              </w:rPr>
            </w:pPr>
          </w:p>
        </w:tc>
        <w:tc>
          <w:tcPr>
            <w:tcW w:w="4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3880" w:type="dxa"/>
            <w:vAlign w:val="bottom"/>
            <w:shd w:val="clear" w:color="auto" w:fill="CCEEFF"/>
          </w:tcPr>
          <w:p>
            <w:pPr>
              <w:spacing w:after="0"/>
              <w:rPr>
                <w:sz w:val="17"/>
                <w:szCs w:val="17"/>
                <w:color w:val="auto"/>
              </w:rPr>
            </w:pPr>
          </w:p>
        </w:tc>
      </w:tr>
      <w:tr>
        <w:trPr>
          <w:trHeight w:val="216"/>
        </w:trPr>
        <w:tc>
          <w:tcPr>
            <w:tcW w:w="40" w:type="dxa"/>
            <w:vAlign w:val="bottom"/>
          </w:tcPr>
          <w:p>
            <w:pPr>
              <w:spacing w:after="0"/>
              <w:rPr>
                <w:sz w:val="18"/>
                <w:szCs w:val="18"/>
                <w:color w:val="auto"/>
              </w:rPr>
            </w:pPr>
          </w:p>
        </w:tc>
        <w:tc>
          <w:tcPr>
            <w:tcW w:w="4940" w:type="dxa"/>
            <w:vAlign w:val="bottom"/>
          </w:tcPr>
          <w:p>
            <w:pPr>
              <w:spacing w:after="0"/>
              <w:rPr>
                <w:sz w:val="20"/>
                <w:szCs w:val="20"/>
                <w:color w:val="auto"/>
              </w:rPr>
            </w:pPr>
            <w:r>
              <w:rPr>
                <w:rFonts w:ascii="Arial" w:cs="Arial" w:eastAsia="Arial" w:hAnsi="Arial"/>
                <w:sz w:val="18"/>
                <w:szCs w:val="18"/>
                <w:color w:val="auto"/>
              </w:rPr>
              <w:t>Gains (losses) on derivative financial instruments:</w:t>
            </w:r>
          </w:p>
        </w:tc>
        <w:tc>
          <w:tcPr>
            <w:tcW w:w="8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80" w:type="dxa"/>
            <w:vAlign w:val="bottom"/>
          </w:tcPr>
          <w:p>
            <w:pPr>
              <w:spacing w:after="0"/>
              <w:rPr>
                <w:sz w:val="18"/>
                <w:szCs w:val="18"/>
                <w:color w:val="auto"/>
              </w:rPr>
            </w:pPr>
          </w:p>
        </w:tc>
      </w:tr>
      <w:tr>
        <w:trPr>
          <w:trHeight w:val="216"/>
        </w:trPr>
        <w:tc>
          <w:tcPr>
            <w:tcW w:w="40" w:type="dxa"/>
            <w:vAlign w:val="bottom"/>
          </w:tcPr>
          <w:p>
            <w:pPr>
              <w:spacing w:after="0"/>
              <w:rPr>
                <w:sz w:val="18"/>
                <w:szCs w:val="18"/>
                <w:color w:val="auto"/>
              </w:rPr>
            </w:pPr>
          </w:p>
        </w:tc>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1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(1,822)</w:t>
            </w: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 at amortized cost</w:t>
            </w:r>
          </w:p>
        </w:tc>
      </w:tr>
      <w:tr>
        <w:trPr>
          <w:trHeight w:val="216"/>
        </w:trPr>
        <w:tc>
          <w:tcPr>
            <w:tcW w:w="40" w:type="dxa"/>
            <w:vAlign w:val="bottom"/>
          </w:tcPr>
          <w:p>
            <w:pPr>
              <w:spacing w:after="0"/>
              <w:rPr>
                <w:sz w:val="18"/>
                <w:szCs w:val="18"/>
                <w:color w:val="auto"/>
              </w:rPr>
            </w:pPr>
          </w:p>
        </w:tc>
        <w:tc>
          <w:tcPr>
            <w:tcW w:w="4940" w:type="dxa"/>
            <w:vAlign w:val="bottom"/>
          </w:tcPr>
          <w:p>
            <w:pPr>
              <w:spacing w:after="0"/>
              <w:rPr>
                <w:sz w:val="18"/>
                <w:szCs w:val="18"/>
                <w:color w:val="auto"/>
              </w:rPr>
            </w:pPr>
          </w:p>
        </w:tc>
        <w:tc>
          <w:tcPr>
            <w:tcW w:w="19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388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r>
      <w:tr>
        <w:trPr>
          <w:trHeight w:val="230"/>
        </w:trPr>
        <w:tc>
          <w:tcPr>
            <w:tcW w:w="40" w:type="dxa"/>
            <w:vAlign w:val="bottom"/>
          </w:tcPr>
          <w:p>
            <w:pPr>
              <w:spacing w:after="0"/>
              <w:rPr>
                <w:sz w:val="19"/>
                <w:szCs w:val="19"/>
                <w:color w:val="auto"/>
              </w:rPr>
            </w:pPr>
          </w:p>
        </w:tc>
        <w:tc>
          <w:tcPr>
            <w:tcW w:w="4940" w:type="dxa"/>
            <w:vAlign w:val="bottom"/>
            <w:shd w:val="clear" w:color="auto" w:fill="CCEEFF"/>
          </w:tcPr>
          <w:p>
            <w:pPr>
              <w:spacing w:after="0"/>
              <w:rPr>
                <w:sz w:val="19"/>
                <w:szCs w:val="19"/>
                <w:color w:val="auto"/>
              </w:rPr>
            </w:pPr>
          </w:p>
        </w:tc>
        <w:tc>
          <w:tcPr>
            <w:tcW w:w="21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(2,390)</w:t>
            </w:r>
          </w:p>
        </w:tc>
        <w:tc>
          <w:tcPr>
            <w:tcW w:w="388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r>
      <w:tr>
        <w:trPr>
          <w:trHeight w:val="263"/>
        </w:trPr>
        <w:tc>
          <w:tcPr>
            <w:tcW w:w="40" w:type="dxa"/>
            <w:vAlign w:val="bottom"/>
          </w:tcPr>
          <w:p>
            <w:pPr>
              <w:spacing w:after="0"/>
              <w:rPr>
                <w:sz w:val="22"/>
                <w:szCs w:val="22"/>
                <w:color w:val="auto"/>
              </w:rPr>
            </w:pPr>
          </w:p>
        </w:tc>
        <w:tc>
          <w:tcPr>
            <w:tcW w:w="494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(4,212</w:t>
            </w:r>
          </w:p>
        </w:tc>
        <w:tc>
          <w:tcPr>
            <w:tcW w:w="180" w:type="dxa"/>
            <w:vAlign w:val="bottom"/>
            <w:tcBorders>
              <w:bottom w:val="single" w:sz="8" w:color="CCEEFF"/>
            </w:tcBorders>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3880" w:type="dxa"/>
            <w:vAlign w:val="bottom"/>
            <w:tcBorders>
              <w:bottom w:val="single" w:sz="8" w:color="CCEEFF"/>
            </w:tcBorders>
          </w:tcPr>
          <w:p>
            <w:pPr>
              <w:spacing w:after="0"/>
              <w:rPr>
                <w:sz w:val="22"/>
                <w:szCs w:val="22"/>
                <w:color w:val="auto"/>
              </w:rPr>
            </w:pPr>
          </w:p>
        </w:tc>
      </w:tr>
      <w:tr>
        <w:trPr>
          <w:trHeight w:val="197"/>
        </w:trPr>
        <w:tc>
          <w:tcPr>
            <w:tcW w:w="40" w:type="dxa"/>
            <w:vAlign w:val="bottom"/>
          </w:tcPr>
          <w:p>
            <w:pPr>
              <w:spacing w:after="0"/>
              <w:rPr>
                <w:sz w:val="17"/>
                <w:szCs w:val="17"/>
                <w:color w:val="auto"/>
              </w:rPr>
            </w:pPr>
          </w:p>
        </w:tc>
        <w:tc>
          <w:tcPr>
            <w:tcW w:w="4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3880" w:type="dxa"/>
            <w:vAlign w:val="bottom"/>
            <w:shd w:val="clear" w:color="auto" w:fill="CCEEFF"/>
          </w:tcPr>
          <w:p>
            <w:pPr>
              <w:spacing w:after="0"/>
              <w:rPr>
                <w:sz w:val="17"/>
                <w:szCs w:val="17"/>
                <w:color w:val="auto"/>
              </w:rPr>
            </w:pPr>
          </w:p>
        </w:tc>
      </w:tr>
      <w:tr>
        <w:trPr>
          <w:trHeight w:val="216"/>
        </w:trPr>
        <w:tc>
          <w:tcPr>
            <w:tcW w:w="40" w:type="dxa"/>
            <w:vAlign w:val="bottom"/>
          </w:tcPr>
          <w:p>
            <w:pPr>
              <w:spacing w:after="0"/>
              <w:rPr>
                <w:sz w:val="18"/>
                <w:szCs w:val="18"/>
                <w:color w:val="auto"/>
              </w:rPr>
            </w:pPr>
          </w:p>
        </w:tc>
        <w:tc>
          <w:tcPr>
            <w:tcW w:w="4940" w:type="dxa"/>
            <w:vAlign w:val="bottom"/>
          </w:tcPr>
          <w:p>
            <w:pPr>
              <w:spacing w:after="0"/>
              <w:rPr>
                <w:sz w:val="20"/>
                <w:szCs w:val="20"/>
                <w:color w:val="auto"/>
              </w:rPr>
            </w:pPr>
            <w:r>
              <w:rPr>
                <w:rFonts w:ascii="Arial" w:cs="Arial" w:eastAsia="Arial" w:hAnsi="Arial"/>
                <w:sz w:val="18"/>
                <w:szCs w:val="18"/>
                <w:color w:val="auto"/>
              </w:rPr>
              <w:t>Interest rate swaps</w:t>
            </w:r>
          </w:p>
        </w:tc>
        <w:tc>
          <w:tcPr>
            <w:tcW w:w="2120" w:type="dxa"/>
            <w:vAlign w:val="bottom"/>
            <w:gridSpan w:val="3"/>
          </w:tcPr>
          <w:p>
            <w:pPr>
              <w:jc w:val="right"/>
              <w:ind w:right="40"/>
              <w:spacing w:after="0"/>
              <w:rPr>
                <w:sz w:val="20"/>
                <w:szCs w:val="20"/>
                <w:color w:val="auto"/>
              </w:rPr>
            </w:pPr>
            <w:r>
              <w:rPr>
                <w:rFonts w:ascii="Arial" w:cs="Arial" w:eastAsia="Arial" w:hAnsi="Arial"/>
                <w:sz w:val="18"/>
                <w:szCs w:val="18"/>
                <w:color w:val="auto"/>
              </w:rPr>
              <w:t>(229)</w:t>
            </w:r>
          </w:p>
        </w:tc>
        <w:tc>
          <w:tcPr>
            <w:tcW w:w="3880" w:type="dxa"/>
            <w:vAlign w:val="bottom"/>
          </w:tcPr>
          <w:p>
            <w:pPr>
              <w:spacing w:after="0"/>
              <w:rPr>
                <w:sz w:val="20"/>
                <w:szCs w:val="20"/>
                <w:color w:val="auto"/>
              </w:rPr>
            </w:pPr>
            <w:r>
              <w:rPr>
                <w:rFonts w:ascii="Arial" w:cs="Arial" w:eastAsia="Arial" w:hAnsi="Arial"/>
                <w:sz w:val="18"/>
                <w:szCs w:val="18"/>
                <w:color w:val="auto"/>
              </w:rPr>
              <w:t>Net gain (loss) on interest rate swaps</w:t>
            </w:r>
          </w:p>
        </w:tc>
      </w:tr>
      <w:tr>
        <w:trPr>
          <w:trHeight w:val="216"/>
        </w:trPr>
        <w:tc>
          <w:tcPr>
            <w:tcW w:w="40" w:type="dxa"/>
            <w:vAlign w:val="bottom"/>
          </w:tcPr>
          <w:p>
            <w:pPr>
              <w:spacing w:after="0"/>
              <w:rPr>
                <w:sz w:val="18"/>
                <w:szCs w:val="18"/>
                <w:color w:val="auto"/>
              </w:rPr>
            </w:pPr>
          </w:p>
        </w:tc>
        <w:tc>
          <w:tcPr>
            <w:tcW w:w="49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880" w:type="dxa"/>
            <w:vAlign w:val="bottom"/>
            <w:shd w:val="clear" w:color="auto" w:fill="CCEEFF"/>
          </w:tcPr>
          <w:p>
            <w:pPr>
              <w:spacing w:after="0"/>
              <w:rPr>
                <w:sz w:val="18"/>
                <w:szCs w:val="18"/>
                <w:color w:val="auto"/>
              </w:rPr>
            </w:pPr>
          </w:p>
        </w:tc>
      </w:tr>
      <w:tr>
        <w:trPr>
          <w:trHeight w:val="230"/>
        </w:trPr>
        <w:tc>
          <w:tcPr>
            <w:tcW w:w="40" w:type="dxa"/>
            <w:vAlign w:val="bottom"/>
          </w:tcPr>
          <w:p>
            <w:pPr>
              <w:spacing w:after="0"/>
              <w:rPr>
                <w:sz w:val="20"/>
                <w:szCs w:val="20"/>
                <w:color w:val="auto"/>
              </w:rPr>
            </w:pPr>
          </w:p>
        </w:tc>
        <w:tc>
          <w:tcPr>
            <w:tcW w:w="4940" w:type="dxa"/>
            <w:vAlign w:val="bottom"/>
          </w:tcPr>
          <w:p>
            <w:pPr>
              <w:spacing w:after="0"/>
              <w:rPr>
                <w:sz w:val="20"/>
                <w:szCs w:val="20"/>
                <w:color w:val="auto"/>
              </w:rPr>
            </w:pPr>
            <w:r>
              <w:rPr>
                <w:rFonts w:ascii="Arial" w:cs="Arial" w:eastAsia="Arial" w:hAnsi="Arial"/>
                <w:sz w:val="18"/>
                <w:szCs w:val="18"/>
                <w:color w:val="auto"/>
              </w:rPr>
              <w:t>Cross-currency interest rate swap</w:t>
            </w:r>
          </w:p>
        </w:tc>
        <w:tc>
          <w:tcPr>
            <w:tcW w:w="1940" w:type="dxa"/>
            <w:vAlign w:val="bottom"/>
            <w:gridSpan w:val="2"/>
          </w:tcPr>
          <w:p>
            <w:pPr>
              <w:jc w:val="right"/>
              <w:spacing w:after="0"/>
              <w:rPr>
                <w:sz w:val="20"/>
                <w:szCs w:val="20"/>
                <w:color w:val="auto"/>
              </w:rPr>
            </w:pPr>
            <w:r>
              <w:rPr>
                <w:rFonts w:ascii="Arial" w:cs="Arial" w:eastAsia="Arial" w:hAnsi="Arial"/>
                <w:sz w:val="18"/>
                <w:szCs w:val="18"/>
                <w:color w:val="auto"/>
              </w:rPr>
              <w:t>84</w:t>
            </w:r>
          </w:p>
        </w:tc>
        <w:tc>
          <w:tcPr>
            <w:tcW w:w="180" w:type="dxa"/>
            <w:vAlign w:val="bottom"/>
          </w:tcPr>
          <w:p>
            <w:pPr>
              <w:spacing w:after="0"/>
              <w:rPr>
                <w:sz w:val="20"/>
                <w:szCs w:val="20"/>
                <w:color w:val="auto"/>
              </w:rPr>
            </w:pPr>
          </w:p>
        </w:tc>
        <w:tc>
          <w:tcPr>
            <w:tcW w:w="3880" w:type="dxa"/>
            <w:vAlign w:val="bottom"/>
          </w:tcPr>
          <w:p>
            <w:pPr>
              <w:spacing w:after="0"/>
              <w:rPr>
                <w:sz w:val="20"/>
                <w:szCs w:val="20"/>
                <w:color w:val="auto"/>
              </w:rPr>
            </w:pPr>
            <w:r>
              <w:rPr>
                <w:rFonts w:ascii="Arial" w:cs="Arial" w:eastAsia="Arial" w:hAnsi="Arial"/>
                <w:sz w:val="18"/>
                <w:szCs w:val="18"/>
                <w:color w:val="auto"/>
                <w:w w:val="93"/>
              </w:rPr>
              <w:t>Net gain (loss) on cross-currency interest rate swap</w:t>
            </w:r>
          </w:p>
        </w:tc>
      </w:tr>
      <w:tr>
        <w:trPr>
          <w:trHeight w:val="418"/>
        </w:trPr>
        <w:tc>
          <w:tcPr>
            <w:tcW w:w="4980" w:type="dxa"/>
            <w:vAlign w:val="bottom"/>
            <w:gridSpan w:val="2"/>
          </w:tcPr>
          <w:p>
            <w:pPr>
              <w:spacing w:after="0"/>
              <w:rPr>
                <w:sz w:val="20"/>
                <w:szCs w:val="20"/>
                <w:color w:val="auto"/>
              </w:rPr>
            </w:pPr>
            <w:r>
              <w:rPr>
                <w:rFonts w:ascii="Arial" w:cs="Arial" w:eastAsia="Arial" w:hAnsi="Arial"/>
                <w:sz w:val="18"/>
                <w:szCs w:val="18"/>
                <w:b w:val="1"/>
                <w:bCs w:val="1"/>
                <w:color w:val="auto"/>
              </w:rPr>
              <w:t>20. Related party transactions</w:t>
            </w:r>
          </w:p>
        </w:tc>
        <w:tc>
          <w:tcPr>
            <w:tcW w:w="8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880" w:type="dxa"/>
            <w:vAlign w:val="bottom"/>
          </w:tcPr>
          <w:p>
            <w:pPr>
              <w:spacing w:after="0"/>
              <w:rPr>
                <w:sz w:val="24"/>
                <w:szCs w:val="24"/>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During the reporting years, total compensation paid to directors and the executives of Bladex as representatives of the Bank amounted to:</w:t>
      </w:r>
    </w:p>
    <w:p>
      <w:pPr>
        <w:spacing w:after="0" w:line="221" w:lineRule="exact"/>
        <w:rPr>
          <w:sz w:val="20"/>
          <w:szCs w:val="20"/>
          <w:color w:val="auto"/>
        </w:rPr>
      </w:pPr>
    </w:p>
    <w:tbl>
      <w:tblPr>
        <w:tblLayout w:type="fixed"/>
        <w:tblInd w:w="40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6040" w:type="dxa"/>
            <w:vAlign w:val="bottom"/>
          </w:tcPr>
          <w:p>
            <w:pPr>
              <w:spacing w:after="0"/>
              <w:rPr>
                <w:sz w:val="18"/>
                <w:szCs w:val="18"/>
                <w:color w:val="auto"/>
              </w:rPr>
            </w:pPr>
          </w:p>
        </w:tc>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3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40" w:type="dxa"/>
            <w:vAlign w:val="bottom"/>
            <w:tcBorders>
              <w:bottom w:val="single" w:sz="8" w:color="CCEEFF"/>
            </w:tcBorders>
          </w:tcPr>
          <w:p>
            <w:pPr>
              <w:spacing w:after="0"/>
              <w:rPr>
                <w:sz w:val="20"/>
                <w:szCs w:val="20"/>
                <w:color w:val="auto"/>
              </w:rPr>
            </w:pPr>
          </w:p>
        </w:tc>
        <w:tc>
          <w:tcPr>
            <w:tcW w:w="604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20" w:type="dxa"/>
            <w:vAlign w:val="bottom"/>
          </w:tcPr>
          <w:p>
            <w:pPr>
              <w:spacing w:after="0"/>
              <w:rPr>
                <w:sz w:val="14"/>
                <w:szCs w:val="14"/>
                <w:color w:val="auto"/>
              </w:rPr>
            </w:pPr>
          </w:p>
        </w:tc>
        <w:tc>
          <w:tcPr>
            <w:tcW w:w="6780" w:type="dxa"/>
            <w:vAlign w:val="bottom"/>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Expenses:</w:t>
            </w:r>
          </w:p>
        </w:tc>
        <w:tc>
          <w:tcPr>
            <w:tcW w:w="1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20" w:type="dxa"/>
            <w:vAlign w:val="bottom"/>
            <w:tcBorders>
              <w:top w:val="single" w:sz="8" w:color="auto"/>
            </w:tcBorders>
            <w:vMerge w:val="restart"/>
          </w:tcPr>
          <w:p>
            <w:pPr>
              <w:spacing w:after="0" w:line="20" w:lineRule="exact"/>
              <w:rPr>
                <w:sz w:val="1"/>
                <w:szCs w:val="1"/>
                <w:color w:val="auto"/>
              </w:rPr>
            </w:pPr>
          </w:p>
        </w:tc>
        <w:tc>
          <w:tcPr>
            <w:tcW w:w="740" w:type="dxa"/>
            <w:vAlign w:val="bottom"/>
            <w:tcBorders>
              <w:top w:val="single" w:sz="8" w:color="auto"/>
            </w:tcBorders>
            <w:shd w:val="clear" w:color="auto" w:fill="CCEEFF"/>
          </w:tcPr>
          <w:p>
            <w:pPr>
              <w:spacing w:after="0" w:line="20" w:lineRule="exact"/>
              <w:rPr>
                <w:sz w:val="1"/>
                <w:szCs w:val="1"/>
                <w:color w:val="auto"/>
              </w:rPr>
            </w:pPr>
          </w:p>
        </w:tc>
        <w:tc>
          <w:tcPr>
            <w:tcW w:w="604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20" w:type="dxa"/>
            <w:vAlign w:val="bottom"/>
            <w:vMerge w:val="continue"/>
          </w:tcPr>
          <w:p>
            <w:pPr>
              <w:spacing w:after="0"/>
              <w:rPr>
                <w:sz w:val="24"/>
                <w:szCs w:val="24"/>
                <w:color w:val="auto"/>
              </w:rPr>
            </w:pPr>
          </w:p>
        </w:tc>
        <w:tc>
          <w:tcPr>
            <w:tcW w:w="67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Compensation costs paid to directors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884</w:t>
            </w:r>
          </w:p>
        </w:tc>
        <w:tc>
          <w:tcPr>
            <w:tcW w:w="220" w:type="dxa"/>
            <w:vAlign w:val="bottom"/>
            <w:tcBorders>
              <w:bottom w:val="single" w:sz="8" w:color="CCEEFF"/>
            </w:tcBorders>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880</w:t>
            </w:r>
          </w:p>
        </w:tc>
        <w:tc>
          <w:tcPr>
            <w:tcW w:w="220" w:type="dxa"/>
            <w:vAlign w:val="bottom"/>
            <w:tcBorders>
              <w:bottom w:val="single" w:sz="8" w:color="CCEEFF"/>
            </w:tcBorders>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949</w:t>
            </w:r>
          </w:p>
        </w:tc>
        <w:tc>
          <w:tcPr>
            <w:tcW w:w="120" w:type="dxa"/>
            <w:vAlign w:val="bottom"/>
            <w:tcBorders>
              <w:bottom w:val="single" w:sz="8" w:color="CCEEFF"/>
            </w:tcBorders>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678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paid to executives</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2,370</w:t>
            </w: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4,055</w:t>
            </w: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4,601</w:t>
            </w:r>
          </w:p>
        </w:tc>
        <w:tc>
          <w:tcPr>
            <w:tcW w:w="12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60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sectPr>
          <w:pgSz w:w="11900" w:h="16838" w:orient="portrait"/>
          <w:cols w:equalWidth="0" w:num="1">
            <w:col w:w="11360"/>
          </w:cols>
          <w:pgMar w:left="240" w:top="688" w:right="299" w:bottom="1440" w:gutter="0" w:footer="0" w:header="0"/>
        </w:sectPr>
      </w:pPr>
    </w:p>
    <w:p>
      <w:pPr>
        <w:ind w:left="300"/>
        <w:spacing w:after="0"/>
        <w:rPr>
          <w:sz w:val="20"/>
          <w:szCs w:val="20"/>
          <w:color w:val="auto"/>
        </w:rPr>
      </w:pPr>
      <w:r>
        <w:rPr>
          <w:rFonts w:ascii="Arial" w:cs="Arial" w:eastAsia="Arial" w:hAnsi="Arial"/>
          <w:sz w:val="18"/>
          <w:szCs w:val="18"/>
          <w:b w:val="1"/>
          <w:bCs w:val="1"/>
          <w:color w:val="auto"/>
        </w:rPr>
        <w:t>21. Fees and commissions, net</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400" w:right="820"/>
        <w:spacing w:after="0" w:line="271" w:lineRule="auto"/>
        <w:rPr>
          <w:sz w:val="20"/>
          <w:szCs w:val="20"/>
          <w:color w:val="auto"/>
        </w:rPr>
      </w:pPr>
      <w:r>
        <w:rPr>
          <w:rFonts w:ascii="Arial" w:cs="Arial" w:eastAsia="Arial" w:hAnsi="Arial"/>
          <w:sz w:val="17"/>
          <w:szCs w:val="17"/>
          <w:color w:val="auto"/>
        </w:rPr>
        <w:t>Commission income – Loans &amp; commitments, net Commission income - Letters of credit Commission income - Arrangements</w:t>
      </w:r>
    </w:p>
    <w:p>
      <w:pPr>
        <w:ind w:left="40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2" w:lineRule="exact"/>
        <w:rPr>
          <w:sz w:val="20"/>
          <w:szCs w:val="20"/>
          <w:color w:val="auto"/>
        </w:rPr>
      </w:pPr>
    </w:p>
    <w:p>
      <w:pPr>
        <w:spacing w:after="0" w:line="1" w:lineRule="exact"/>
        <w:rPr>
          <w:sz w:val="1"/>
          <w:szCs w:val="1"/>
          <w:color w:val="auto"/>
        </w:rPr>
      </w:pPr>
    </w:p>
    <w:tbl>
      <w:tblPr>
        <w:tblLayout w:type="fixed"/>
        <w:tblInd w:w="1640" w:type="dxa"/>
        <w:tblCellMar>
          <w:top w:w="0" w:type="dxa"/>
          <w:left w:w="0" w:type="dxa"/>
          <w:bottom w:w="0" w:type="dxa"/>
          <w:right w:w="0" w:type="dxa"/>
        </w:tblCellMar>
      </w:tblPr>
      <w:tr>
        <w:trPr>
          <w:trHeight w:val="216"/>
        </w:trPr>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r>
      <w:tr>
        <w:trPr>
          <w:trHeight w:val="195"/>
        </w:trPr>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476</w:t>
            </w:r>
          </w:p>
        </w:tc>
        <w:tc>
          <w:tcPr>
            <w:tcW w:w="220" w:type="dxa"/>
            <w:vAlign w:val="bottom"/>
          </w:tcPr>
          <w:p>
            <w:pPr>
              <w:spacing w:after="0"/>
              <w:rPr>
                <w:sz w:val="16"/>
                <w:szCs w:val="16"/>
                <w:color w:val="auto"/>
              </w:rPr>
            </w:pPr>
          </w:p>
        </w:tc>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1,126</w:t>
            </w:r>
          </w:p>
        </w:tc>
        <w:tc>
          <w:tcPr>
            <w:tcW w:w="220" w:type="dxa"/>
            <w:vAlign w:val="bottom"/>
          </w:tcPr>
          <w:p>
            <w:pPr>
              <w:spacing w:after="0"/>
              <w:rPr>
                <w:sz w:val="16"/>
                <w:szCs w:val="16"/>
                <w:color w:val="auto"/>
              </w:rPr>
            </w:pPr>
          </w:p>
        </w:tc>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2,988</w:t>
            </w:r>
          </w:p>
        </w:tc>
      </w:tr>
      <w:tr>
        <w:trPr>
          <w:trHeight w:val="230"/>
        </w:trPr>
        <w:tc>
          <w:tcPr>
            <w:tcW w:w="1200" w:type="dxa"/>
            <w:vAlign w:val="bottom"/>
          </w:tcPr>
          <w:p>
            <w:pPr>
              <w:jc w:val="right"/>
              <w:spacing w:after="0"/>
              <w:rPr>
                <w:sz w:val="20"/>
                <w:szCs w:val="20"/>
                <w:color w:val="auto"/>
              </w:rPr>
            </w:pPr>
            <w:r>
              <w:rPr>
                <w:rFonts w:ascii="Arial" w:cs="Arial" w:eastAsia="Arial" w:hAnsi="Arial"/>
                <w:sz w:val="18"/>
                <w:szCs w:val="18"/>
                <w:color w:val="auto"/>
              </w:rPr>
              <w:t>10,430</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7,458</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9,332</w:t>
            </w:r>
          </w:p>
        </w:tc>
      </w:tr>
      <w:tr>
        <w:trPr>
          <w:trHeight w:val="230"/>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6,608</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5,722</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6,880</w:t>
            </w:r>
          </w:p>
        </w:tc>
      </w:tr>
      <w:tr>
        <w:trPr>
          <w:trHeight w:val="223"/>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17,514</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14,306</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19,200</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-3275965</wp:posOffset>
            </wp:positionH>
            <wp:positionV relativeFrom="paragraph">
              <wp:posOffset>-608330</wp:posOffset>
            </wp:positionV>
            <wp:extent cx="6955155" cy="146050"/>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88">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-3275965</wp:posOffset>
            </wp:positionH>
            <wp:positionV relativeFrom="paragraph">
              <wp:posOffset>-325120</wp:posOffset>
            </wp:positionV>
            <wp:extent cx="6955155" cy="14605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89">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color w:val="auto"/>
        </w:rPr>
        <w:t>F-89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-3524885</wp:posOffset>
            </wp:positionH>
            <wp:positionV relativeFrom="paragraph">
              <wp:posOffset>14605</wp:posOffset>
            </wp:positionV>
            <wp:extent cx="7246620" cy="889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2">
            <w:col w:w="4840" w:space="720"/>
            <w:col w:w="5800"/>
          </w:cols>
          <w:pgMar w:left="240" w:top="688" w:right="299" w:bottom="1440" w:gutter="0" w:footer="0" w:header="0"/>
          <w:type w:val="continuous"/>
        </w:sectPr>
      </w:pPr>
    </w:p>
    <w:bookmarkStart w:id="211" w:name="page212"/>
    <w:bookmarkEnd w:id="2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tbl>
      <w:tblPr>
        <w:tblLayout w:type="fixed"/>
        <w:tblInd w:w="140" w:type="dxa"/>
        <w:tblCellMar>
          <w:top w:w="0" w:type="dxa"/>
          <w:left w:w="0" w:type="dxa"/>
          <w:bottom w:w="0" w:type="dxa"/>
          <w:right w:w="0" w:type="dxa"/>
        </w:tblCellMar>
      </w:tblPr>
      <w:tr>
        <w:trPr>
          <w:trHeight w:val="234"/>
        </w:trPr>
        <w:tc>
          <w:tcPr>
            <w:tcW w:w="7060" w:type="dxa"/>
            <w:vAlign w:val="bottom"/>
            <w:gridSpan w:val="2"/>
          </w:tcPr>
          <w:p>
            <w:pPr>
              <w:spacing w:after="0"/>
              <w:rPr>
                <w:sz w:val="20"/>
                <w:szCs w:val="20"/>
                <w:color w:val="auto"/>
              </w:rPr>
            </w:pPr>
            <w:r>
              <w:rPr>
                <w:rFonts w:ascii="Arial" w:cs="Arial" w:eastAsia="Arial" w:hAnsi="Arial"/>
                <w:sz w:val="18"/>
                <w:szCs w:val="18"/>
                <w:b w:val="1"/>
                <w:bCs w:val="1"/>
                <w:color w:val="auto"/>
              </w:rPr>
              <w:t>22. Net gain or (loss) on financial instruments at FVTPL</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260" w:type="dxa"/>
            <w:vAlign w:val="bottom"/>
          </w:tcPr>
          <w:p>
            <w:pPr>
              <w:spacing w:after="0"/>
              <w:rPr>
                <w:sz w:val="24"/>
                <w:szCs w:val="24"/>
                <w:color w:val="auto"/>
              </w:rPr>
            </w:pPr>
          </w:p>
        </w:tc>
        <w:tc>
          <w:tcPr>
            <w:tcW w:w="6800" w:type="dxa"/>
            <w:vAlign w:val="bottom"/>
          </w:tcPr>
          <w:p>
            <w:pPr>
              <w:spacing w:after="0"/>
              <w:rPr>
                <w:sz w:val="24"/>
                <w:szCs w:val="24"/>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260" w:type="dxa"/>
            <w:vAlign w:val="bottom"/>
          </w:tcPr>
          <w:p>
            <w:pPr>
              <w:spacing w:after="0"/>
              <w:rPr>
                <w:sz w:val="20"/>
                <w:szCs w:val="20"/>
                <w:color w:val="auto"/>
              </w:rPr>
            </w:pPr>
          </w:p>
        </w:tc>
        <w:tc>
          <w:tcPr>
            <w:tcW w:w="68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60" w:type="dxa"/>
            <w:vAlign w:val="bottom"/>
          </w:tcPr>
          <w:p>
            <w:pPr>
              <w:spacing w:after="0"/>
              <w:rPr>
                <w:sz w:val="18"/>
                <w:szCs w:val="18"/>
                <w:color w:val="auto"/>
              </w:rPr>
            </w:pPr>
          </w:p>
        </w:tc>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Net (loss) gain on financial instruments at FVTPL</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(732)</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1,481</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645</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60" w:type="dxa"/>
            <w:vAlign w:val="bottom"/>
          </w:tcPr>
          <w:p>
            <w:pPr>
              <w:spacing w:after="0"/>
              <w:rPr>
                <w:sz w:val="19"/>
                <w:szCs w:val="19"/>
                <w:color w:val="auto"/>
              </w:rPr>
            </w:pPr>
          </w:p>
        </w:tc>
        <w:tc>
          <w:tcPr>
            <w:tcW w:w="6800" w:type="dxa"/>
            <w:vAlign w:val="bottom"/>
          </w:tcPr>
          <w:p>
            <w:pPr>
              <w:spacing w:after="0"/>
              <w:rPr>
                <w:sz w:val="20"/>
                <w:szCs w:val="20"/>
                <w:color w:val="auto"/>
              </w:rPr>
            </w:pPr>
            <w:r>
              <w:rPr>
                <w:rFonts w:ascii="Arial" w:cs="Arial" w:eastAsia="Arial" w:hAnsi="Arial"/>
                <w:sz w:val="18"/>
                <w:szCs w:val="18"/>
                <w:color w:val="auto"/>
              </w:rPr>
              <w:t>Net (loss) gain on investment funds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(4,364)</w:t>
            </w:r>
          </w:p>
        </w:tc>
        <w:tc>
          <w:tcPr>
            <w:tcW w:w="1200" w:type="dxa"/>
            <w:vAlign w:val="bottom"/>
          </w:tcPr>
          <w:p>
            <w:pPr>
              <w:jc w:val="right"/>
              <w:spacing w:after="0"/>
              <w:rPr>
                <w:sz w:val="20"/>
                <w:szCs w:val="20"/>
                <w:color w:val="auto"/>
              </w:rPr>
            </w:pPr>
            <w:r>
              <w:rPr>
                <w:rFonts w:ascii="Arial" w:cs="Arial" w:eastAsia="Arial" w:hAnsi="Arial"/>
                <w:sz w:val="18"/>
                <w:szCs w:val="18"/>
                <w:color w:val="auto"/>
              </w:rPr>
              <w:t>5,086</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60" w:type="dxa"/>
            <w:vAlign w:val="bottom"/>
          </w:tcPr>
          <w:p>
            <w:pPr>
              <w:spacing w:after="0"/>
              <w:rPr>
                <w:sz w:val="19"/>
                <w:szCs w:val="19"/>
                <w:color w:val="auto"/>
              </w:rPr>
            </w:pPr>
          </w:p>
        </w:tc>
        <w:tc>
          <w:tcPr>
            <w:tcW w:w="68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(732</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(2,883</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5,731</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060" w:type="dxa"/>
            <w:vAlign w:val="bottom"/>
            <w:gridSpan w:val="2"/>
            <w:vMerge w:val="restart"/>
          </w:tcPr>
          <w:p>
            <w:pPr>
              <w:ind w:left="80"/>
              <w:spacing w:after="0"/>
              <w:rPr>
                <w:sz w:val="20"/>
                <w:szCs w:val="20"/>
                <w:color w:val="auto"/>
              </w:rPr>
            </w:pPr>
            <w:r>
              <w:rPr>
                <w:rFonts w:ascii="Arial" w:cs="Arial" w:eastAsia="Arial" w:hAnsi="Arial"/>
                <w:sz w:val="18"/>
                <w:szCs w:val="18"/>
                <w:b w:val="1"/>
                <w:bCs w:val="1"/>
                <w:color w:val="auto"/>
              </w:rPr>
              <w:t>23. Salaries and other employee expenses</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060" w:type="dxa"/>
            <w:vAlign w:val="bottom"/>
            <w:gridSpan w:val="2"/>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260" w:type="dxa"/>
            <w:vAlign w:val="bottom"/>
          </w:tcPr>
          <w:p>
            <w:pPr>
              <w:spacing w:after="0"/>
              <w:rPr>
                <w:sz w:val="24"/>
                <w:szCs w:val="24"/>
                <w:color w:val="auto"/>
              </w:rPr>
            </w:pPr>
          </w:p>
        </w:tc>
        <w:tc>
          <w:tcPr>
            <w:tcW w:w="6800" w:type="dxa"/>
            <w:vAlign w:val="bottom"/>
          </w:tcPr>
          <w:p>
            <w:pPr>
              <w:spacing w:after="0"/>
              <w:rPr>
                <w:sz w:val="24"/>
                <w:szCs w:val="24"/>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260" w:type="dxa"/>
            <w:vAlign w:val="bottom"/>
          </w:tcPr>
          <w:p>
            <w:pPr>
              <w:spacing w:after="0"/>
              <w:rPr>
                <w:sz w:val="20"/>
                <w:szCs w:val="20"/>
                <w:color w:val="auto"/>
              </w:rPr>
            </w:pPr>
          </w:p>
        </w:tc>
        <w:tc>
          <w:tcPr>
            <w:tcW w:w="68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60" w:type="dxa"/>
            <w:vAlign w:val="bottom"/>
          </w:tcPr>
          <w:p>
            <w:pPr>
              <w:spacing w:after="0"/>
              <w:rPr>
                <w:sz w:val="18"/>
                <w:szCs w:val="18"/>
                <w:color w:val="auto"/>
              </w:rPr>
            </w:pPr>
          </w:p>
        </w:tc>
        <w:tc>
          <w:tcPr>
            <w:tcW w:w="6800" w:type="dxa"/>
            <w:vAlign w:val="bottom"/>
            <w:shd w:val="clear" w:color="auto" w:fill="CCEEFF"/>
          </w:tcPr>
          <w:p>
            <w:pPr>
              <w:ind w:left="20"/>
              <w:spacing w:after="0"/>
              <w:rPr>
                <w:sz w:val="20"/>
                <w:szCs w:val="20"/>
                <w:color w:val="auto"/>
              </w:rPr>
            </w:pPr>
            <w:r>
              <w:rPr>
                <w:rFonts w:ascii="Arial" w:cs="Arial" w:eastAsia="Arial" w:hAnsi="Arial"/>
                <w:sz w:val="18"/>
                <w:szCs w:val="18"/>
                <w:color w:val="auto"/>
              </w:rPr>
              <w:t>Wages and salaries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16,191</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16,132</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15,500</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0" w:type="dxa"/>
            <w:vAlign w:val="bottom"/>
          </w:tcPr>
          <w:p>
            <w:pPr>
              <w:spacing w:after="0"/>
              <w:rPr>
                <w:sz w:val="18"/>
                <w:szCs w:val="18"/>
                <w:color w:val="auto"/>
              </w:rPr>
            </w:pPr>
          </w:p>
        </w:tc>
        <w:tc>
          <w:tcPr>
            <w:tcW w:w="6800" w:type="dxa"/>
            <w:vAlign w:val="bottom"/>
          </w:tcPr>
          <w:p>
            <w:pPr>
              <w:ind w:left="20"/>
              <w:spacing w:after="0"/>
              <w:rPr>
                <w:sz w:val="20"/>
                <w:szCs w:val="20"/>
                <w:color w:val="auto"/>
              </w:rPr>
            </w:pPr>
            <w:r>
              <w:rPr>
                <w:rFonts w:ascii="Arial" w:cs="Arial" w:eastAsia="Arial" w:hAnsi="Arial"/>
                <w:sz w:val="18"/>
                <w:szCs w:val="18"/>
                <w:color w:val="auto"/>
              </w:rPr>
              <w:t>Payroll taxes</w:t>
            </w:r>
          </w:p>
        </w:tc>
        <w:tc>
          <w:tcPr>
            <w:tcW w:w="1200" w:type="dxa"/>
            <w:vAlign w:val="bottom"/>
          </w:tcPr>
          <w:p>
            <w:pPr>
              <w:jc w:val="right"/>
              <w:spacing w:after="0"/>
              <w:rPr>
                <w:sz w:val="20"/>
                <w:szCs w:val="20"/>
                <w:color w:val="auto"/>
              </w:rPr>
            </w:pPr>
            <w:r>
              <w:rPr>
                <w:rFonts w:ascii="Arial" w:cs="Arial" w:eastAsia="Arial" w:hAnsi="Arial"/>
                <w:sz w:val="18"/>
                <w:szCs w:val="18"/>
                <w:color w:val="auto"/>
              </w:rPr>
              <w:t>2,629</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2,244</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2,264</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0" w:type="dxa"/>
            <w:vAlign w:val="bottom"/>
          </w:tcPr>
          <w:p>
            <w:pPr>
              <w:spacing w:after="0"/>
              <w:rPr>
                <w:sz w:val="18"/>
                <w:szCs w:val="18"/>
                <w:color w:val="auto"/>
              </w:rPr>
            </w:pPr>
          </w:p>
        </w:tc>
        <w:tc>
          <w:tcPr>
            <w:tcW w:w="6800" w:type="dxa"/>
            <w:vAlign w:val="bottom"/>
            <w:shd w:val="clear" w:color="auto" w:fill="CCEEFF"/>
          </w:tcPr>
          <w:p>
            <w:pPr>
              <w:ind w:left="20"/>
              <w:spacing w:after="0"/>
              <w:rPr>
                <w:sz w:val="20"/>
                <w:szCs w:val="20"/>
                <w:color w:val="auto"/>
              </w:rPr>
            </w:pPr>
            <w:r>
              <w:rPr>
                <w:rFonts w:ascii="Arial" w:cs="Arial" w:eastAsia="Arial" w:hAnsi="Arial"/>
                <w:sz w:val="18"/>
                <w:szCs w:val="18"/>
                <w:color w:val="auto"/>
              </w:rPr>
              <w:t>Personnel benefits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5,442</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3,090</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8,613</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60" w:type="dxa"/>
            <w:vAlign w:val="bottom"/>
          </w:tcPr>
          <w:p>
            <w:pPr>
              <w:spacing w:after="0"/>
              <w:rPr>
                <w:sz w:val="19"/>
                <w:szCs w:val="19"/>
                <w:color w:val="auto"/>
              </w:rPr>
            </w:pPr>
          </w:p>
        </w:tc>
        <w:tc>
          <w:tcPr>
            <w:tcW w:w="680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Share–based payments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3,391</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3,730</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4,058</w:t>
            </w:r>
          </w:p>
        </w:tc>
        <w:tc>
          <w:tcPr>
            <w:tcW w:w="12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60" w:type="dxa"/>
            <w:vAlign w:val="bottom"/>
          </w:tcPr>
          <w:p>
            <w:pPr>
              <w:spacing w:after="0"/>
              <w:rPr>
                <w:sz w:val="19"/>
                <w:szCs w:val="19"/>
                <w:color w:val="auto"/>
              </w:rPr>
            </w:pPr>
          </w:p>
        </w:tc>
        <w:tc>
          <w:tcPr>
            <w:tcW w:w="68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27,653</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25,196</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30,435</w:t>
            </w:r>
          </w:p>
        </w:tc>
        <w:tc>
          <w:tcPr>
            <w:tcW w:w="12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60" w:type="dxa"/>
            <w:vAlign w:val="bottom"/>
          </w:tcPr>
          <w:p>
            <w:pPr>
              <w:spacing w:after="0" w:line="20" w:lineRule="exact"/>
              <w:rPr>
                <w:sz w:val="1"/>
                <w:szCs w:val="1"/>
                <w:color w:val="auto"/>
              </w:rPr>
            </w:pPr>
          </w:p>
        </w:tc>
        <w:tc>
          <w:tcPr>
            <w:tcW w:w="6800" w:type="dxa"/>
            <w:vAlign w:val="bottom"/>
            <w:vMerge w:val="restart"/>
          </w:tcPr>
          <w:p>
            <w:pPr>
              <w:ind w:left="100"/>
              <w:spacing w:after="0"/>
              <w:rPr>
                <w:sz w:val="20"/>
                <w:szCs w:val="20"/>
                <w:color w:val="auto"/>
              </w:rPr>
            </w:pPr>
            <w:r>
              <w:rPr>
                <w:rFonts w:ascii="Arial" w:cs="Arial" w:eastAsia="Arial" w:hAnsi="Arial"/>
                <w:sz w:val="18"/>
                <w:szCs w:val="18"/>
                <w:b w:val="1"/>
                <w:bCs w:val="1"/>
                <w:color w:val="auto"/>
              </w:rPr>
              <w:t>24. Other expenses</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60" w:type="dxa"/>
            <w:vAlign w:val="bottom"/>
          </w:tcPr>
          <w:p>
            <w:pPr>
              <w:spacing w:after="0"/>
              <w:rPr>
                <w:sz w:val="24"/>
                <w:szCs w:val="24"/>
                <w:color w:val="auto"/>
              </w:rPr>
            </w:pPr>
          </w:p>
        </w:tc>
        <w:tc>
          <w:tcPr>
            <w:tcW w:w="680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260" w:type="dxa"/>
            <w:vAlign w:val="bottom"/>
          </w:tcPr>
          <w:p>
            <w:pPr>
              <w:spacing w:after="0"/>
              <w:rPr>
                <w:sz w:val="24"/>
                <w:szCs w:val="24"/>
                <w:color w:val="auto"/>
              </w:rPr>
            </w:pPr>
          </w:p>
        </w:tc>
        <w:tc>
          <w:tcPr>
            <w:tcW w:w="6800" w:type="dxa"/>
            <w:vAlign w:val="bottom"/>
          </w:tcPr>
          <w:p>
            <w:pPr>
              <w:spacing w:after="0"/>
              <w:rPr>
                <w:sz w:val="24"/>
                <w:szCs w:val="24"/>
                <w:color w:val="auto"/>
              </w:rPr>
            </w:pP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13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260" w:type="dxa"/>
            <w:vAlign w:val="bottom"/>
          </w:tcPr>
          <w:p>
            <w:pPr>
              <w:spacing w:after="0"/>
              <w:rPr>
                <w:sz w:val="20"/>
                <w:szCs w:val="20"/>
                <w:color w:val="auto"/>
              </w:rPr>
            </w:pPr>
          </w:p>
        </w:tc>
        <w:tc>
          <w:tcPr>
            <w:tcW w:w="68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60" w:type="dxa"/>
            <w:vAlign w:val="bottom"/>
          </w:tcPr>
          <w:p>
            <w:pPr>
              <w:spacing w:after="0"/>
              <w:rPr>
                <w:sz w:val="18"/>
                <w:szCs w:val="18"/>
                <w:color w:val="auto"/>
              </w:rPr>
            </w:pPr>
          </w:p>
        </w:tc>
        <w:tc>
          <w:tcPr>
            <w:tcW w:w="6800" w:type="dxa"/>
            <w:vAlign w:val="bottom"/>
            <w:shd w:val="clear" w:color="auto" w:fill="CCEEFF"/>
          </w:tcPr>
          <w:p>
            <w:pPr>
              <w:ind w:left="20"/>
              <w:spacing w:after="0"/>
              <w:rPr>
                <w:sz w:val="20"/>
                <w:szCs w:val="20"/>
                <w:color w:val="auto"/>
              </w:rPr>
            </w:pPr>
            <w:r>
              <w:rPr>
                <w:rFonts w:ascii="Arial" w:cs="Arial" w:eastAsia="Arial" w:hAnsi="Arial"/>
                <w:sz w:val="18"/>
                <w:szCs w:val="18"/>
                <w:color w:val="auto"/>
              </w:rPr>
              <w:t>Advertising and marketing</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683</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785</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829</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0" w:type="dxa"/>
            <w:vAlign w:val="bottom"/>
          </w:tcPr>
          <w:p>
            <w:pPr>
              <w:spacing w:after="0"/>
              <w:rPr>
                <w:sz w:val="18"/>
                <w:szCs w:val="18"/>
                <w:color w:val="auto"/>
              </w:rPr>
            </w:pPr>
          </w:p>
        </w:tc>
        <w:tc>
          <w:tcPr>
            <w:tcW w:w="6800" w:type="dxa"/>
            <w:vAlign w:val="bottom"/>
          </w:tcPr>
          <w:p>
            <w:pPr>
              <w:ind w:left="20"/>
              <w:spacing w:after="0"/>
              <w:rPr>
                <w:sz w:val="20"/>
                <w:szCs w:val="20"/>
                <w:color w:val="auto"/>
              </w:rPr>
            </w:pPr>
            <w:r>
              <w:rPr>
                <w:rFonts w:ascii="Arial" w:cs="Arial" w:eastAsia="Arial" w:hAnsi="Arial"/>
                <w:sz w:val="18"/>
                <w:szCs w:val="18"/>
                <w:color w:val="auto"/>
              </w:rPr>
              <w:t>Regulatory fees</w:t>
            </w:r>
          </w:p>
        </w:tc>
        <w:tc>
          <w:tcPr>
            <w:tcW w:w="1200" w:type="dxa"/>
            <w:vAlign w:val="bottom"/>
          </w:tcPr>
          <w:p>
            <w:pPr>
              <w:jc w:val="right"/>
              <w:spacing w:after="0"/>
              <w:rPr>
                <w:sz w:val="20"/>
                <w:szCs w:val="20"/>
                <w:color w:val="auto"/>
              </w:rPr>
            </w:pPr>
            <w:r>
              <w:rPr>
                <w:rFonts w:ascii="Arial" w:cs="Arial" w:eastAsia="Arial" w:hAnsi="Arial"/>
                <w:sz w:val="18"/>
                <w:szCs w:val="18"/>
                <w:color w:val="auto"/>
              </w:rPr>
              <w:t>977</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1,348</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1,565</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0" w:type="dxa"/>
            <w:vAlign w:val="bottom"/>
          </w:tcPr>
          <w:p>
            <w:pPr>
              <w:spacing w:after="0"/>
              <w:rPr>
                <w:sz w:val="18"/>
                <w:szCs w:val="18"/>
                <w:color w:val="auto"/>
              </w:rPr>
            </w:pPr>
          </w:p>
        </w:tc>
        <w:tc>
          <w:tcPr>
            <w:tcW w:w="680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Rental - office and equipment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2,394</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2,681</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3,019</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0" w:type="dxa"/>
            <w:vAlign w:val="bottom"/>
          </w:tcPr>
          <w:p>
            <w:pPr>
              <w:spacing w:after="0"/>
              <w:rPr>
                <w:sz w:val="18"/>
                <w:szCs w:val="18"/>
                <w:color w:val="auto"/>
              </w:rPr>
            </w:pPr>
          </w:p>
        </w:tc>
        <w:tc>
          <w:tcPr>
            <w:tcW w:w="6800" w:type="dxa"/>
            <w:vAlign w:val="bottom"/>
          </w:tcPr>
          <w:p>
            <w:pPr>
              <w:ind w:left="20"/>
              <w:spacing w:after="0"/>
              <w:rPr>
                <w:sz w:val="20"/>
                <w:szCs w:val="20"/>
                <w:color w:val="auto"/>
              </w:rPr>
            </w:pPr>
            <w:r>
              <w:rPr>
                <w:rFonts w:ascii="Arial" w:cs="Arial" w:eastAsia="Arial" w:hAnsi="Arial"/>
                <w:sz w:val="18"/>
                <w:szCs w:val="18"/>
                <w:color w:val="auto"/>
              </w:rPr>
              <w:t>Administrative</w:t>
            </w:r>
          </w:p>
        </w:tc>
        <w:tc>
          <w:tcPr>
            <w:tcW w:w="1200" w:type="dxa"/>
            <w:vAlign w:val="bottom"/>
          </w:tcPr>
          <w:p>
            <w:pPr>
              <w:jc w:val="right"/>
              <w:spacing w:after="0"/>
              <w:rPr>
                <w:sz w:val="20"/>
                <w:szCs w:val="20"/>
                <w:color w:val="auto"/>
              </w:rPr>
            </w:pPr>
            <w:r>
              <w:rPr>
                <w:rFonts w:ascii="Arial" w:cs="Arial" w:eastAsia="Arial" w:hAnsi="Arial"/>
                <w:sz w:val="18"/>
                <w:szCs w:val="18"/>
                <w:color w:val="auto"/>
              </w:rPr>
              <w:t>6,846</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7,468</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7,469</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0" w:type="dxa"/>
            <w:vAlign w:val="bottom"/>
          </w:tcPr>
          <w:p>
            <w:pPr>
              <w:spacing w:after="0"/>
              <w:rPr>
                <w:sz w:val="18"/>
                <w:szCs w:val="18"/>
                <w:color w:val="auto"/>
              </w:rPr>
            </w:pPr>
          </w:p>
        </w:tc>
        <w:tc>
          <w:tcPr>
            <w:tcW w:w="680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Professional services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3,911</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4,255</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4,621</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0" w:type="dxa"/>
            <w:vAlign w:val="bottom"/>
          </w:tcPr>
          <w:p>
            <w:pPr>
              <w:spacing w:after="0"/>
              <w:rPr>
                <w:sz w:val="18"/>
                <w:szCs w:val="18"/>
                <w:color w:val="auto"/>
              </w:rPr>
            </w:pPr>
          </w:p>
        </w:tc>
        <w:tc>
          <w:tcPr>
            <w:tcW w:w="6800" w:type="dxa"/>
            <w:vAlign w:val="bottom"/>
          </w:tcPr>
          <w:p>
            <w:pPr>
              <w:ind w:left="20"/>
              <w:spacing w:after="0"/>
              <w:rPr>
                <w:sz w:val="20"/>
                <w:szCs w:val="20"/>
                <w:color w:val="auto"/>
              </w:rPr>
            </w:pPr>
            <w:r>
              <w:rPr>
                <w:rFonts w:ascii="Arial" w:cs="Arial" w:eastAsia="Arial" w:hAnsi="Arial"/>
                <w:sz w:val="18"/>
                <w:szCs w:val="18"/>
                <w:color w:val="auto"/>
              </w:rPr>
              <w:t>Maintenance and repairs</w:t>
            </w:r>
          </w:p>
        </w:tc>
        <w:tc>
          <w:tcPr>
            <w:tcW w:w="1200" w:type="dxa"/>
            <w:vAlign w:val="bottom"/>
          </w:tcPr>
          <w:p>
            <w:pPr>
              <w:jc w:val="right"/>
              <w:spacing w:after="0"/>
              <w:rPr>
                <w:sz w:val="20"/>
                <w:szCs w:val="20"/>
                <w:color w:val="auto"/>
              </w:rPr>
            </w:pPr>
            <w:r>
              <w:rPr>
                <w:rFonts w:ascii="Arial" w:cs="Arial" w:eastAsia="Arial" w:hAnsi="Arial"/>
                <w:sz w:val="18"/>
                <w:szCs w:val="18"/>
                <w:color w:val="auto"/>
              </w:rPr>
              <w:t>1,673</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1,866</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1,635</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60" w:type="dxa"/>
            <w:vAlign w:val="bottom"/>
          </w:tcPr>
          <w:p>
            <w:pPr>
              <w:spacing w:after="0"/>
              <w:rPr>
                <w:sz w:val="19"/>
                <w:szCs w:val="19"/>
                <w:color w:val="auto"/>
              </w:rPr>
            </w:pPr>
          </w:p>
        </w:tc>
        <w:tc>
          <w:tcPr>
            <w:tcW w:w="680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322</w:t>
            </w:r>
          </w:p>
        </w:tc>
        <w:tc>
          <w:tcPr>
            <w:tcW w:w="22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w:t>
            </w:r>
          </w:p>
        </w:tc>
        <w:tc>
          <w:tcPr>
            <w:tcW w:w="22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244</w:t>
            </w:r>
          </w:p>
        </w:tc>
        <w:tc>
          <w:tcPr>
            <w:tcW w:w="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60" w:type="dxa"/>
            <w:vAlign w:val="bottom"/>
          </w:tcPr>
          <w:p>
            <w:pPr>
              <w:spacing w:after="0"/>
              <w:rPr>
                <w:sz w:val="19"/>
                <w:szCs w:val="19"/>
                <w:color w:val="auto"/>
              </w:rPr>
            </w:pPr>
          </w:p>
        </w:tc>
        <w:tc>
          <w:tcPr>
            <w:tcW w:w="6800" w:type="dxa"/>
            <w:vAlign w:val="bottom"/>
          </w:tcPr>
          <w:p>
            <w:pPr>
              <w:ind w:left="20"/>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16,806</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18,532</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19,382</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60" w:type="dxa"/>
            <w:vAlign w:val="bottom"/>
          </w:tcPr>
          <w:p>
            <w:pPr>
              <w:spacing w:after="0" w:line="20" w:lineRule="exact"/>
              <w:rPr>
                <w:sz w:val="1"/>
                <w:szCs w:val="1"/>
                <w:color w:val="auto"/>
              </w:rPr>
            </w:pPr>
          </w:p>
        </w:tc>
        <w:tc>
          <w:tcPr>
            <w:tcW w:w="68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240"/>
        <w:spacing w:after="0"/>
        <w:rPr>
          <w:sz w:val="20"/>
          <w:szCs w:val="20"/>
          <w:color w:val="auto"/>
        </w:rPr>
      </w:pPr>
      <w:r>
        <w:rPr>
          <w:rFonts w:ascii="Arial" w:cs="Arial" w:eastAsia="Arial" w:hAnsi="Arial"/>
          <w:sz w:val="18"/>
          <w:szCs w:val="18"/>
          <w:b w:val="1"/>
          <w:bCs w:val="1"/>
          <w:color w:val="auto"/>
        </w:rPr>
        <w:t>25. Commitments and contingencies</w:t>
      </w:r>
    </w:p>
    <w:p>
      <w:pPr>
        <w:spacing w:after="0" w:line="225"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Leasing arrangements</w:t>
      </w:r>
    </w:p>
    <w:p>
      <w:pPr>
        <w:spacing w:after="0" w:line="229" w:lineRule="exact"/>
        <w:rPr>
          <w:sz w:val="20"/>
          <w:szCs w:val="20"/>
          <w:color w:val="auto"/>
        </w:rPr>
      </w:pPr>
    </w:p>
    <w:p>
      <w:pPr>
        <w:ind w:left="420"/>
        <w:spacing w:after="0"/>
        <w:rPr>
          <w:sz w:val="20"/>
          <w:szCs w:val="20"/>
          <w:color w:val="auto"/>
        </w:rPr>
      </w:pPr>
      <w:r>
        <w:rPr>
          <w:rFonts w:ascii="Arial" w:cs="Arial" w:eastAsia="Arial" w:hAnsi="Arial"/>
          <w:sz w:val="18"/>
          <w:szCs w:val="18"/>
          <w:u w:val="single" w:color="auto"/>
          <w:color w:val="auto"/>
        </w:rPr>
        <w:t>Operating lease commitments – Bank as lessee</w:t>
      </w:r>
    </w:p>
    <w:p>
      <w:pPr>
        <w:spacing w:after="0" w:line="225" w:lineRule="exact"/>
        <w:rPr>
          <w:sz w:val="20"/>
          <w:szCs w:val="20"/>
          <w:color w:val="auto"/>
        </w:rPr>
      </w:pPr>
    </w:p>
    <w:p>
      <w:pPr>
        <w:ind w:left="420"/>
        <w:spacing w:after="0"/>
        <w:rPr>
          <w:sz w:val="20"/>
          <w:szCs w:val="20"/>
          <w:color w:val="auto"/>
        </w:rPr>
      </w:pPr>
      <w:r>
        <w:rPr>
          <w:rFonts w:ascii="Arial" w:cs="Arial" w:eastAsia="Arial" w:hAnsi="Arial"/>
          <w:sz w:val="18"/>
          <w:szCs w:val="18"/>
          <w:color w:val="auto"/>
        </w:rPr>
        <w:t>Future minimum lease payments under cancellable operating leases as follows:</w:t>
      </w:r>
    </w:p>
    <w:p>
      <w:pPr>
        <w:sectPr>
          <w:pgSz w:w="11900" w:h="16838" w:orient="portrait"/>
          <w:cols w:equalWidth="0" w:num="1">
            <w:col w:w="11360"/>
          </w:cols>
          <w:pgMar w:left="240" w:top="688" w:right="2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420"/>
        <w:spacing w:after="0"/>
        <w:rPr>
          <w:sz w:val="20"/>
          <w:szCs w:val="20"/>
          <w:color w:val="auto"/>
        </w:rPr>
      </w:pPr>
      <w:r>
        <w:rPr>
          <w:rFonts w:ascii="Arial" w:cs="Arial" w:eastAsia="Arial" w:hAnsi="Arial"/>
          <w:sz w:val="18"/>
          <w:szCs w:val="18"/>
          <w:color w:val="auto"/>
        </w:rPr>
        <w:t>Within 1 year</w:t>
      </w:r>
    </w:p>
    <w:p>
      <w:pPr>
        <w:spacing w:after="0" w:line="23" w:lineRule="exact"/>
        <w:rPr>
          <w:sz w:val="20"/>
          <w:szCs w:val="20"/>
          <w:color w:val="auto"/>
        </w:rPr>
      </w:pPr>
    </w:p>
    <w:p>
      <w:pPr>
        <w:ind w:left="420"/>
        <w:spacing w:after="0"/>
        <w:rPr>
          <w:sz w:val="20"/>
          <w:szCs w:val="20"/>
          <w:color w:val="auto"/>
        </w:rPr>
      </w:pPr>
      <w:r>
        <w:rPr>
          <w:rFonts w:ascii="Arial" w:cs="Arial" w:eastAsia="Arial" w:hAnsi="Arial"/>
          <w:sz w:val="16"/>
          <w:szCs w:val="16"/>
          <w:color w:val="auto"/>
        </w:rPr>
        <w:t>After 1 year but not more than 5 years</w:t>
      </w:r>
    </w:p>
    <w:p>
      <w:pPr>
        <w:spacing w:after="0" w:line="32" w:lineRule="exact"/>
        <w:rPr>
          <w:sz w:val="20"/>
          <w:szCs w:val="20"/>
          <w:color w:val="auto"/>
        </w:rPr>
      </w:pPr>
    </w:p>
    <w:p>
      <w:pPr>
        <w:ind w:left="420"/>
        <w:spacing w:after="0"/>
        <w:rPr>
          <w:sz w:val="20"/>
          <w:szCs w:val="20"/>
          <w:color w:val="auto"/>
        </w:rPr>
      </w:pPr>
      <w:r>
        <w:rPr>
          <w:rFonts w:ascii="Arial" w:cs="Arial" w:eastAsia="Arial" w:hAnsi="Arial"/>
          <w:sz w:val="18"/>
          <w:szCs w:val="18"/>
          <w:color w:val="auto"/>
        </w:rPr>
        <w:t>More than 5 years</w:t>
      </w:r>
    </w:p>
    <w:p>
      <w:pPr>
        <w:spacing w:after="0" w:line="9" w:lineRule="exact"/>
        <w:rPr>
          <w:sz w:val="20"/>
          <w:szCs w:val="20"/>
          <w:color w:val="auto"/>
        </w:rPr>
      </w:pPr>
    </w:p>
    <w:p>
      <w:pPr>
        <w:ind w:left="42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4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3"/>
              </w:rPr>
              <w:t>December 31,</w:t>
            </w:r>
          </w:p>
        </w:tc>
        <w:tc>
          <w:tcPr>
            <w:tcW w:w="14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3"/>
              </w:rPr>
              <w:t>December 31,</w:t>
            </w:r>
          </w:p>
        </w:tc>
        <w:tc>
          <w:tcPr>
            <w:tcW w:w="1220" w:type="dxa"/>
            <w:vAlign w:val="bottom"/>
            <w:gridSpan w:val="2"/>
          </w:tcPr>
          <w:p>
            <w:pPr>
              <w:ind w:left="80"/>
              <w:spacing w:after="0"/>
              <w:rPr>
                <w:sz w:val="20"/>
                <w:szCs w:val="20"/>
                <w:color w:val="auto"/>
              </w:rPr>
            </w:pPr>
            <w:r>
              <w:rPr>
                <w:rFonts w:ascii="Arial" w:cs="Arial" w:eastAsia="Arial" w:hAnsi="Arial"/>
                <w:sz w:val="18"/>
                <w:szCs w:val="18"/>
                <w:b w:val="1"/>
                <w:bCs w:val="1"/>
                <w:color w:val="auto"/>
                <w:w w:val="95"/>
              </w:rPr>
              <w:t>December 31,</w:t>
            </w:r>
          </w:p>
        </w:tc>
      </w:tr>
      <w:tr>
        <w:trPr>
          <w:trHeight w:val="234"/>
        </w:trPr>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20"/>
                <w:szCs w:val="20"/>
                <w:color w:val="auto"/>
              </w:rPr>
            </w:pPr>
          </w:p>
        </w:tc>
      </w:tr>
      <w:tr>
        <w:trPr>
          <w:trHeight w:val="195"/>
        </w:trPr>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2,006</w:t>
            </w:r>
          </w:p>
        </w:tc>
        <w:tc>
          <w:tcPr>
            <w:tcW w:w="220" w:type="dxa"/>
            <w:vAlign w:val="bottom"/>
          </w:tcPr>
          <w:p>
            <w:pPr>
              <w:spacing w:after="0"/>
              <w:rPr>
                <w:sz w:val="16"/>
                <w:szCs w:val="16"/>
                <w:color w:val="auto"/>
              </w:rPr>
            </w:pPr>
          </w:p>
        </w:tc>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1,984</w:t>
            </w:r>
          </w:p>
        </w:tc>
        <w:tc>
          <w:tcPr>
            <w:tcW w:w="220" w:type="dxa"/>
            <w:vAlign w:val="bottom"/>
          </w:tcPr>
          <w:p>
            <w:pPr>
              <w:spacing w:after="0"/>
              <w:rPr>
                <w:sz w:val="16"/>
                <w:szCs w:val="16"/>
                <w:color w:val="auto"/>
              </w:rPr>
            </w:pPr>
          </w:p>
        </w:tc>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2,055</w:t>
            </w:r>
          </w:p>
        </w:tc>
        <w:tc>
          <w:tcPr>
            <w:tcW w:w="20" w:type="dxa"/>
            <w:vAlign w:val="bottom"/>
          </w:tcPr>
          <w:p>
            <w:pPr>
              <w:spacing w:after="0"/>
              <w:rPr>
                <w:sz w:val="16"/>
                <w:szCs w:val="16"/>
                <w:color w:val="auto"/>
              </w:rPr>
            </w:pPr>
          </w:p>
        </w:tc>
      </w:tr>
      <w:tr>
        <w:trPr>
          <w:trHeight w:val="230"/>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7,335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7,362</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6,731</w:t>
            </w:r>
          </w:p>
        </w:tc>
      </w:tr>
      <w:tr>
        <w:trPr>
          <w:trHeight w:val="230"/>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8,814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10,638</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14,128</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18,155</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19,984</w:t>
            </w:r>
          </w:p>
        </w:tc>
        <w:tc>
          <w:tcPr>
            <w:tcW w:w="220" w:type="dxa"/>
            <w:vAlign w:val="bottom"/>
          </w:tcPr>
          <w:p>
            <w:pPr>
              <w:spacing w:after="0"/>
              <w:rPr>
                <w:sz w:val="19"/>
                <w:szCs w:val="19"/>
                <w:color w:val="auto"/>
              </w:rPr>
            </w:pPr>
          </w:p>
        </w:tc>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22,914</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-4321810</wp:posOffset>
            </wp:positionH>
            <wp:positionV relativeFrom="paragraph">
              <wp:posOffset>-608330</wp:posOffset>
            </wp:positionV>
            <wp:extent cx="6955155" cy="14605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91">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-4321810</wp:posOffset>
            </wp:positionH>
            <wp:positionV relativeFrom="paragraph">
              <wp:posOffset>-325120</wp:posOffset>
            </wp:positionV>
            <wp:extent cx="6955155" cy="14605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92">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500" w:space="720"/>
            <w:col w:w="4140"/>
          </w:cols>
          <w:pgMar w:left="240" w:top="688" w:right="299" w:bottom="1440" w:gutter="0" w:footer="0" w:header="0"/>
          <w:type w:val="continuous"/>
        </w:sectPr>
      </w:pPr>
    </w:p>
    <w:p>
      <w:pPr>
        <w:spacing w:after="0" w:line="2" w:lineRule="exact"/>
        <w:rPr>
          <w:sz w:val="20"/>
          <w:szCs w:val="20"/>
          <w:color w:val="auto"/>
        </w:rPr>
      </w:pPr>
    </w:p>
    <w:p>
      <w:pPr>
        <w:jc w:val="center"/>
        <w:ind w:right="360"/>
        <w:spacing w:after="0"/>
        <w:rPr>
          <w:sz w:val="20"/>
          <w:szCs w:val="20"/>
          <w:color w:val="auto"/>
        </w:rPr>
      </w:pPr>
      <w:r>
        <w:rPr>
          <w:rFonts w:ascii="Arial" w:cs="Arial" w:eastAsia="Arial" w:hAnsi="Arial"/>
          <w:sz w:val="16"/>
          <w:szCs w:val="16"/>
          <w:color w:val="auto"/>
        </w:rPr>
        <w:t>The total amount of expenses recognized in connection with such leases in 2017, 2016 and 2015 are $2,332, $2,605 and $2,930, respectively.</w:t>
      </w:r>
    </w:p>
    <w:p>
      <w:pPr>
        <w:spacing w:after="0" w:line="248" w:lineRule="exact"/>
        <w:rPr>
          <w:sz w:val="20"/>
          <w:szCs w:val="20"/>
          <w:color w:val="auto"/>
        </w:rPr>
      </w:pPr>
    </w:p>
    <w:p>
      <w:pPr>
        <w:jc w:val="center"/>
        <w:ind w:right="-79"/>
        <w:spacing w:after="0"/>
        <w:rPr>
          <w:sz w:val="20"/>
          <w:szCs w:val="20"/>
          <w:color w:val="auto"/>
        </w:rPr>
      </w:pPr>
      <w:r>
        <w:rPr>
          <w:rFonts w:ascii="Arial" w:cs="Arial" w:eastAsia="Arial" w:hAnsi="Arial"/>
          <w:sz w:val="18"/>
          <w:szCs w:val="18"/>
          <w:color w:val="auto"/>
        </w:rPr>
        <w:t>F-90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60"/>
          </w:cols>
          <w:pgMar w:left="240" w:top="688" w:right="299" w:bottom="1440" w:gutter="0" w:footer="0" w:header="0"/>
          <w:type w:val="continuous"/>
        </w:sectPr>
      </w:pPr>
    </w:p>
    <w:bookmarkStart w:id="212" w:name="page213"/>
    <w:bookmarkEnd w:id="2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tbl>
      <w:tblPr>
        <w:tblLayout w:type="fixed"/>
        <w:tblInd w:w="180" w:type="dxa"/>
        <w:tblCellMar>
          <w:top w:w="0" w:type="dxa"/>
          <w:left w:w="0" w:type="dxa"/>
          <w:bottom w:w="0" w:type="dxa"/>
          <w:right w:w="0" w:type="dxa"/>
        </w:tblCellMar>
      </w:tblPr>
      <w:tr>
        <w:trPr>
          <w:trHeight w:val="234"/>
        </w:trPr>
        <w:tc>
          <w:tcPr>
            <w:tcW w:w="7040" w:type="dxa"/>
            <w:vAlign w:val="bottom"/>
            <w:gridSpan w:val="3"/>
          </w:tcPr>
          <w:p>
            <w:pPr>
              <w:spacing w:after="0"/>
              <w:rPr>
                <w:sz w:val="20"/>
                <w:szCs w:val="20"/>
                <w:color w:val="auto"/>
              </w:rPr>
            </w:pPr>
            <w:r>
              <w:rPr>
                <w:rFonts w:ascii="Arial" w:cs="Arial" w:eastAsia="Arial" w:hAnsi="Arial"/>
                <w:sz w:val="18"/>
                <w:szCs w:val="18"/>
                <w:b w:val="1"/>
                <w:bCs w:val="1"/>
                <w:color w:val="auto"/>
              </w:rPr>
              <w:t>25. Commitments and contingencies (continued)</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240" w:type="dxa"/>
            <w:vAlign w:val="bottom"/>
          </w:tcPr>
          <w:p>
            <w:pPr>
              <w:spacing w:after="0"/>
              <w:rPr>
                <w:sz w:val="24"/>
                <w:szCs w:val="24"/>
                <w:color w:val="auto"/>
              </w:rPr>
            </w:pPr>
          </w:p>
        </w:tc>
        <w:tc>
          <w:tcPr>
            <w:tcW w:w="6800" w:type="dxa"/>
            <w:vAlign w:val="bottom"/>
            <w:gridSpan w:val="2"/>
          </w:tcPr>
          <w:p>
            <w:pPr>
              <w:spacing w:after="0"/>
              <w:rPr>
                <w:sz w:val="20"/>
                <w:szCs w:val="20"/>
                <w:color w:val="auto"/>
              </w:rPr>
            </w:pPr>
            <w:r>
              <w:rPr>
                <w:rFonts w:ascii="Arial" w:cs="Arial" w:eastAsia="Arial" w:hAnsi="Arial"/>
                <w:sz w:val="18"/>
                <w:szCs w:val="18"/>
                <w:b w:val="1"/>
                <w:bCs w:val="1"/>
                <w:color w:val="auto"/>
              </w:rPr>
              <w:t>Leasing arrangements (continued)</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92"/>
        </w:trPr>
        <w:tc>
          <w:tcPr>
            <w:tcW w:w="240" w:type="dxa"/>
            <w:vAlign w:val="bottom"/>
          </w:tcPr>
          <w:p>
            <w:pPr>
              <w:spacing w:after="0"/>
              <w:rPr>
                <w:sz w:val="24"/>
                <w:szCs w:val="24"/>
                <w:color w:val="auto"/>
              </w:rPr>
            </w:pPr>
          </w:p>
        </w:tc>
        <w:tc>
          <w:tcPr>
            <w:tcW w:w="272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87"/>
              </w:rPr>
              <w:t>Operating leases – Bank as sub-lessor</w:t>
            </w:r>
          </w:p>
        </w:tc>
        <w:tc>
          <w:tcPr>
            <w:tcW w:w="408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53"/>
        </w:trPr>
        <w:tc>
          <w:tcPr>
            <w:tcW w:w="240" w:type="dxa"/>
            <w:vAlign w:val="bottom"/>
          </w:tcPr>
          <w:p>
            <w:pPr>
              <w:spacing w:after="0"/>
              <w:rPr>
                <w:sz w:val="24"/>
                <w:szCs w:val="24"/>
                <w:color w:val="auto"/>
              </w:rPr>
            </w:pPr>
          </w:p>
        </w:tc>
        <w:tc>
          <w:tcPr>
            <w:tcW w:w="6800" w:type="dxa"/>
            <w:vAlign w:val="bottom"/>
            <w:gridSpan w:val="2"/>
          </w:tcPr>
          <w:p>
            <w:pPr>
              <w:spacing w:after="0"/>
              <w:rPr>
                <w:sz w:val="20"/>
                <w:szCs w:val="20"/>
                <w:color w:val="auto"/>
              </w:rPr>
            </w:pPr>
            <w:r>
              <w:rPr>
                <w:rFonts w:ascii="Arial" w:cs="Arial" w:eastAsia="Arial" w:hAnsi="Arial"/>
                <w:sz w:val="18"/>
                <w:szCs w:val="18"/>
                <w:color w:val="auto"/>
              </w:rPr>
              <w:t>Future minimum lease payments under cancellable operating leases as follows:</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14"/>
        </w:trPr>
        <w:tc>
          <w:tcPr>
            <w:tcW w:w="240" w:type="dxa"/>
            <w:vAlign w:val="bottom"/>
          </w:tcPr>
          <w:p>
            <w:pPr>
              <w:spacing w:after="0"/>
              <w:rPr>
                <w:sz w:val="24"/>
                <w:szCs w:val="24"/>
                <w:color w:val="auto"/>
              </w:rPr>
            </w:pPr>
          </w:p>
        </w:tc>
        <w:tc>
          <w:tcPr>
            <w:tcW w:w="2720" w:type="dxa"/>
            <w:vAlign w:val="bottom"/>
          </w:tcPr>
          <w:p>
            <w:pPr>
              <w:spacing w:after="0"/>
              <w:rPr>
                <w:sz w:val="24"/>
                <w:szCs w:val="24"/>
                <w:color w:val="auto"/>
              </w:rPr>
            </w:pPr>
          </w:p>
        </w:tc>
        <w:tc>
          <w:tcPr>
            <w:tcW w:w="4080" w:type="dxa"/>
            <w:vAlign w:val="bottom"/>
          </w:tcPr>
          <w:p>
            <w:pPr>
              <w:spacing w:after="0"/>
              <w:rPr>
                <w:sz w:val="24"/>
                <w:szCs w:val="24"/>
                <w:color w:val="auto"/>
              </w:rPr>
            </w:pPr>
          </w:p>
        </w:tc>
        <w:tc>
          <w:tcPr>
            <w:tcW w:w="14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3"/>
              </w:rPr>
              <w:t>December 31,</w:t>
            </w:r>
          </w:p>
        </w:tc>
        <w:tc>
          <w:tcPr>
            <w:tcW w:w="14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3"/>
              </w:rPr>
              <w:t>December 31,</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240" w:type="dxa"/>
            <w:vAlign w:val="bottom"/>
          </w:tcPr>
          <w:p>
            <w:pPr>
              <w:spacing w:after="0"/>
              <w:rPr>
                <w:sz w:val="20"/>
                <w:szCs w:val="20"/>
                <w:color w:val="auto"/>
              </w:rPr>
            </w:pPr>
          </w:p>
        </w:tc>
        <w:tc>
          <w:tcPr>
            <w:tcW w:w="2720" w:type="dxa"/>
            <w:vAlign w:val="bottom"/>
            <w:tcBorders>
              <w:bottom w:val="single" w:sz="8" w:color="CCEEFF"/>
            </w:tcBorders>
          </w:tcPr>
          <w:p>
            <w:pPr>
              <w:spacing w:after="0"/>
              <w:rPr>
                <w:sz w:val="20"/>
                <w:szCs w:val="20"/>
                <w:color w:val="auto"/>
              </w:rPr>
            </w:pPr>
          </w:p>
        </w:tc>
        <w:tc>
          <w:tcPr>
            <w:tcW w:w="408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r>
      <w:tr>
        <w:trPr>
          <w:trHeight w:val="210"/>
        </w:trPr>
        <w:tc>
          <w:tcPr>
            <w:tcW w:w="240" w:type="dxa"/>
            <w:vAlign w:val="bottom"/>
          </w:tcPr>
          <w:p>
            <w:pPr>
              <w:spacing w:after="0"/>
              <w:rPr>
                <w:sz w:val="18"/>
                <w:szCs w:val="18"/>
                <w:color w:val="auto"/>
              </w:rPr>
            </w:pPr>
          </w:p>
        </w:tc>
        <w:tc>
          <w:tcPr>
            <w:tcW w:w="6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Within 1 year</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300</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289</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455</w:t>
            </w:r>
          </w:p>
        </w:tc>
        <w:tc>
          <w:tcPr>
            <w:tcW w:w="100" w:type="dxa"/>
            <w:vAlign w:val="bottom"/>
            <w:shd w:val="clear" w:color="auto" w:fill="CCEEFF"/>
          </w:tcPr>
          <w:p>
            <w:pPr>
              <w:spacing w:after="0"/>
              <w:rPr>
                <w:sz w:val="18"/>
                <w:szCs w:val="18"/>
                <w:color w:val="auto"/>
              </w:rPr>
            </w:pPr>
          </w:p>
        </w:tc>
      </w:tr>
      <w:tr>
        <w:trPr>
          <w:trHeight w:val="230"/>
        </w:trPr>
        <w:tc>
          <w:tcPr>
            <w:tcW w:w="240" w:type="dxa"/>
            <w:vAlign w:val="bottom"/>
          </w:tcPr>
          <w:p>
            <w:pPr>
              <w:spacing w:after="0"/>
              <w:rPr>
                <w:sz w:val="19"/>
                <w:szCs w:val="19"/>
                <w:color w:val="auto"/>
              </w:rPr>
            </w:pPr>
          </w:p>
        </w:tc>
        <w:tc>
          <w:tcPr>
            <w:tcW w:w="6800" w:type="dxa"/>
            <w:vAlign w:val="bottom"/>
            <w:gridSpan w:val="2"/>
          </w:tcPr>
          <w:p>
            <w:pPr>
              <w:spacing w:after="0"/>
              <w:rPr>
                <w:sz w:val="20"/>
                <w:szCs w:val="20"/>
                <w:color w:val="auto"/>
              </w:rPr>
            </w:pPr>
            <w:r>
              <w:rPr>
                <w:rFonts w:ascii="Arial" w:cs="Arial" w:eastAsia="Arial" w:hAnsi="Arial"/>
                <w:sz w:val="18"/>
                <w:szCs w:val="18"/>
                <w:color w:val="auto"/>
              </w:rPr>
              <w:t>After 1 year but not more than 5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243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646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822</w:t>
            </w:r>
          </w:p>
        </w:tc>
      </w:tr>
      <w:tr>
        <w:trPr>
          <w:trHeight w:val="223"/>
        </w:trPr>
        <w:tc>
          <w:tcPr>
            <w:tcW w:w="240" w:type="dxa"/>
            <w:vAlign w:val="bottom"/>
          </w:tcPr>
          <w:p>
            <w:pPr>
              <w:spacing w:after="0"/>
              <w:rPr>
                <w:sz w:val="19"/>
                <w:szCs w:val="19"/>
                <w:color w:val="auto"/>
              </w:rPr>
            </w:pPr>
          </w:p>
        </w:tc>
        <w:tc>
          <w:tcPr>
            <w:tcW w:w="68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1,277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40" w:type="dxa"/>
            <w:vAlign w:val="bottom"/>
          </w:tcPr>
          <w:p>
            <w:pPr>
              <w:spacing w:after="0" w:line="20" w:lineRule="exact"/>
              <w:rPr>
                <w:sz w:val="1"/>
                <w:szCs w:val="1"/>
                <w:color w:val="auto"/>
              </w:rPr>
            </w:pPr>
          </w:p>
        </w:tc>
        <w:tc>
          <w:tcPr>
            <w:tcW w:w="2720" w:type="dxa"/>
            <w:vAlign w:val="bottom"/>
          </w:tcPr>
          <w:p>
            <w:pPr>
              <w:spacing w:after="0" w:line="20" w:lineRule="exact"/>
              <w:rPr>
                <w:sz w:val="1"/>
                <w:szCs w:val="1"/>
                <w:color w:val="auto"/>
              </w:rPr>
            </w:pPr>
          </w:p>
        </w:tc>
        <w:tc>
          <w:tcPr>
            <w:tcW w:w="40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420"/>
        <w:spacing w:after="0"/>
        <w:rPr>
          <w:sz w:val="20"/>
          <w:szCs w:val="20"/>
          <w:color w:val="auto"/>
        </w:rPr>
      </w:pPr>
      <w:r>
        <w:rPr>
          <w:rFonts w:ascii="Arial" w:cs="Arial" w:eastAsia="Arial" w:hAnsi="Arial"/>
          <w:sz w:val="18"/>
          <w:szCs w:val="18"/>
          <w:color w:val="auto"/>
        </w:rPr>
        <w:t>The total amount of income recognized in connection with such leases in 2017, 2016 and 2015 are $275, $436 y $661, respectively.</w:t>
      </w:r>
    </w:p>
    <w:p>
      <w:pPr>
        <w:spacing w:after="0" w:line="221" w:lineRule="exact"/>
        <w:rPr>
          <w:sz w:val="20"/>
          <w:szCs w:val="20"/>
          <w:color w:val="auto"/>
        </w:rPr>
      </w:pPr>
    </w:p>
    <w:p>
      <w:pPr>
        <w:ind w:left="720"/>
        <w:spacing w:after="0"/>
        <w:rPr>
          <w:sz w:val="20"/>
          <w:szCs w:val="20"/>
          <w:color w:val="auto"/>
        </w:rPr>
      </w:pPr>
      <w:r>
        <w:rPr>
          <w:rFonts w:ascii="Arial" w:cs="Arial" w:eastAsia="Arial" w:hAnsi="Arial"/>
          <w:sz w:val="18"/>
          <w:szCs w:val="18"/>
          <w:b w:val="1"/>
          <w:bCs w:val="1"/>
          <w:color w:val="auto"/>
        </w:rPr>
        <w:t>26. Litigation</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66"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27. Risk management</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Risk is inherent in the Bank’s activities, but it is managed through a process of ongoing identification, measurement and monitoring, subject to risk limits and other controls. This process of risk management is critical to the Bank’s continuing profitability and each individual within the Bank is accountable for the risk exposures relating to his or her responsibilities. The Bank is exposed to market, credit, compliance and liquidity risk. It is also subject to country risk and various operating risks.</w:t>
      </w:r>
    </w:p>
    <w:p>
      <w:pPr>
        <w:spacing w:after="0" w:line="187"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 Board of Directors is responsible for the overall risk management approach and for approving the risk management strategies and principles. The Board has appointed an Administration Committee which has the responsibility to monitor the overall risk process within the Bank.</w:t>
      </w:r>
    </w:p>
    <w:p>
      <w:pPr>
        <w:spacing w:after="0" w:line="14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Risk Committee has the overall responsibility for the development of the risk strategy and implementing principles, frameworks, policies and limits.</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Risk Committee is responsible for managing risk decisions and monitoring risk levels and reports on a weekly basis to the Supervisory Board.</w:t>
      </w:r>
    </w:p>
    <w:p>
      <w:pPr>
        <w:spacing w:after="0" w:line="222"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Risk Management Unit is responsible for implementing and maintaining risk related procedures to ensure an independent control process is maintained. The unit works closely with the Risk Committee to ensure that procedures are compliant with the overall framework.</w:t>
      </w:r>
    </w:p>
    <w:p>
      <w:pPr>
        <w:spacing w:after="0" w:line="170"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Risk Management Unit is responsible for monitoring compliance with risk principles, policies and limits across the Bank. This unit also ensures the complete capture of the risks in risk measurement and reporting systems. Exceptions are reported on a daily basis, where necessary, to the Risk Committee, and the relevant actions are taken to address exceptions and any areas of weakness.</w:t>
      </w:r>
    </w:p>
    <w:p>
      <w:pPr>
        <w:spacing w:after="0" w:line="181" w:lineRule="exact"/>
        <w:rPr>
          <w:sz w:val="20"/>
          <w:szCs w:val="20"/>
          <w:color w:val="auto"/>
        </w:rPr>
      </w:pPr>
    </w:p>
    <w:p>
      <w:pPr>
        <w:jc w:val="both"/>
        <w:ind w:left="340"/>
        <w:spacing w:after="0" w:line="302" w:lineRule="auto"/>
        <w:rPr>
          <w:sz w:val="20"/>
          <w:szCs w:val="20"/>
          <w:color w:val="auto"/>
        </w:rPr>
      </w:pPr>
      <w:r>
        <w:rPr>
          <w:rFonts w:ascii="Arial" w:cs="Arial" w:eastAsia="Arial" w:hAnsi="Arial"/>
          <w:sz w:val="16"/>
          <w:szCs w:val="16"/>
          <w:color w:val="auto"/>
        </w:rPr>
        <w:t>The Bank‘s Assets/Liabilities Committee (ALCO) is responsible for managing the Bank’s assets and liabilities and the overall financial structure. It is also primarily responsible for the funding and liquidity risks of the Bank. The Bank’s policy is that risk management processes throughout the Bank are audited annually by the Internal Audit function, which examines both the adequacy of the procedures and the Bank’s compliance with the procedures. Internal Audit discusses the results of all assessments with management, and reports its findings and recommendations to the Audit Committee.</w:t>
      </w:r>
    </w:p>
    <w:p>
      <w:pPr>
        <w:spacing w:after="0" w:line="15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9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213" w:name="page214"/>
    <w:bookmarkEnd w:id="2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260"/>
        <w:spacing w:after="0"/>
        <w:rPr>
          <w:sz w:val="20"/>
          <w:szCs w:val="20"/>
          <w:color w:val="auto"/>
        </w:rPr>
      </w:pPr>
      <w:r>
        <w:rPr>
          <w:rFonts w:ascii="Arial" w:cs="Arial" w:eastAsia="Arial" w:hAnsi="Arial"/>
          <w:sz w:val="18"/>
          <w:szCs w:val="18"/>
          <w:b w:val="1"/>
          <w:bCs w:val="1"/>
          <w:color w:val="auto"/>
        </w:rPr>
        <w:t>27. Risk management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Risk measurement and reporting systems</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Bank’s risks are measured using a method that reflects both the expected loss likely to arise in normal circumstances and unexpected losses, which are an estimate of the ultimate actual loss based on statistical models. The models make use of probabilities derived from historical experience, adjusted to reflect the economic environment. The Bank also runs worst-case scenarios that would arise in the event that extreme events which are unlikely to occur do, in fact, occur.</w:t>
      </w:r>
    </w:p>
    <w:p>
      <w:pPr>
        <w:spacing w:after="0" w:line="187" w:lineRule="exact"/>
        <w:rPr>
          <w:sz w:val="20"/>
          <w:szCs w:val="20"/>
          <w:color w:val="auto"/>
        </w:rPr>
      </w:pPr>
    </w:p>
    <w:p>
      <w:pPr>
        <w:jc w:val="both"/>
        <w:ind w:left="340"/>
        <w:spacing w:after="0" w:line="270" w:lineRule="auto"/>
        <w:rPr>
          <w:sz w:val="20"/>
          <w:szCs w:val="20"/>
          <w:color w:val="auto"/>
        </w:rPr>
      </w:pPr>
      <w:r>
        <w:rPr>
          <w:rFonts w:ascii="Arial" w:cs="Arial" w:eastAsia="Arial" w:hAnsi="Arial"/>
          <w:sz w:val="17"/>
          <w:szCs w:val="17"/>
          <w:color w:val="auto"/>
        </w:rPr>
        <w:t>Monitoring and controlling risks is primarily performed based on limits established by the Bank. These limits reflect the business strategy and market environment of the Bank as well as the level of risk that the Bank is willing to accept, with additional emphasis on selected industries. In addition, the Bank’s policy is to measure and monitor the overall risk bearing capacity in relation to the aggregate risk exposure across all risk types and activities. Information compiled from all the businesses is examined and processed in order to analyze, control and identify risks on a timely basis. This information is presented and explained to the Board of Directors, the Risk Committee, and the head of each business division. The report includes aggregate credit exposure, credit metric forecasts, market risk sensitivities, stop losses, liquidity ratios and risk profile changes. On a monthly basis, detailed reporting of industry, customer and geographic risks takes place. Senior management assesses the appropriateness of the allowance for credit losses on a monthly basis. The Supervisory Board receives a comprehensive risk report once a quarter which is designed to provide all the necessary information to assess and conclude on the risks of the Bank. For all levels throughout the Bank, specifically tailored risk reports are prepared and distributed in order to ensure that all business divisions have access to extensive, necessary and up–to–date information.</w:t>
      </w:r>
    </w:p>
    <w:p>
      <w:pPr>
        <w:spacing w:after="0" w:line="17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Risk mitigation</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As part of its overall risk management, the Bank uses derivatives and other instruments to manage exposures resulting from changes in interest rates, foreign currencies, equity risks, credit risks, and exposures arising from forecast transactions.</w:t>
      </w:r>
    </w:p>
    <w:p>
      <w:pPr>
        <w:spacing w:after="0" w:line="170"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In accordance with the Bank’s policy, its risk profile is assessed before entering into hedge transactions, which are authorized by the appropriate level of seniority within the Bank. The effectiveness of hedges is assessed by the Risk Controlling Unit (based on economic considerations rather than the IFRS hedge accounting regulations). The effectiveness of all the hedge relationships is monitored by the Risk Controlling Unit quarterly. In situations of ineffectiveness, the Bank will enter into a new hedge relationship to mitigate risk on a continuous basis.</w:t>
      </w:r>
    </w:p>
    <w:p>
      <w:pPr>
        <w:spacing w:after="0" w:line="16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Risk concentration</w:t>
      </w:r>
    </w:p>
    <w:p>
      <w:pPr>
        <w:spacing w:after="0" w:line="229"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Concentrations arise when a number of counterparties are engaged in similar business activities, or activities in the same geographical region, or have similar economic features that would cause their ability to meet contractual obligations to be similarly affected by changes in economic, political or other conditions. Concentrations indicate the relative sensitivity of the Bank’s performance to developments affecting a particular industry or geographical location. In order to avoid excessive concentrations of risk, the Bank’s policies and procedures include specific guidelines to focus on maintaining a diversified portfolio. Identified concentrations of credit risks are controlled and managed accordingly. Selective hedging is used within the Bank to manage risk concentrations at both the relationship and industry levels.</w:t>
      </w:r>
    </w:p>
    <w:p>
      <w:pPr>
        <w:spacing w:after="0" w:line="17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has exposure to the following risk from financial instruments:</w:t>
      </w:r>
    </w:p>
    <w:p>
      <w:pPr>
        <w:spacing w:after="0" w:line="22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27.1 Credit risk</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Credit risk is the risk that the Bank will incur a loss because its customers or counterparties fail to discharge their contractual obligations. The Bank manages and controls credit risk by setting limits on the amount of risk it is willing to accept for individual counterparties and for geographical and industry concentrations, and by monitoring exposures in relation to such limits.</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9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214" w:name="page215"/>
    <w:bookmarkEnd w:id="2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80" w:hanging="329"/>
        <w:spacing w:after="0"/>
        <w:tabs>
          <w:tab w:leader="none" w:pos="580" w:val="left"/>
        </w:tabs>
        <w:numPr>
          <w:ilvl w:val="0"/>
          <w:numId w:val="209"/>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27.1 Credit risk (continued)</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has established a credit quality review process to provide early identification of possible changes in the creditworthiness of counterparties, including regular collateral revisions. Counterparty limits are established by the use of a credit risk classification system, which assigns each counterparty a risk rating. Risk ratings are subject to regular revision. The credit quality review process aims to allow the Bank to assess the potential loss as a result of the risks to which it is exposed and take corrective action.</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Individually assessed allowances</w:t>
      </w:r>
    </w:p>
    <w:p>
      <w:pPr>
        <w:spacing w:after="0" w:line="225"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The Bank determines the allowances appropriate for each individually significant loan or advance on an individual basis, taking into account any overdue payments of interests, credit rating downgrades, or infringement of the original terms of the contract. Items considered when determining allowance amounts include the sustainability of the counterparty’s business plan, its ability to improve performance if it is in a financial difficulty, projected receipts and the expected payout should bankruptcy ensue, the availability of other financial support, the realizable value of collateral and the timing of the expected cash flows. Allowances for losses are evaluated at each reporting date, unless unforeseen circumstances require more careful attention.</w:t>
      </w:r>
    </w:p>
    <w:p>
      <w:pPr>
        <w:spacing w:after="0" w:line="158"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Collectively assessed allowances</w:t>
      </w:r>
    </w:p>
    <w:p>
      <w:pPr>
        <w:spacing w:after="0" w:line="225"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Allowances are assessed collectively for losses on loans and advances and for debt investments at amortized costs that are not individually significant and for individually significant loans and advances that have been assessed individually and found not to be impaired. The Bank generally bases its analyses on historical experience and prospective information. However, when there are significant market developments, regional and/or global, the Bank would include macroeconomic factors within its assessments. These factors include, depending on the characteristics of the individual or collective assessment: unemployment rates, current levels of bad debt, changes in the law, changes in regulation, bankruptcy trends, and other consumer data. The Bank may use the aforementioned factors as appropriate to adjust the impairment allowances.</w:t>
      </w:r>
    </w:p>
    <w:p>
      <w:pPr>
        <w:spacing w:after="0" w:line="165"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Allowances are evaluated separately at each reporting date with each portfolio. The collective assessment is made for groups of assets with similar risk characteristics, in order to determine whether provision should be made due to incurred loss events for which there is objective evidence, but the effects of which are not yet evident in the individual loans assessments. The collective assessment takes account of data from the loan portfolio (such as historical losses on the portfolio, levels of arrears, credit utilization, loan to collateral ratios and expected receipts and recoveries once impaired) or economic data (such as current economic conditions, unemployment levels and local or industry–specific problems). The approximate time when a loss is likely to have been incurred and the time it will be identified as requiring an individually assessed impairment allowance is also taken into consideration. The impairment allowance is then reviewed by credit management to ensure alignment with the Bank’s overall policy.</w:t>
      </w:r>
    </w:p>
    <w:p>
      <w:pPr>
        <w:spacing w:after="0" w:line="17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Financial guarantees and letters of credit are assessed in a similar manner as for loans.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Credit risk arising from derivative financial instruments is, at any time, limited to those with positive fair values, as recorded on the statement of financial position at fair value.</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With gross–settled derivatives, the Bank is also exposed to a settlement risk, being the risk that the Bank honors its obligation, but the counterparty fails to deliver the counter value.</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Credit–related commitments risks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makes available to its customers guarantees that may require that the Bank makes payments on their behalf and enters into commitments to extend credit lines to secure their liquidity needs. Letters of credit and guarantees (including standby letters of credit) commit the Bank to make payments on behalf of customers in the event of a specific act, generally related to the import or export of goods. Such commitments expose the Bank to similar risks to loans and are mitigated by the same control processes and policies.</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9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215" w:name="page216"/>
    <w:bookmarkEnd w:id="2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80" w:hanging="329"/>
        <w:spacing w:after="0"/>
        <w:tabs>
          <w:tab w:leader="none" w:pos="580" w:val="left"/>
        </w:tabs>
        <w:numPr>
          <w:ilvl w:val="0"/>
          <w:numId w:val="210"/>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27.1 Credit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Collateral and other credit enhancements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main types of collateral obtained are, as follows: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  For commercial lending, charges over real estate properties, inventory and trade receivables.</w:t>
      </w:r>
    </w:p>
    <w:p>
      <w:pPr>
        <w:spacing w:after="0" w:line="225" w:lineRule="exact"/>
        <w:rPr>
          <w:sz w:val="20"/>
          <w:szCs w:val="20"/>
          <w:color w:val="auto"/>
        </w:rPr>
      </w:pPr>
    </w:p>
    <w:p>
      <w:pPr>
        <w:jc w:val="both"/>
        <w:ind w:left="340"/>
        <w:spacing w:after="0" w:line="312"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properties in an orderly fashion. The proceeds are used to reduce or repay the outstanding claim. In general, the Bank does not occupy repossessed properties for business use.</w:t>
      </w:r>
    </w:p>
    <w:p>
      <w:pPr>
        <w:spacing w:after="0" w:line="147"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 also makes use of master netting agreements with counterparties with whom a significant volume of transactions are undertaken. Such arrangements provide for single net settlement of all financial instruments covered by the agreements in the event of default on any one contract. Master netting arrangements do not normally result in an offset of balance–sheet assets and liabilities unless certain conditions for offsetting.</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Although master netting arrangements may significantly reduce credit risk, it should be noted that:</w:t>
      </w:r>
    </w:p>
    <w:p>
      <w:pPr>
        <w:spacing w:after="0" w:line="225" w:lineRule="exact"/>
        <w:rPr>
          <w:sz w:val="20"/>
          <w:szCs w:val="20"/>
          <w:color w:val="auto"/>
        </w:rPr>
      </w:pPr>
    </w:p>
    <w:p>
      <w:pPr>
        <w:ind w:left="1160" w:hanging="180"/>
        <w:spacing w:after="0"/>
        <w:tabs>
          <w:tab w:leader="none" w:pos="116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Credit risk is eliminated only to the extent that amounts due to the same counterparty will be settled after the assets are realized.</w:t>
      </w:r>
    </w:p>
    <w:p>
      <w:pPr>
        <w:spacing w:after="0" w:line="225" w:lineRule="exact"/>
        <w:rPr>
          <w:rFonts w:ascii="Arial" w:cs="Arial" w:eastAsia="Arial" w:hAnsi="Arial"/>
          <w:sz w:val="18"/>
          <w:szCs w:val="18"/>
          <w:color w:val="auto"/>
        </w:rPr>
      </w:pPr>
    </w:p>
    <w:p>
      <w:pPr>
        <w:ind w:left="1160" w:hanging="180"/>
        <w:spacing w:after="0" w:line="277" w:lineRule="auto"/>
        <w:tabs>
          <w:tab w:leader="none" w:pos="116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27.2 Liquidity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Liquidity refers to the Bank’s ability to maintain adequate cash flows to fund operations and meet obligations and other commitments on a timely basis.</w:t>
      </w:r>
    </w:p>
    <w:p>
      <w:pPr>
        <w:spacing w:after="0" w:line="248"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58"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 xml:space="preserve">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Liquidity Coverage Ratio methodology referencing the Basel Committee guidelines. Additionally, the Liquidity Coverage Ratio is complemented with the use of the Net Stable Funding Ratio to maintain an adequate long-term funding structure. </w:t>
      </w:r>
      <w:r>
        <w:rPr>
          <w:rFonts w:ascii="Arial" w:cs="Arial" w:eastAsia="Arial" w:hAnsi="Arial"/>
          <w:sz w:val="17"/>
          <w:szCs w:val="17"/>
          <w:color w:val="222222"/>
        </w:rPr>
        <w:t>According to the</w:t>
      </w:r>
      <w:r>
        <w:rPr>
          <w:rFonts w:ascii="Arial" w:cs="Arial" w:eastAsia="Arial" w:hAnsi="Arial"/>
          <w:sz w:val="17"/>
          <w:szCs w:val="17"/>
          <w:color w:val="auto"/>
        </w:rPr>
        <w:t xml:space="preserve"> </w:t>
      </w:r>
      <w:r>
        <w:rPr>
          <w:rFonts w:ascii="Arial" w:cs="Arial" w:eastAsia="Arial" w:hAnsi="Arial"/>
          <w:sz w:val="17"/>
          <w:szCs w:val="17"/>
          <w:color w:val="222222"/>
        </w:rPr>
        <w:t>Bank's liquidity guidelines, it is established that a minimum level of 1.0 of LCR and NSFR must be met. The Bank maintained a liquidity index between 1.25 and 1.53, with an average of 1.42 for 2017; and between 0.94 and 2.60, with an average of 1.15 for 2016.</w:t>
      </w:r>
    </w:p>
    <w:p>
      <w:pPr>
        <w:spacing w:after="0" w:line="178" w:lineRule="exact"/>
        <w:rPr>
          <w:sz w:val="20"/>
          <w:szCs w:val="20"/>
          <w:color w:val="auto"/>
        </w:rPr>
      </w:pPr>
    </w:p>
    <w:p>
      <w:pPr>
        <w:jc w:val="both"/>
        <w:ind w:left="340" w:right="20"/>
        <w:spacing w:after="0" w:line="264" w:lineRule="auto"/>
        <w:rPr>
          <w:sz w:val="20"/>
          <w:szCs w:val="20"/>
          <w:color w:val="auto"/>
        </w:rPr>
      </w:pPr>
      <w:r>
        <w:rPr>
          <w:rFonts w:ascii="Arial" w:cs="Arial" w:eastAsia="Arial" w:hAnsi="Arial"/>
          <w:sz w:val="18"/>
          <w:szCs w:val="18"/>
          <w:color w:val="auto"/>
        </w:rPr>
        <w:t>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9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216" w:name="page217"/>
    <w:bookmarkEnd w:id="2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80" w:hanging="329"/>
        <w:spacing w:after="0"/>
        <w:tabs>
          <w:tab w:leader="none" w:pos="580" w:val="left"/>
        </w:tabs>
        <w:numPr>
          <w:ilvl w:val="0"/>
          <w:numId w:val="212"/>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27.2 Liquidity risk (continued)</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follows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87" w:lineRule="exact"/>
        <w:rPr>
          <w:sz w:val="20"/>
          <w:szCs w:val="20"/>
          <w:color w:val="auto"/>
        </w:rPr>
      </w:pPr>
    </w:p>
    <w:p>
      <w:pPr>
        <w:ind w:left="420"/>
        <w:spacing w:after="0"/>
        <w:rPr>
          <w:sz w:val="20"/>
          <w:szCs w:val="20"/>
          <w:color w:val="auto"/>
        </w:rPr>
      </w:pPr>
      <w:r>
        <w:rPr>
          <w:rFonts w:ascii="Arial" w:cs="Arial" w:eastAsia="Arial" w:hAnsi="Arial"/>
          <w:sz w:val="18"/>
          <w:szCs w:val="18"/>
          <w:color w:val="auto"/>
        </w:rPr>
        <w:t>The following table shows the Bank’s liquid assets, by principal geographic area:</w:t>
      </w:r>
    </w:p>
    <w:p>
      <w:pPr>
        <w:spacing w:after="0" w:line="200" w:lineRule="exact"/>
        <w:rPr>
          <w:sz w:val="20"/>
          <w:szCs w:val="20"/>
          <w:color w:val="auto"/>
        </w:rPr>
      </w:pPr>
    </w:p>
    <w:p>
      <w:pPr>
        <w:spacing w:after="0" w:line="237" w:lineRule="exact"/>
        <w:rPr>
          <w:sz w:val="20"/>
          <w:szCs w:val="20"/>
          <w:color w:val="auto"/>
        </w:rPr>
      </w:pPr>
    </w:p>
    <w:tbl>
      <w:tblPr>
        <w:tblLayout w:type="fixed"/>
        <w:tblInd w:w="1300" w:type="dxa"/>
        <w:tblCellMar>
          <w:top w:w="0" w:type="dxa"/>
          <w:left w:w="0" w:type="dxa"/>
          <w:bottom w:w="0" w:type="dxa"/>
          <w:right w:w="0" w:type="dxa"/>
        </w:tblCellMar>
      </w:tblPr>
      <w:tr>
        <w:trPr>
          <w:trHeight w:val="216"/>
        </w:trPr>
        <w:tc>
          <w:tcPr>
            <w:tcW w:w="4460" w:type="dxa"/>
            <w:vAlign w:val="bottom"/>
            <w:vMerge w:val="restart"/>
          </w:tcPr>
          <w:p>
            <w:pPr>
              <w:spacing w:after="0"/>
              <w:rPr>
                <w:sz w:val="20"/>
                <w:szCs w:val="20"/>
                <w:color w:val="auto"/>
              </w:rPr>
            </w:pPr>
            <w:r>
              <w:rPr>
                <w:rFonts w:ascii="Arial" w:cs="Arial" w:eastAsia="Arial" w:hAnsi="Arial"/>
                <w:sz w:val="18"/>
                <w:szCs w:val="18"/>
                <w:b w:val="1"/>
                <w:bCs w:val="1"/>
                <w:i w:val="1"/>
                <w:iCs w:val="1"/>
                <w:color w:val="auto"/>
              </w:rPr>
              <w:t>(in millions US$)</w:t>
            </w:r>
          </w:p>
        </w:tc>
        <w:tc>
          <w:tcPr>
            <w:tcW w:w="3780" w:type="dxa"/>
            <w:vAlign w:val="bottom"/>
            <w:gridSpan w:val="3"/>
          </w:tcPr>
          <w:p>
            <w:pPr>
              <w:jc w:val="right"/>
              <w:ind w:right="80"/>
              <w:spacing w:after="0"/>
              <w:rPr>
                <w:sz w:val="20"/>
                <w:szCs w:val="20"/>
                <w:color w:val="auto"/>
              </w:rPr>
            </w:pPr>
            <w:r>
              <w:rPr>
                <w:rFonts w:ascii="Arial" w:cs="Arial" w:eastAsia="Arial" w:hAnsi="Arial"/>
                <w:sz w:val="18"/>
                <w:szCs w:val="18"/>
                <w:b w:val="1"/>
                <w:bCs w:val="1"/>
                <w:color w:val="auto"/>
              </w:rPr>
              <w:t>December 31,</w:t>
            </w:r>
          </w:p>
        </w:tc>
        <w:tc>
          <w:tcPr>
            <w:tcW w:w="1240" w:type="dxa"/>
            <w:vAlign w:val="bottom"/>
            <w:gridSpan w:val="3"/>
          </w:tcPr>
          <w:p>
            <w:pPr>
              <w:ind w:left="100"/>
              <w:spacing w:after="0"/>
              <w:rPr>
                <w:sz w:val="20"/>
                <w:szCs w:val="20"/>
                <w:color w:val="auto"/>
              </w:rPr>
            </w:pPr>
            <w:r>
              <w:rPr>
                <w:rFonts w:ascii="Arial" w:cs="Arial" w:eastAsia="Arial" w:hAnsi="Arial"/>
                <w:sz w:val="18"/>
                <w:szCs w:val="18"/>
                <w:b w:val="1"/>
                <w:bCs w:val="1"/>
                <w:color w:val="auto"/>
                <w:w w:val="95"/>
              </w:rPr>
              <w:t>December 31,</w:t>
            </w:r>
          </w:p>
        </w:tc>
        <w:tc>
          <w:tcPr>
            <w:tcW w:w="0" w:type="dxa"/>
            <w:vAlign w:val="bottom"/>
          </w:tcPr>
          <w:p>
            <w:pPr>
              <w:spacing w:after="0"/>
              <w:rPr>
                <w:sz w:val="1"/>
                <w:szCs w:val="1"/>
                <w:color w:val="auto"/>
              </w:rPr>
            </w:pPr>
          </w:p>
        </w:tc>
      </w:tr>
      <w:tr>
        <w:trPr>
          <w:trHeight w:val="234"/>
        </w:trPr>
        <w:tc>
          <w:tcPr>
            <w:tcW w:w="4460" w:type="dxa"/>
            <w:vAlign w:val="bottom"/>
            <w:vMerge w:val="continue"/>
          </w:tcPr>
          <w:p>
            <w:pPr>
              <w:spacing w:after="0"/>
              <w:rPr>
                <w:sz w:val="20"/>
                <w:szCs w:val="20"/>
                <w:color w:val="auto"/>
              </w:rPr>
            </w:pPr>
          </w:p>
        </w:tc>
        <w:tc>
          <w:tcPr>
            <w:tcW w:w="368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114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United States of America</w:t>
            </w:r>
          </w:p>
        </w:tc>
        <w:tc>
          <w:tcPr>
            <w:tcW w:w="26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612</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60" w:type="dxa"/>
            <w:vAlign w:val="bottom"/>
          </w:tcPr>
          <w:p>
            <w:pPr>
              <w:spacing w:after="0"/>
              <w:rPr>
                <w:sz w:val="20"/>
                <w:szCs w:val="20"/>
                <w:color w:val="auto"/>
              </w:rPr>
            </w:pPr>
            <w:r>
              <w:rPr>
                <w:rFonts w:ascii="Arial" w:cs="Arial" w:eastAsia="Arial" w:hAnsi="Arial"/>
                <w:sz w:val="18"/>
                <w:szCs w:val="18"/>
                <w:color w:val="auto"/>
              </w:rPr>
              <w:t>Other O.E.C.D.</w:t>
            </w:r>
          </w:p>
        </w:tc>
        <w:tc>
          <w:tcPr>
            <w:tcW w:w="37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1240" w:type="dxa"/>
            <w:vAlign w:val="bottom"/>
            <w:gridSpan w:val="3"/>
          </w:tcPr>
          <w:p>
            <w:pPr>
              <w:jc w:val="right"/>
              <w:ind w:right="100"/>
              <w:spacing w:after="0"/>
              <w:rPr>
                <w:sz w:val="20"/>
                <w:szCs w:val="20"/>
                <w:color w:val="auto"/>
              </w:rPr>
            </w:pPr>
            <w:r>
              <w:rPr>
                <w:rFonts w:ascii="Arial" w:cs="Arial" w:eastAsia="Arial" w:hAnsi="Arial"/>
                <w:sz w:val="18"/>
                <w:szCs w:val="18"/>
                <w:color w:val="auto"/>
              </w:rPr>
              <w:t>409</w:t>
            </w:r>
          </w:p>
        </w:tc>
        <w:tc>
          <w:tcPr>
            <w:tcW w:w="0" w:type="dxa"/>
            <w:vAlign w:val="bottom"/>
          </w:tcPr>
          <w:p>
            <w:pPr>
              <w:spacing w:after="0"/>
              <w:rPr>
                <w:sz w:val="1"/>
                <w:szCs w:val="1"/>
                <w:color w:val="auto"/>
              </w:rPr>
            </w:pPr>
          </w:p>
        </w:tc>
      </w:tr>
      <w:tr>
        <w:trPr>
          <w:trHeight w:val="216"/>
        </w:trPr>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Multilateral</w:t>
            </w:r>
          </w:p>
        </w:tc>
        <w:tc>
          <w:tcPr>
            <w:tcW w:w="37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2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460" w:type="dxa"/>
            <w:vAlign w:val="bottom"/>
          </w:tcPr>
          <w:p>
            <w:pPr>
              <w:spacing w:after="0"/>
              <w:rPr>
                <w:sz w:val="20"/>
                <w:szCs w:val="20"/>
                <w:color w:val="auto"/>
              </w:rPr>
            </w:pPr>
            <w:r>
              <w:rPr>
                <w:rFonts w:ascii="Arial" w:cs="Arial" w:eastAsia="Arial" w:hAnsi="Arial"/>
                <w:sz w:val="18"/>
                <w:szCs w:val="18"/>
                <w:color w:val="auto"/>
              </w:rPr>
              <w:t>Latin America</w:t>
            </w:r>
          </w:p>
        </w:tc>
        <w:tc>
          <w:tcPr>
            <w:tcW w:w="3780" w:type="dxa"/>
            <w:vAlign w:val="bottom"/>
            <w:gridSpan w:val="3"/>
          </w:tcPr>
          <w:p>
            <w:pPr>
              <w:jc w:val="right"/>
              <w:ind w:right="100"/>
              <w:spacing w:after="0"/>
              <w:rPr>
                <w:sz w:val="20"/>
                <w:szCs w:val="20"/>
                <w:color w:val="auto"/>
              </w:rPr>
            </w:pPr>
            <w:r>
              <w:rPr>
                <w:rFonts w:ascii="Arial" w:cs="Arial" w:eastAsia="Arial" w:hAnsi="Arial"/>
                <w:sz w:val="18"/>
                <w:szCs w:val="18"/>
                <w:color w:val="auto"/>
              </w:rPr>
              <w:t>7</w:t>
            </w:r>
          </w:p>
        </w:tc>
        <w:tc>
          <w:tcPr>
            <w:tcW w:w="1240" w:type="dxa"/>
            <w:vAlign w:val="bottom"/>
            <w:gridSpan w:val="3"/>
          </w:tcPr>
          <w:p>
            <w:pPr>
              <w:jc w:val="right"/>
              <w:ind w:right="10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23"/>
        </w:trPr>
        <w:tc>
          <w:tcPr>
            <w:tcW w:w="4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6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460" w:type="dxa"/>
            <w:vAlign w:val="bottom"/>
          </w:tcPr>
          <w:p>
            <w:pPr>
              <w:spacing w:after="0" w:line="20" w:lineRule="exact"/>
              <w:rPr>
                <w:sz w:val="1"/>
                <w:szCs w:val="1"/>
                <w:color w:val="auto"/>
              </w:rPr>
            </w:pPr>
          </w:p>
        </w:tc>
        <w:tc>
          <w:tcPr>
            <w:tcW w:w="26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As of December 31, 2017 and 2016, the Bank’s 24-hour deposits from customers (demand deposit accounts and call deposits) amounted to $478 million and $227 million, respectively; representing 16% and 8% of the Bank’s total deposits, for each year reported. The liquidity requirement resulting from these maturities is satisfied by the Bank’s liquid assets, which as of December 31, 2017 and 2016 were $619 million and $1,008 million, respectively (representing 21% and 36% of total deposits, respectively) of which $609 million, or 98% and $591 million, or 59%, as of December 31, 2017 and 2016, of liquid assets were deposited at the Federal Reserve Bank of New York. The remaining liquid assets consisted of short-term funds deposited with other banks.</w:t>
      </w:r>
    </w:p>
    <w:p>
      <w:pPr>
        <w:spacing w:after="0" w:line="193"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2017 and 2016, the Bank’s short-term loan and investment securities portfolio (maturing within one year based on original contractual term) totaled $3,746 million and $3,577 million, respectively. As of December 31, 2017 and 2016, it had an average original term to maturity of 203 and 184 days, respectively and an average remaining term to maturity of 112 days and 89 days, respectively.</w:t>
      </w:r>
    </w:p>
    <w:p>
      <w:pPr>
        <w:spacing w:after="0" w:line="188"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Medium-term assets (loans and investment securities maturing beyond one year based on original contractual term) totaled $1,872 millions and $2,552 millions as of December 31, 2017 and 2016, respectively. Of that amount, $86 millions and $105 millions corresponded to the Bank’s investment securities as of December 31, 2017 and 2016. The remaining $1,786 millions and $2,447 millions in medium-term assets corresponded to the Bank’s loan portfolio as of December 31, 2017 and 2016. As of December 31, 2017 and 2016, the medium-term assets had an average original term to maturity of four years and three years and nine months, respectively; and an average remaining term to maturity of one year and nine months (655 days), and one year and seven months (588 days), respectively.</w:t>
      </w:r>
    </w:p>
    <w:p>
      <w:pPr>
        <w:spacing w:after="0" w:line="19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217" w:name="page218"/>
    <w:bookmarkEnd w:id="2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80" w:hanging="329"/>
        <w:spacing w:after="0"/>
        <w:tabs>
          <w:tab w:leader="none" w:pos="580" w:val="left"/>
        </w:tabs>
        <w:numPr>
          <w:ilvl w:val="0"/>
          <w:numId w:val="213"/>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27.2 Liquidity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details the Banks’s assets and liabilities grouped by its remaining maturity with respect to the contractual maturity:</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60" w:type="dxa"/>
            <w:vAlign w:val="bottom"/>
            <w:tcBorders>
              <w:bottom w:val="single" w:sz="8" w:color="auto"/>
            </w:tcBorders>
            <w:gridSpan w:val="5"/>
          </w:tcPr>
          <w:p>
            <w:pPr>
              <w:jc w:val="center"/>
              <w:ind w:left="590"/>
              <w:spacing w:after="0"/>
              <w:rPr>
                <w:sz w:val="20"/>
                <w:szCs w:val="20"/>
                <w:color w:val="auto"/>
              </w:rPr>
            </w:pPr>
            <w:r>
              <w:rPr>
                <w:rFonts w:ascii="Arial" w:cs="Arial" w:eastAsia="Arial" w:hAnsi="Arial"/>
                <w:sz w:val="18"/>
                <w:szCs w:val="18"/>
                <w:b w:val="1"/>
                <w:bCs w:val="1"/>
                <w:color w:val="auto"/>
                <w:w w:val="90"/>
              </w:rPr>
              <w:t>December 31, 2017</w:t>
            </w:r>
          </w:p>
        </w:tc>
        <w:tc>
          <w:tcPr>
            <w:tcW w:w="7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gridSpan w:val="2"/>
          </w:tcPr>
          <w:p>
            <w:pPr>
              <w:jc w:val="right"/>
              <w:ind w:right="480"/>
              <w:spacing w:after="0" w:line="191" w:lineRule="exact"/>
              <w:rPr>
                <w:sz w:val="20"/>
                <w:szCs w:val="20"/>
                <w:color w:val="auto"/>
              </w:rPr>
            </w:pPr>
            <w:r>
              <w:rPr>
                <w:rFonts w:ascii="Arial" w:cs="Arial" w:eastAsia="Arial" w:hAnsi="Arial"/>
                <w:sz w:val="18"/>
                <w:szCs w:val="18"/>
                <w:b w:val="1"/>
                <w:bCs w:val="1"/>
                <w:color w:val="auto"/>
              </w:rPr>
              <w:t>More</w:t>
            </w: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vMerge w:val="restart"/>
          </w:tcPr>
          <w:p>
            <w:pPr>
              <w:ind w:left="1200"/>
              <w:spacing w:after="0"/>
              <w:rPr>
                <w:sz w:val="20"/>
                <w:szCs w:val="20"/>
                <w:color w:val="auto"/>
              </w:rPr>
            </w:pPr>
            <w:r>
              <w:rPr>
                <w:rFonts w:ascii="Arial" w:cs="Arial" w:eastAsia="Arial" w:hAnsi="Arial"/>
                <w:sz w:val="18"/>
                <w:szCs w:val="18"/>
                <w:b w:val="1"/>
                <w:bCs w:val="1"/>
                <w:color w:val="auto"/>
              </w:rPr>
              <w:t>Description</w:t>
            </w:r>
          </w:p>
        </w:tc>
        <w:tc>
          <w:tcPr>
            <w:tcW w:w="11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Up to 3</w:t>
            </w:r>
          </w:p>
        </w:tc>
        <w:tc>
          <w:tcPr>
            <w:tcW w:w="11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3 to 6</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2"/>
              </w:rPr>
              <w:t>6 months</w:t>
            </w:r>
          </w:p>
        </w:tc>
        <w:tc>
          <w:tcPr>
            <w:tcW w:w="118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89"/>
              </w:rPr>
              <w:t>1 to 5</w:t>
            </w:r>
          </w:p>
        </w:tc>
        <w:tc>
          <w:tcPr>
            <w:tcW w:w="98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than</w:t>
            </w:r>
          </w:p>
        </w:tc>
        <w:tc>
          <w:tcPr>
            <w:tcW w:w="1080" w:type="dxa"/>
            <w:vAlign w:val="bottom"/>
            <w:gridSpan w:val="2"/>
          </w:tcPr>
          <w:p>
            <w:pPr>
              <w:ind w:left="80"/>
              <w:spacing w:after="0"/>
              <w:rPr>
                <w:sz w:val="20"/>
                <w:szCs w:val="20"/>
                <w:color w:val="auto"/>
              </w:rPr>
            </w:pPr>
            <w:r>
              <w:rPr>
                <w:rFonts w:ascii="Arial" w:cs="Arial" w:eastAsia="Arial" w:hAnsi="Arial"/>
                <w:sz w:val="18"/>
                <w:szCs w:val="18"/>
                <w:b w:val="1"/>
                <w:bCs w:val="1"/>
                <w:color w:val="auto"/>
              </w:rPr>
              <w:t>Without</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00" w:type="dxa"/>
            <w:vAlign w:val="bottom"/>
            <w:vMerge w:val="continue"/>
          </w:tcPr>
          <w:p>
            <w:pPr>
              <w:spacing w:after="0"/>
              <w:rPr>
                <w:sz w:val="20"/>
                <w:szCs w:val="20"/>
                <w:color w:val="auto"/>
              </w:rPr>
            </w:pPr>
          </w:p>
        </w:tc>
        <w:tc>
          <w:tcPr>
            <w:tcW w:w="11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months</w:t>
            </w:r>
          </w:p>
        </w:tc>
        <w:tc>
          <w:tcPr>
            <w:tcW w:w="11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months</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to 1 year</w:t>
            </w:r>
          </w:p>
        </w:tc>
        <w:tc>
          <w:tcPr>
            <w:tcW w:w="1180" w:type="dxa"/>
            <w:vAlign w:val="bottom"/>
            <w:gridSpan w:val="3"/>
          </w:tcPr>
          <w:p>
            <w:pPr>
              <w:ind w:left="220"/>
              <w:spacing w:after="0"/>
              <w:rPr>
                <w:sz w:val="20"/>
                <w:szCs w:val="20"/>
                <w:color w:val="auto"/>
              </w:rPr>
            </w:pPr>
            <w:r>
              <w:rPr>
                <w:rFonts w:ascii="Arial" w:cs="Arial" w:eastAsia="Arial" w:hAnsi="Arial"/>
                <w:sz w:val="18"/>
                <w:szCs w:val="18"/>
                <w:b w:val="1"/>
                <w:bCs w:val="1"/>
                <w:color w:val="auto"/>
              </w:rPr>
              <w:t>years</w:t>
            </w:r>
          </w:p>
        </w:tc>
        <w:tc>
          <w:tcPr>
            <w:tcW w:w="98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w w:val="93"/>
              </w:rPr>
              <w:t>5 years</w:t>
            </w:r>
          </w:p>
        </w:tc>
        <w:tc>
          <w:tcPr>
            <w:tcW w:w="1080" w:type="dxa"/>
            <w:vAlign w:val="bottom"/>
            <w:gridSpan w:val="2"/>
          </w:tcPr>
          <w:p>
            <w:pPr>
              <w:ind w:left="80"/>
              <w:spacing w:after="0"/>
              <w:rPr>
                <w:sz w:val="20"/>
                <w:szCs w:val="20"/>
                <w:color w:val="auto"/>
              </w:rPr>
            </w:pPr>
            <w:r>
              <w:rPr>
                <w:rFonts w:ascii="Arial" w:cs="Arial" w:eastAsia="Arial" w:hAnsi="Arial"/>
                <w:sz w:val="18"/>
                <w:szCs w:val="18"/>
                <w:b w:val="1"/>
                <w:bCs w:val="1"/>
                <w:color w:val="auto"/>
              </w:rPr>
              <w:t>maturity</w:t>
            </w:r>
          </w:p>
        </w:tc>
        <w:tc>
          <w:tcPr>
            <w:tcW w:w="96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9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672,048</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672,048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700</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7,000</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77,688</w:t>
            </w: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85,667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Equity investments</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8,402</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8,402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1,926,787</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1,175,801</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922,711</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1,386,161</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94,198</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5,505,658</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Unearned interest and deferred fees</w:t>
            </w: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(472)</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(479)</w:t>
            </w:r>
          </w:p>
        </w:tc>
        <w:tc>
          <w:tcPr>
            <w:tcW w:w="1080" w:type="dxa"/>
            <w:vAlign w:val="bottom"/>
            <w:gridSpan w:val="2"/>
          </w:tcPr>
          <w:p>
            <w:pPr>
              <w:jc w:val="right"/>
              <w:ind w:right="80"/>
              <w:spacing w:after="0"/>
              <w:rPr>
                <w:sz w:val="20"/>
                <w:szCs w:val="20"/>
                <w:color w:val="auto"/>
              </w:rPr>
            </w:pPr>
            <w:r>
              <w:rPr>
                <w:rFonts w:ascii="Arial" w:cs="Arial" w:eastAsia="Arial" w:hAnsi="Arial"/>
                <w:sz w:val="18"/>
                <w:szCs w:val="18"/>
                <w:color w:val="auto"/>
              </w:rPr>
              <w:t>(223)</w:t>
            </w:r>
          </w:p>
        </w:tc>
        <w:tc>
          <w:tcPr>
            <w:tcW w:w="1080" w:type="dxa"/>
            <w:vAlign w:val="bottom"/>
            <w:gridSpan w:val="2"/>
          </w:tcPr>
          <w:p>
            <w:pPr>
              <w:jc w:val="right"/>
              <w:ind w:right="160"/>
              <w:spacing w:after="0"/>
              <w:rPr>
                <w:sz w:val="20"/>
                <w:szCs w:val="20"/>
                <w:color w:val="auto"/>
              </w:rPr>
            </w:pPr>
            <w:r>
              <w:rPr>
                <w:rFonts w:ascii="Arial" w:cs="Arial" w:eastAsia="Arial" w:hAnsi="Arial"/>
                <w:sz w:val="18"/>
                <w:szCs w:val="18"/>
                <w:color w:val="auto"/>
              </w:rPr>
              <w:t>(3,546)</w:t>
            </w:r>
          </w:p>
        </w:tc>
        <w:tc>
          <w:tcPr>
            <w:tcW w:w="100" w:type="dxa"/>
            <w:vAlign w:val="bottom"/>
          </w:tcPr>
          <w:p>
            <w:pPr>
              <w:spacing w:after="0"/>
              <w:rPr>
                <w:sz w:val="18"/>
                <w:szCs w:val="18"/>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(248)</w:t>
            </w:r>
          </w:p>
        </w:tc>
        <w:tc>
          <w:tcPr>
            <w:tcW w:w="1080" w:type="dxa"/>
            <w:vAlign w:val="bottom"/>
            <w:gridSpan w:val="2"/>
          </w:tcPr>
          <w:p>
            <w:pPr>
              <w:jc w:val="right"/>
              <w:ind w:right="80"/>
              <w:spacing w:after="0"/>
              <w:rPr>
                <w:sz w:val="20"/>
                <w:szCs w:val="20"/>
                <w:color w:val="auto"/>
              </w:rPr>
            </w:pPr>
            <w:r>
              <w:rPr>
                <w:rFonts w:ascii="Arial" w:cs="Arial" w:eastAsia="Arial" w:hAnsi="Arial"/>
                <w:sz w:val="18"/>
                <w:szCs w:val="18"/>
                <w:color w:val="auto"/>
              </w:rPr>
              <w:t>(17)</w:t>
            </w: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(4,985)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Allowance for expected credit losses</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(81,294)</w:t>
            </w: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(81,294)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Other assets</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31,282</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8,635</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13,175</w:t>
            </w:r>
          </w:p>
        </w:tc>
        <w:tc>
          <w:tcPr>
            <w:tcW w:w="860" w:type="dxa"/>
            <w:vAlign w:val="bottom"/>
          </w:tcPr>
          <w:p>
            <w:pPr>
              <w:jc w:val="right"/>
              <w:spacing w:after="0"/>
              <w:rPr>
                <w:sz w:val="20"/>
                <w:szCs w:val="20"/>
                <w:color w:val="auto"/>
              </w:rPr>
            </w:pPr>
            <w:r>
              <w:rPr>
                <w:rFonts w:ascii="Arial" w:cs="Arial" w:eastAsia="Arial" w:hAnsi="Arial"/>
                <w:sz w:val="18"/>
                <w:szCs w:val="18"/>
                <w:color w:val="auto"/>
              </w:rPr>
              <w:t>3,819</w:t>
            </w: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9,398</w:t>
            </w:r>
          </w:p>
        </w:tc>
        <w:tc>
          <w:tcPr>
            <w:tcW w:w="220" w:type="dxa"/>
            <w:vAlign w:val="bottom"/>
          </w:tcPr>
          <w:p>
            <w:pPr>
              <w:spacing w:after="0"/>
              <w:rPr>
                <w:sz w:val="19"/>
                <w:szCs w:val="19"/>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15,942</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82,251</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2,630,345</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1,184,236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942,663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1,464,122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103,348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(56,967</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6,267,747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4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Deposits</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1,722,041</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411,158</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571,500</w:t>
            </w:r>
          </w:p>
        </w:tc>
        <w:tc>
          <w:tcPr>
            <w:tcW w:w="860" w:type="dxa"/>
            <w:vAlign w:val="bottom"/>
          </w:tcPr>
          <w:p>
            <w:pPr>
              <w:jc w:val="right"/>
              <w:spacing w:after="0"/>
              <w:rPr>
                <w:sz w:val="20"/>
                <w:szCs w:val="20"/>
                <w:color w:val="auto"/>
              </w:rPr>
            </w:pPr>
            <w:r>
              <w:rPr>
                <w:rFonts w:ascii="Arial" w:cs="Arial" w:eastAsia="Arial" w:hAnsi="Arial"/>
                <w:sz w:val="18"/>
                <w:szCs w:val="18"/>
                <w:color w:val="auto"/>
              </w:rPr>
              <w:t>224,145</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2,928,844</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806,547</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151,090</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291,694</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979,958</w:t>
            </w:r>
          </w:p>
        </w:tc>
        <w:tc>
          <w:tcPr>
            <w:tcW w:w="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66,802</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2,296,091</w:t>
            </w: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34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2,528,588</w:t>
            </w:r>
          </w:p>
        </w:tc>
        <w:tc>
          <w:tcPr>
            <w:tcW w:w="240" w:type="dxa"/>
            <w:vAlign w:val="bottom"/>
            <w:tcBorders>
              <w:bottom w:val="single" w:sz="8" w:color="CCEEFF"/>
            </w:tcBorders>
          </w:tcPr>
          <w:p>
            <w:pPr>
              <w:spacing w:after="0"/>
              <w:rPr>
                <w:sz w:val="22"/>
                <w:szCs w:val="22"/>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562,248</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863,194</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1,204,103</w:t>
            </w:r>
          </w:p>
        </w:tc>
        <w:tc>
          <w:tcPr>
            <w:tcW w:w="22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spacing w:after="0"/>
              <w:rPr>
                <w:sz w:val="22"/>
                <w:szCs w:val="22"/>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66,802</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5,224,935</w:t>
            </w:r>
          </w:p>
        </w:tc>
        <w:tc>
          <w:tcPr>
            <w:tcW w:w="1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Confirmed letters of credit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169,042</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101,403</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3,004</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273,449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9"/>
              </w:rPr>
              <w:t>Stand-by letters of credit and guaranteed –</w:t>
            </w: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Commercial risk</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18,687</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72,080</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77,952</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257</w:t>
            </w:r>
          </w:p>
        </w:tc>
        <w:tc>
          <w:tcPr>
            <w:tcW w:w="100" w:type="dxa"/>
            <w:vAlign w:val="bottom"/>
            <w:shd w:val="clear" w:color="auto" w:fill="CCEEFF"/>
          </w:tcPr>
          <w:p>
            <w:pPr>
              <w:spacing w:after="0"/>
              <w:rPr>
                <w:sz w:val="20"/>
                <w:szCs w:val="20"/>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168,976</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Credit commitments</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15,000</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30,000</w:t>
            </w:r>
          </w:p>
        </w:tc>
        <w:tc>
          <w:tcPr>
            <w:tcW w:w="100" w:type="dxa"/>
            <w:vAlign w:val="bottom"/>
          </w:tcPr>
          <w:p>
            <w:pPr>
              <w:spacing w:after="0"/>
              <w:rPr>
                <w:sz w:val="19"/>
                <w:szCs w:val="19"/>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578</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45,578</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187,729</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188,483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80,956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30,257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488,003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vMerge w:val="restart"/>
          </w:tcPr>
          <w:p>
            <w:pPr>
              <w:spacing w:after="0"/>
              <w:rPr>
                <w:sz w:val="20"/>
                <w:szCs w:val="20"/>
                <w:color w:val="auto"/>
              </w:rPr>
            </w:pPr>
            <w:r>
              <w:rPr>
                <w:rFonts w:ascii="Arial" w:cs="Arial" w:eastAsia="Arial" w:hAnsi="Arial"/>
                <w:sz w:val="18"/>
                <w:szCs w:val="18"/>
                <w:b w:val="1"/>
                <w:bCs w:val="1"/>
                <w:color w:val="auto"/>
              </w:rPr>
              <w:t>Net position</w:t>
            </w:r>
          </w:p>
        </w:tc>
        <w:tc>
          <w:tcPr>
            <w:tcW w:w="9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9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400" w:type="dxa"/>
            <w:vAlign w:val="bottom"/>
            <w:vMerge w:val="continue"/>
          </w:tcPr>
          <w:p>
            <w:pPr>
              <w:spacing w:after="0"/>
              <w:rPr>
                <w:sz w:val="17"/>
                <w:szCs w:val="17"/>
                <w:color w:val="auto"/>
              </w:rPr>
            </w:pPr>
          </w:p>
        </w:tc>
        <w:tc>
          <w:tcPr>
            <w:tcW w:w="9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(85,972</w:t>
            </w:r>
          </w:p>
        </w:tc>
        <w:tc>
          <w:tcPr>
            <w:tcW w:w="240" w:type="dxa"/>
            <w:vAlign w:val="bottom"/>
            <w:vMerge w:val="continue"/>
          </w:tcPr>
          <w:p>
            <w:pPr>
              <w:spacing w:after="0"/>
              <w:rPr>
                <w:sz w:val="17"/>
                <w:szCs w:val="17"/>
                <w:color w:val="auto"/>
              </w:rPr>
            </w:pPr>
          </w:p>
        </w:tc>
        <w:tc>
          <w:tcPr>
            <w:tcW w:w="9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433,505</w:t>
            </w:r>
          </w:p>
        </w:tc>
        <w:tc>
          <w:tcPr>
            <w:tcW w:w="220" w:type="dxa"/>
            <w:vAlign w:val="bottom"/>
            <w:vMerge w:val="continue"/>
          </w:tcPr>
          <w:p>
            <w:pPr>
              <w:spacing w:after="0"/>
              <w:rPr>
                <w:sz w:val="17"/>
                <w:szCs w:val="17"/>
                <w:color w:val="auto"/>
              </w:rPr>
            </w:pPr>
          </w:p>
        </w:tc>
        <w:tc>
          <w:tcPr>
            <w:tcW w:w="8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(1,487</w:t>
            </w:r>
          </w:p>
        </w:tc>
        <w:tc>
          <w:tcPr>
            <w:tcW w:w="220" w:type="dxa"/>
            <w:vAlign w:val="bottom"/>
            <w:vMerge w:val="continue"/>
          </w:tcPr>
          <w:p>
            <w:pPr>
              <w:spacing w:after="0"/>
              <w:rPr>
                <w:sz w:val="17"/>
                <w:szCs w:val="17"/>
                <w:color w:val="auto"/>
              </w:rPr>
            </w:pPr>
          </w:p>
        </w:tc>
        <w:tc>
          <w:tcPr>
            <w:tcW w:w="8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229,762</w:t>
            </w:r>
          </w:p>
        </w:tc>
        <w:tc>
          <w:tcPr>
            <w:tcW w:w="220" w:type="dxa"/>
            <w:vAlign w:val="bottom"/>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7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35,968</w:t>
            </w:r>
          </w:p>
        </w:tc>
        <w:tc>
          <w:tcPr>
            <w:tcW w:w="220" w:type="dxa"/>
            <w:vAlign w:val="bottom"/>
            <w:vMerge w:val="continue"/>
          </w:tcPr>
          <w:p>
            <w:pPr>
              <w:spacing w:after="0"/>
              <w:rPr>
                <w:sz w:val="17"/>
                <w:szCs w:val="17"/>
                <w:color w:val="auto"/>
              </w:rPr>
            </w:pPr>
          </w:p>
        </w:tc>
        <w:tc>
          <w:tcPr>
            <w:tcW w:w="8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(56,967</w:t>
            </w:r>
          </w:p>
        </w:tc>
        <w:tc>
          <w:tcPr>
            <w:tcW w:w="220" w:type="dxa"/>
            <w:vAlign w:val="bottom"/>
            <w:vMerge w:val="continue"/>
          </w:tcPr>
          <w:p>
            <w:pPr>
              <w:spacing w:after="0"/>
              <w:rPr>
                <w:sz w:val="17"/>
                <w:szCs w:val="17"/>
                <w:color w:val="auto"/>
              </w:rPr>
            </w:pPr>
          </w:p>
        </w:tc>
        <w:tc>
          <w:tcPr>
            <w:tcW w:w="8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554,809</w:t>
            </w:r>
          </w:p>
        </w:tc>
        <w:tc>
          <w:tcPr>
            <w:tcW w:w="100" w:type="dxa"/>
            <w:vAlign w:val="bottom"/>
            <w:vMerge w:val="continue"/>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gridSpan w:val="2"/>
          </w:tcPr>
          <w:p>
            <w:pPr>
              <w:jc w:val="right"/>
              <w:ind w:right="100"/>
              <w:spacing w:after="0"/>
              <w:rPr>
                <w:sz w:val="20"/>
                <w:szCs w:val="20"/>
                <w:color w:val="auto"/>
              </w:rPr>
            </w:pPr>
            <w:r>
              <w:rPr>
                <w:rFonts w:ascii="Arial" w:cs="Arial" w:eastAsia="Arial" w:hAnsi="Arial"/>
                <w:sz w:val="18"/>
                <w:szCs w:val="18"/>
                <w:color w:val="auto"/>
              </w:rPr>
              <w:t>F-96</w:t>
            </w: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9" w:right="239" w:bottom="1440" w:gutter="0" w:footer="0" w:header="0"/>
        </w:sectPr>
      </w:pPr>
    </w:p>
    <w:bookmarkStart w:id="218" w:name="page219"/>
    <w:bookmarkEnd w:id="2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740" w:type="dxa"/>
            <w:vAlign w:val="bottom"/>
            <w:gridSpan w:val="2"/>
          </w:tcPr>
          <w:p>
            <w:pPr>
              <w:ind w:left="260"/>
              <w:spacing w:after="0"/>
              <w:rPr>
                <w:sz w:val="20"/>
                <w:szCs w:val="20"/>
                <w:color w:val="auto"/>
              </w:rPr>
            </w:pPr>
            <w:r>
              <w:rPr>
                <w:rFonts w:ascii="Arial" w:cs="Arial" w:eastAsia="Arial" w:hAnsi="Arial"/>
                <w:sz w:val="18"/>
                <w:szCs w:val="18"/>
                <w:b w:val="1"/>
                <w:bCs w:val="1"/>
                <w:color w:val="auto"/>
              </w:rPr>
              <w:t>27. Risk management (continued)</w:t>
            </w:r>
          </w:p>
        </w:tc>
        <w:tc>
          <w:tcPr>
            <w:tcW w:w="9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3400" w:type="dxa"/>
            <w:vAlign w:val="bottom"/>
          </w:tcPr>
          <w:p>
            <w:pPr>
              <w:spacing w:after="0"/>
              <w:rPr>
                <w:sz w:val="20"/>
                <w:szCs w:val="20"/>
                <w:color w:val="auto"/>
              </w:rPr>
            </w:pPr>
            <w:r>
              <w:rPr>
                <w:rFonts w:ascii="Arial" w:cs="Arial" w:eastAsia="Arial" w:hAnsi="Arial"/>
                <w:sz w:val="18"/>
                <w:szCs w:val="18"/>
                <w:b w:val="1"/>
                <w:bCs w:val="1"/>
                <w:color w:val="auto"/>
              </w:rPr>
              <w:t>27.2 Liquidity risk (continued)</w:t>
            </w:r>
          </w:p>
        </w:tc>
        <w:tc>
          <w:tcPr>
            <w:tcW w:w="9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34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gridSpan w:val="5"/>
          </w:tcPr>
          <w:p>
            <w:pPr>
              <w:jc w:val="center"/>
              <w:ind w:left="590"/>
              <w:spacing w:after="0"/>
              <w:rPr>
                <w:sz w:val="20"/>
                <w:szCs w:val="20"/>
                <w:color w:val="auto"/>
              </w:rPr>
            </w:pPr>
            <w:r>
              <w:rPr>
                <w:rFonts w:ascii="Arial" w:cs="Arial" w:eastAsia="Arial" w:hAnsi="Arial"/>
                <w:sz w:val="18"/>
                <w:szCs w:val="18"/>
                <w:b w:val="1"/>
                <w:bCs w:val="1"/>
                <w:color w:val="auto"/>
                <w:w w:val="90"/>
              </w:rPr>
              <w:t>December 31, 2016</w:t>
            </w: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gridSpan w:val="2"/>
          </w:tcPr>
          <w:p>
            <w:pPr>
              <w:jc w:val="right"/>
              <w:ind w:right="480"/>
              <w:spacing w:after="0" w:line="191" w:lineRule="exact"/>
              <w:rPr>
                <w:sz w:val="20"/>
                <w:szCs w:val="20"/>
                <w:color w:val="auto"/>
              </w:rPr>
            </w:pPr>
            <w:r>
              <w:rPr>
                <w:rFonts w:ascii="Arial" w:cs="Arial" w:eastAsia="Arial" w:hAnsi="Arial"/>
                <w:sz w:val="18"/>
                <w:szCs w:val="18"/>
                <w:b w:val="1"/>
                <w:bCs w:val="1"/>
                <w:color w:val="auto"/>
              </w:rPr>
              <w:t>More</w:t>
            </w: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vMerge w:val="restart"/>
          </w:tcPr>
          <w:p>
            <w:pPr>
              <w:ind w:left="1200"/>
              <w:spacing w:after="0"/>
              <w:rPr>
                <w:sz w:val="20"/>
                <w:szCs w:val="20"/>
                <w:color w:val="auto"/>
              </w:rPr>
            </w:pPr>
            <w:r>
              <w:rPr>
                <w:rFonts w:ascii="Arial" w:cs="Arial" w:eastAsia="Arial" w:hAnsi="Arial"/>
                <w:sz w:val="18"/>
                <w:szCs w:val="18"/>
                <w:b w:val="1"/>
                <w:bCs w:val="1"/>
                <w:color w:val="auto"/>
              </w:rPr>
              <w:t>Description</w:t>
            </w:r>
          </w:p>
        </w:tc>
        <w:tc>
          <w:tcPr>
            <w:tcW w:w="11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Up to 3</w:t>
            </w:r>
          </w:p>
        </w:tc>
        <w:tc>
          <w:tcPr>
            <w:tcW w:w="11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3 to 6</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2"/>
              </w:rPr>
              <w:t>6 months</w:t>
            </w:r>
          </w:p>
        </w:tc>
        <w:tc>
          <w:tcPr>
            <w:tcW w:w="118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89"/>
              </w:rPr>
              <w:t>1 to 5</w:t>
            </w:r>
          </w:p>
        </w:tc>
        <w:tc>
          <w:tcPr>
            <w:tcW w:w="98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than</w:t>
            </w:r>
          </w:p>
        </w:tc>
        <w:tc>
          <w:tcPr>
            <w:tcW w:w="1080" w:type="dxa"/>
            <w:vAlign w:val="bottom"/>
            <w:gridSpan w:val="2"/>
          </w:tcPr>
          <w:p>
            <w:pPr>
              <w:ind w:left="100"/>
              <w:spacing w:after="0"/>
              <w:rPr>
                <w:sz w:val="20"/>
                <w:szCs w:val="20"/>
                <w:color w:val="auto"/>
              </w:rPr>
            </w:pPr>
            <w:r>
              <w:rPr>
                <w:rFonts w:ascii="Arial" w:cs="Arial" w:eastAsia="Arial" w:hAnsi="Arial"/>
                <w:sz w:val="18"/>
                <w:szCs w:val="18"/>
                <w:b w:val="1"/>
                <w:bCs w:val="1"/>
                <w:color w:val="auto"/>
              </w:rPr>
              <w:t>Without</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00" w:type="dxa"/>
            <w:vAlign w:val="bottom"/>
            <w:vMerge w:val="continue"/>
          </w:tcPr>
          <w:p>
            <w:pPr>
              <w:spacing w:after="0"/>
              <w:rPr>
                <w:sz w:val="20"/>
                <w:szCs w:val="20"/>
                <w:color w:val="auto"/>
              </w:rPr>
            </w:pPr>
          </w:p>
        </w:tc>
        <w:tc>
          <w:tcPr>
            <w:tcW w:w="114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months</w:t>
            </w:r>
          </w:p>
        </w:tc>
        <w:tc>
          <w:tcPr>
            <w:tcW w:w="11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months</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to 1 year</w:t>
            </w:r>
          </w:p>
        </w:tc>
        <w:tc>
          <w:tcPr>
            <w:tcW w:w="1180" w:type="dxa"/>
            <w:vAlign w:val="bottom"/>
            <w:gridSpan w:val="3"/>
          </w:tcPr>
          <w:p>
            <w:pPr>
              <w:ind w:left="220"/>
              <w:spacing w:after="0"/>
              <w:rPr>
                <w:sz w:val="20"/>
                <w:szCs w:val="20"/>
                <w:color w:val="auto"/>
              </w:rPr>
            </w:pPr>
            <w:r>
              <w:rPr>
                <w:rFonts w:ascii="Arial" w:cs="Arial" w:eastAsia="Arial" w:hAnsi="Arial"/>
                <w:sz w:val="18"/>
                <w:szCs w:val="18"/>
                <w:b w:val="1"/>
                <w:bCs w:val="1"/>
                <w:color w:val="auto"/>
              </w:rPr>
              <w:t>years</w:t>
            </w:r>
          </w:p>
        </w:tc>
        <w:tc>
          <w:tcPr>
            <w:tcW w:w="98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w w:val="93"/>
              </w:rPr>
              <w:t>5 years</w:t>
            </w:r>
          </w:p>
        </w:tc>
        <w:tc>
          <w:tcPr>
            <w:tcW w:w="1080" w:type="dxa"/>
            <w:vAlign w:val="bottom"/>
            <w:gridSpan w:val="2"/>
          </w:tcPr>
          <w:p>
            <w:pPr>
              <w:ind w:left="100"/>
              <w:spacing w:after="0"/>
              <w:rPr>
                <w:sz w:val="20"/>
                <w:szCs w:val="20"/>
                <w:color w:val="auto"/>
              </w:rPr>
            </w:pPr>
            <w:r>
              <w:rPr>
                <w:rFonts w:ascii="Arial" w:cs="Arial" w:eastAsia="Arial" w:hAnsi="Arial"/>
                <w:sz w:val="18"/>
                <w:szCs w:val="18"/>
                <w:b w:val="1"/>
                <w:bCs w:val="1"/>
                <w:color w:val="auto"/>
              </w:rPr>
              <w:t>maturity</w:t>
            </w:r>
          </w:p>
        </w:tc>
        <w:tc>
          <w:tcPr>
            <w:tcW w:w="96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9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1,069,538</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1,069,538</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1,024</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3,000</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83,643</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20,756</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(602)</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107,821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2,262,349</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1,267,194</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551,794</w:t>
            </w:r>
          </w:p>
        </w:tc>
        <w:tc>
          <w:tcPr>
            <w:tcW w:w="860" w:type="dxa"/>
            <w:vAlign w:val="bottom"/>
          </w:tcPr>
          <w:p>
            <w:pPr>
              <w:jc w:val="right"/>
              <w:spacing w:after="0"/>
              <w:rPr>
                <w:sz w:val="20"/>
                <w:szCs w:val="20"/>
                <w:color w:val="auto"/>
              </w:rPr>
            </w:pPr>
            <w:r>
              <w:rPr>
                <w:rFonts w:ascii="Arial" w:cs="Arial" w:eastAsia="Arial" w:hAnsi="Arial"/>
                <w:sz w:val="18"/>
                <w:szCs w:val="18"/>
                <w:color w:val="auto"/>
              </w:rPr>
              <w:t>1,843,476</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95,918</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6,020,731</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Unearned interest and deferred fees</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(663)</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(906)</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(258)</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(4,762)</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(660)</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(7,249)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Allowance for expected credit losses</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8"/>
                <w:szCs w:val="18"/>
                <w:color w:val="auto"/>
              </w:rPr>
              <w:t>(105,988)</w:t>
            </w: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(105,988)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55,445</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6,587</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3,721</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6,399</w:t>
            </w:r>
          </w:p>
        </w:tc>
        <w:tc>
          <w:tcPr>
            <w:tcW w:w="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642</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23,136</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95,930</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34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3,387,693</w:t>
            </w:r>
          </w:p>
        </w:tc>
        <w:tc>
          <w:tcPr>
            <w:tcW w:w="240" w:type="dxa"/>
            <w:vAlign w:val="bottom"/>
            <w:tcBorders>
              <w:bottom w:val="single" w:sz="8" w:color="CCEEFF"/>
            </w:tcBorders>
          </w:tcPr>
          <w:p>
            <w:pPr>
              <w:spacing w:after="0"/>
              <w:rPr>
                <w:sz w:val="22"/>
                <w:szCs w:val="22"/>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1,275,875</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555,257</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1,928,756</w:t>
            </w:r>
          </w:p>
        </w:tc>
        <w:tc>
          <w:tcPr>
            <w:tcW w:w="22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spacing w:after="0"/>
              <w:rPr>
                <w:sz w:val="22"/>
                <w:szCs w:val="22"/>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116,656</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(83,454</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7,180,783</w:t>
            </w:r>
          </w:p>
        </w:tc>
        <w:tc>
          <w:tcPr>
            <w:tcW w:w="1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2,306,413</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173,288</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275,631</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47,520</w:t>
            </w: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2,802,852</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Other liabilities</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884,453</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744,135</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346,294</w:t>
            </w:r>
          </w:p>
        </w:tc>
        <w:tc>
          <w:tcPr>
            <w:tcW w:w="860" w:type="dxa"/>
            <w:vAlign w:val="bottom"/>
          </w:tcPr>
          <w:p>
            <w:pPr>
              <w:jc w:val="right"/>
              <w:spacing w:after="0"/>
              <w:rPr>
                <w:sz w:val="20"/>
                <w:szCs w:val="20"/>
                <w:color w:val="auto"/>
              </w:rPr>
            </w:pPr>
            <w:r>
              <w:rPr>
                <w:rFonts w:ascii="Arial" w:cs="Arial" w:eastAsia="Arial" w:hAnsi="Arial"/>
                <w:sz w:val="18"/>
                <w:szCs w:val="18"/>
                <w:color w:val="auto"/>
              </w:rPr>
              <w:t>1,330,515</w:t>
            </w: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61,220</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3,366,617</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3,190,866</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917,423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621,925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1,378,035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61,220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6,169,469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4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Confirmed letters of credit</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146,755</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173,192</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63,813</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383,760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tcPr>
          <w:p>
            <w:pPr>
              <w:spacing w:after="0" w:line="201" w:lineRule="exact"/>
              <w:rPr>
                <w:sz w:val="20"/>
                <w:szCs w:val="20"/>
                <w:color w:val="auto"/>
              </w:rPr>
            </w:pPr>
            <w:r>
              <w:rPr>
                <w:rFonts w:ascii="Arial" w:cs="Arial" w:eastAsia="Arial" w:hAnsi="Arial"/>
                <w:sz w:val="18"/>
                <w:szCs w:val="18"/>
                <w:color w:val="auto"/>
                <w:w w:val="99"/>
              </w:rPr>
              <w:t>Stand-by letters of credit and guaranteed –</w:t>
            </w: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commercial risk</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70</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8,595</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360</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9,025</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Credit commitments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4,073</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2,399</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3,200</w:t>
            </w:r>
          </w:p>
        </w:tc>
        <w:tc>
          <w:tcPr>
            <w:tcW w:w="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578</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10,250</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34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146,825</w:t>
            </w:r>
          </w:p>
        </w:tc>
        <w:tc>
          <w:tcPr>
            <w:tcW w:w="240" w:type="dxa"/>
            <w:vAlign w:val="bottom"/>
            <w:tcBorders>
              <w:bottom w:val="single" w:sz="8" w:color="CCEEFF"/>
            </w:tcBorders>
          </w:tcPr>
          <w:p>
            <w:pPr>
              <w:spacing w:after="0"/>
              <w:rPr>
                <w:sz w:val="22"/>
                <w:szCs w:val="22"/>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185,860</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66,572</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3,200</w:t>
            </w:r>
          </w:p>
        </w:tc>
        <w:tc>
          <w:tcPr>
            <w:tcW w:w="22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spacing w:after="0"/>
              <w:rPr>
                <w:sz w:val="22"/>
                <w:szCs w:val="22"/>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578</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403,035</w:t>
            </w:r>
          </w:p>
        </w:tc>
        <w:tc>
          <w:tcPr>
            <w:tcW w:w="1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400" w:type="dxa"/>
            <w:vAlign w:val="bottom"/>
            <w:tcBorders>
              <w:bottom w:val="single" w:sz="8" w:color="CCEEFF"/>
            </w:tcBorders>
            <w:shd w:val="clear" w:color="auto" w:fill="CCEEFF"/>
          </w:tcPr>
          <w:p>
            <w:pPr>
              <w:spacing w:after="0" w:line="195" w:lineRule="exact"/>
              <w:rPr>
                <w:sz w:val="20"/>
                <w:szCs w:val="20"/>
                <w:color w:val="auto"/>
              </w:rPr>
            </w:pPr>
            <w:r>
              <w:rPr>
                <w:rFonts w:ascii="Arial" w:cs="Arial" w:eastAsia="Arial" w:hAnsi="Arial"/>
                <w:sz w:val="18"/>
                <w:szCs w:val="18"/>
                <w:b w:val="1"/>
                <w:bCs w:val="1"/>
                <w:color w:val="auto"/>
              </w:rPr>
              <w:t>Net position</w:t>
            </w:r>
          </w:p>
        </w:tc>
        <w:tc>
          <w:tcPr>
            <w:tcW w:w="9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50,002</w:t>
            </w:r>
          </w:p>
        </w:tc>
        <w:tc>
          <w:tcPr>
            <w:tcW w:w="24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172,592</w:t>
            </w:r>
          </w:p>
        </w:tc>
        <w:tc>
          <w:tcPr>
            <w:tcW w:w="22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(133,240</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547,521</w:t>
            </w:r>
          </w:p>
        </w:tc>
        <w:tc>
          <w:tcPr>
            <w:tcW w:w="2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auto"/>
            </w:tcBorders>
            <w:shd w:val="clear" w:color="auto" w:fill="CCEEFF"/>
          </w:tcPr>
          <w:p>
            <w:pPr>
              <w:spacing w:after="0"/>
              <w:rPr>
                <w:sz w:val="17"/>
                <w:szCs w:val="17"/>
                <w:color w:val="auto"/>
              </w:rPr>
            </w:pPr>
          </w:p>
        </w:tc>
        <w:tc>
          <w:tcPr>
            <w:tcW w:w="7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54,858</w:t>
            </w:r>
          </w:p>
        </w:tc>
        <w:tc>
          <w:tcPr>
            <w:tcW w:w="22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(83,454</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608,279</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gridSpan w:val="2"/>
          </w:tcPr>
          <w:p>
            <w:pPr>
              <w:jc w:val="right"/>
              <w:ind w:right="100"/>
              <w:spacing w:after="0"/>
              <w:rPr>
                <w:sz w:val="20"/>
                <w:szCs w:val="20"/>
                <w:color w:val="auto"/>
              </w:rPr>
            </w:pPr>
            <w:r>
              <w:rPr>
                <w:rFonts w:ascii="Arial" w:cs="Arial" w:eastAsia="Arial" w:hAnsi="Arial"/>
                <w:sz w:val="18"/>
                <w:szCs w:val="18"/>
                <w:color w:val="auto"/>
              </w:rPr>
              <w:t>F-97</w:t>
            </w: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8" w:right="239" w:bottom="1440" w:gutter="0" w:footer="0" w:header="0"/>
        </w:sectPr>
      </w:pPr>
    </w:p>
    <w:bookmarkStart w:id="219" w:name="page220"/>
    <w:bookmarkEnd w:id="2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80" w:hanging="329"/>
        <w:spacing w:after="0"/>
        <w:tabs>
          <w:tab w:leader="none" w:pos="580" w:val="left"/>
        </w:tabs>
        <w:numPr>
          <w:ilvl w:val="0"/>
          <w:numId w:val="214"/>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27.3 Market risk</w:t>
      </w:r>
    </w:p>
    <w:p>
      <w:pPr>
        <w:spacing w:after="0" w:line="229"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securities held to maturity and financial instruments through OCI, short- and long-term borrowings and debt, derivatives and financial liabilities through profit or loss. This risk may result from fluctuations in different parameters: interest rates, currency exchange rates, inflation rates and changes in the implied volatility. Accordingly, depending on the instruments or activities impacted, market risks can have wide ranging, complex adverse effects on the Bank’s financial condition, results of operations, cash flows and business.</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Interest rate risk</w:t>
      </w:r>
    </w:p>
    <w:p>
      <w:pPr>
        <w:spacing w:after="0" w:line="229"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endeavors to manage its assets and liabilities in order to reduce the potential adverse effects on the net interest income that could be produced by interest rate changes. The Bank’s interest rate risk is the exposure of earnings (current and potential) and capital to adverse changes in interest rates and is managed by attempting to match the term and repricing characteristics of the Bank’s interest rate sensitive assets and liabilities.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93"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following summary table presents a sensitivity analysis of the effect on the Bank’s results of operations derived from a reasonable variation in interest rates which its financial obligations are subject to, based on change in points.</w:t>
      </w:r>
    </w:p>
    <w:p>
      <w:pPr>
        <w:spacing w:after="0" w:line="166" w:lineRule="exact"/>
        <w:rPr>
          <w:sz w:val="20"/>
          <w:szCs w:val="20"/>
          <w:color w:val="auto"/>
        </w:rPr>
      </w:pPr>
    </w:p>
    <w:tbl>
      <w:tblPr>
        <w:tblLayout w:type="fixed"/>
        <w:tblInd w:w="980" w:type="dxa"/>
        <w:tblCellMar>
          <w:top w:w="0" w:type="dxa"/>
          <w:left w:w="0" w:type="dxa"/>
          <w:bottom w:w="0" w:type="dxa"/>
          <w:right w:w="0" w:type="dxa"/>
        </w:tblCellMar>
      </w:tblPr>
      <w:tr>
        <w:trPr>
          <w:trHeight w:val="216"/>
        </w:trPr>
        <w:tc>
          <w:tcPr>
            <w:tcW w:w="3020" w:type="dxa"/>
            <w:vAlign w:val="bottom"/>
          </w:tcPr>
          <w:p>
            <w:pPr>
              <w:spacing w:after="0"/>
              <w:rPr>
                <w:sz w:val="18"/>
                <w:szCs w:val="18"/>
                <w:color w:val="auto"/>
              </w:rPr>
            </w:pPr>
          </w:p>
        </w:tc>
        <w:tc>
          <w:tcPr>
            <w:tcW w:w="41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1"/>
              </w:rPr>
              <w:t>Change in</w:t>
            </w:r>
          </w:p>
        </w:tc>
        <w:tc>
          <w:tcPr>
            <w:tcW w:w="1980" w:type="dxa"/>
            <w:vAlign w:val="bottom"/>
            <w:gridSpan w:val="3"/>
          </w:tcPr>
          <w:p>
            <w:pPr>
              <w:jc w:val="right"/>
              <w:ind w:right="680"/>
              <w:spacing w:after="0"/>
              <w:rPr>
                <w:sz w:val="20"/>
                <w:szCs w:val="20"/>
                <w:color w:val="auto"/>
              </w:rPr>
            </w:pPr>
            <w:r>
              <w:rPr>
                <w:rFonts w:ascii="Arial" w:cs="Arial" w:eastAsia="Arial" w:hAnsi="Arial"/>
                <w:sz w:val="18"/>
                <w:szCs w:val="18"/>
                <w:b w:val="1"/>
                <w:bCs w:val="1"/>
                <w:color w:val="auto"/>
              </w:rPr>
              <w:t>Effect on</w:t>
            </w:r>
          </w:p>
        </w:tc>
        <w:tc>
          <w:tcPr>
            <w:tcW w:w="0" w:type="dxa"/>
            <w:vAlign w:val="bottom"/>
          </w:tcPr>
          <w:p>
            <w:pPr>
              <w:spacing w:after="0"/>
              <w:rPr>
                <w:sz w:val="1"/>
                <w:szCs w:val="1"/>
                <w:color w:val="auto"/>
              </w:rPr>
            </w:pPr>
          </w:p>
        </w:tc>
      </w:tr>
      <w:tr>
        <w:trPr>
          <w:trHeight w:val="234"/>
        </w:trPr>
        <w:tc>
          <w:tcPr>
            <w:tcW w:w="3020" w:type="dxa"/>
            <w:vAlign w:val="bottom"/>
          </w:tcPr>
          <w:p>
            <w:pPr>
              <w:spacing w:after="0"/>
              <w:rPr>
                <w:sz w:val="20"/>
                <w:szCs w:val="20"/>
                <w:color w:val="auto"/>
              </w:rPr>
            </w:pPr>
          </w:p>
        </w:tc>
        <w:tc>
          <w:tcPr>
            <w:tcW w:w="41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interest rate</w:t>
            </w:r>
          </w:p>
        </w:tc>
        <w:tc>
          <w:tcPr>
            <w:tcW w:w="1980" w:type="dxa"/>
            <w:vAlign w:val="bottom"/>
            <w:gridSpan w:val="3"/>
          </w:tcPr>
          <w:p>
            <w:pPr>
              <w:jc w:val="right"/>
              <w:ind w:right="720"/>
              <w:spacing w:after="0"/>
              <w:rPr>
                <w:sz w:val="20"/>
                <w:szCs w:val="20"/>
                <w:color w:val="auto"/>
              </w:rPr>
            </w:pPr>
            <w:r>
              <w:rPr>
                <w:rFonts w:ascii="Arial" w:cs="Arial" w:eastAsia="Arial" w:hAnsi="Arial"/>
                <w:sz w:val="18"/>
                <w:szCs w:val="18"/>
                <w:b w:val="1"/>
                <w:bCs w:val="1"/>
                <w:color w:val="auto"/>
              </w:rPr>
              <w:t>income</w:t>
            </w:r>
          </w:p>
        </w:tc>
        <w:tc>
          <w:tcPr>
            <w:tcW w:w="0" w:type="dxa"/>
            <w:vAlign w:val="bottom"/>
          </w:tcPr>
          <w:p>
            <w:pPr>
              <w:spacing w:after="0"/>
              <w:rPr>
                <w:sz w:val="1"/>
                <w:szCs w:val="1"/>
                <w:color w:val="auto"/>
              </w:rPr>
            </w:pPr>
          </w:p>
        </w:tc>
      </w:tr>
      <w:tr>
        <w:trPr>
          <w:trHeight w:val="210"/>
        </w:trPr>
        <w:tc>
          <w:tcPr>
            <w:tcW w:w="3020" w:type="dxa"/>
            <w:vAlign w:val="bottom"/>
          </w:tcPr>
          <w:p>
            <w:pPr>
              <w:spacing w:after="0"/>
              <w:rPr>
                <w:sz w:val="18"/>
                <w:szCs w:val="18"/>
                <w:color w:val="auto"/>
              </w:rPr>
            </w:pPr>
          </w:p>
        </w:tc>
        <w:tc>
          <w:tcPr>
            <w:tcW w:w="404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9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30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December 31, 2017</w:t>
            </w:r>
          </w:p>
        </w:tc>
        <w:tc>
          <w:tcPr>
            <w:tcW w:w="4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+200 bps</w:t>
            </w:r>
          </w:p>
        </w:tc>
        <w:tc>
          <w:tcPr>
            <w:tcW w:w="19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18,282</w:t>
            </w:r>
          </w:p>
        </w:tc>
        <w:tc>
          <w:tcPr>
            <w:tcW w:w="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020" w:type="dxa"/>
            <w:vAlign w:val="bottom"/>
            <w:tcBorders>
              <w:top w:val="single" w:sz="8" w:color="CCEEFF"/>
            </w:tcBorders>
          </w:tcPr>
          <w:p>
            <w:pPr>
              <w:spacing w:after="0" w:line="20" w:lineRule="exact"/>
              <w:rPr>
                <w:sz w:val="1"/>
                <w:szCs w:val="1"/>
                <w:color w:val="auto"/>
              </w:rPr>
            </w:pPr>
          </w:p>
        </w:tc>
        <w:tc>
          <w:tcPr>
            <w:tcW w:w="4120" w:type="dxa"/>
            <w:vAlign w:val="bottom"/>
            <w:tcBorders>
              <w:top w:val="single" w:sz="8" w:color="CCEEFF"/>
              <w:bottom w:val="single" w:sz="8" w:color="CCEEFF"/>
            </w:tcBorders>
            <w:gridSpan w:val="2"/>
            <w:vMerge w:val="restart"/>
          </w:tcPr>
          <w:p>
            <w:pPr>
              <w:jc w:val="right"/>
              <w:ind w:right="80"/>
              <w:spacing w:after="0"/>
              <w:rPr>
                <w:sz w:val="20"/>
                <w:szCs w:val="20"/>
                <w:color w:val="auto"/>
              </w:rPr>
            </w:pPr>
            <w:r>
              <w:rPr>
                <w:rFonts w:ascii="Arial" w:cs="Arial" w:eastAsia="Arial" w:hAnsi="Arial"/>
                <w:sz w:val="18"/>
                <w:szCs w:val="18"/>
                <w:color w:val="auto"/>
              </w:rPr>
              <w:t>-200 bps</w:t>
            </w:r>
          </w:p>
        </w:tc>
        <w:tc>
          <w:tcPr>
            <w:tcW w:w="19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gridSpan w:val="2"/>
            <w:vMerge w:val="restart"/>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3020" w:type="dxa"/>
            <w:vAlign w:val="bottom"/>
            <w:tcBorders>
              <w:bottom w:val="single" w:sz="8" w:color="CCEEFF"/>
            </w:tcBorders>
          </w:tcPr>
          <w:p>
            <w:pPr>
              <w:spacing w:after="0"/>
              <w:rPr>
                <w:sz w:val="20"/>
                <w:szCs w:val="20"/>
                <w:color w:val="auto"/>
              </w:rPr>
            </w:pPr>
          </w:p>
        </w:tc>
        <w:tc>
          <w:tcPr>
            <w:tcW w:w="4120" w:type="dxa"/>
            <w:vAlign w:val="bottom"/>
            <w:tcBorders>
              <w:bottom w:val="single" w:sz="8" w:color="CCEEFF"/>
            </w:tcBorders>
            <w:gridSpan w:val="2"/>
            <w:vMerge w:val="continue"/>
          </w:tcPr>
          <w:p>
            <w:pPr>
              <w:spacing w:after="0"/>
              <w:rPr>
                <w:sz w:val="20"/>
                <w:szCs w:val="20"/>
                <w:color w:val="auto"/>
              </w:rPr>
            </w:pPr>
          </w:p>
        </w:tc>
        <w:tc>
          <w:tcPr>
            <w:tcW w:w="19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(8,879</w:t>
            </w:r>
          </w:p>
        </w:tc>
        <w:tc>
          <w:tcPr>
            <w:tcW w:w="8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020" w:type="dxa"/>
            <w:vAlign w:val="bottom"/>
            <w:shd w:val="clear" w:color="auto" w:fill="CCEEFF"/>
          </w:tcPr>
          <w:p>
            <w:pPr>
              <w:spacing w:after="0"/>
              <w:rPr>
                <w:sz w:val="17"/>
                <w:szCs w:val="17"/>
                <w:color w:val="auto"/>
              </w:rPr>
            </w:pPr>
          </w:p>
        </w:tc>
        <w:tc>
          <w:tcPr>
            <w:tcW w:w="4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9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3020" w:type="dxa"/>
            <w:vAlign w:val="bottom"/>
          </w:tcPr>
          <w:p>
            <w:pPr>
              <w:ind w:left="100"/>
              <w:spacing w:after="0"/>
              <w:rPr>
                <w:sz w:val="20"/>
                <w:szCs w:val="20"/>
                <w:color w:val="auto"/>
              </w:rPr>
            </w:pPr>
            <w:r>
              <w:rPr>
                <w:rFonts w:ascii="Arial" w:cs="Arial" w:eastAsia="Arial" w:hAnsi="Arial"/>
                <w:sz w:val="18"/>
                <w:szCs w:val="18"/>
                <w:color w:val="auto"/>
              </w:rPr>
              <w:t>December 31, 2016</w:t>
            </w:r>
          </w:p>
        </w:tc>
        <w:tc>
          <w:tcPr>
            <w:tcW w:w="4120" w:type="dxa"/>
            <w:vAlign w:val="bottom"/>
            <w:gridSpan w:val="2"/>
          </w:tcPr>
          <w:p>
            <w:pPr>
              <w:jc w:val="right"/>
              <w:ind w:right="80"/>
              <w:spacing w:after="0"/>
              <w:rPr>
                <w:sz w:val="20"/>
                <w:szCs w:val="20"/>
                <w:color w:val="auto"/>
              </w:rPr>
            </w:pPr>
            <w:r>
              <w:rPr>
                <w:rFonts w:ascii="Arial" w:cs="Arial" w:eastAsia="Arial" w:hAnsi="Arial"/>
                <w:sz w:val="18"/>
                <w:szCs w:val="18"/>
                <w:color w:val="auto"/>
              </w:rPr>
              <w:t>+200 bps</w:t>
            </w:r>
          </w:p>
        </w:tc>
        <w:tc>
          <w:tcPr>
            <w:tcW w:w="1920" w:type="dxa"/>
            <w:vAlign w:val="bottom"/>
            <w:gridSpan w:val="2"/>
          </w:tcPr>
          <w:p>
            <w:pPr>
              <w:jc w:val="right"/>
              <w:spacing w:after="0"/>
              <w:rPr>
                <w:sz w:val="20"/>
                <w:szCs w:val="20"/>
                <w:color w:val="auto"/>
              </w:rPr>
            </w:pPr>
            <w:r>
              <w:rPr>
                <w:rFonts w:ascii="Arial" w:cs="Arial" w:eastAsia="Arial" w:hAnsi="Arial"/>
                <w:sz w:val="18"/>
                <w:szCs w:val="18"/>
                <w:color w:val="auto"/>
              </w:rPr>
              <w:t>24,603</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3020" w:type="dxa"/>
            <w:vAlign w:val="bottom"/>
            <w:tcBorders>
              <w:top w:val="single" w:sz="8" w:color="CCEEFF"/>
              <w:bottom w:val="single" w:sz="8" w:color="CCEEFF"/>
            </w:tcBorders>
            <w:shd w:val="clear" w:color="auto" w:fill="CCEEFF"/>
          </w:tcPr>
          <w:p>
            <w:pPr>
              <w:spacing w:after="0"/>
              <w:rPr>
                <w:sz w:val="17"/>
                <w:szCs w:val="17"/>
                <w:color w:val="auto"/>
              </w:rPr>
            </w:pPr>
          </w:p>
        </w:tc>
        <w:tc>
          <w:tcPr>
            <w:tcW w:w="4120" w:type="dxa"/>
            <w:vAlign w:val="bottom"/>
            <w:tcBorders>
              <w:top w:val="single" w:sz="8" w:color="CCEEFF"/>
              <w:bottom w:val="single" w:sz="8" w:color="CCEEFF"/>
            </w:tcBorders>
            <w:gridSpan w:val="2"/>
            <w:shd w:val="clear" w:color="auto" w:fill="CCEEFF"/>
          </w:tcPr>
          <w:p>
            <w:pPr>
              <w:jc w:val="right"/>
              <w:ind w:right="80"/>
              <w:spacing w:after="0" w:line="190" w:lineRule="exact"/>
              <w:rPr>
                <w:sz w:val="20"/>
                <w:szCs w:val="20"/>
                <w:color w:val="auto"/>
              </w:rPr>
            </w:pPr>
            <w:r>
              <w:rPr>
                <w:rFonts w:ascii="Arial" w:cs="Arial" w:eastAsia="Arial" w:hAnsi="Arial"/>
                <w:sz w:val="18"/>
                <w:szCs w:val="18"/>
                <w:color w:val="auto"/>
              </w:rPr>
              <w:t>-200 bps</w:t>
            </w:r>
          </w:p>
        </w:tc>
        <w:tc>
          <w:tcPr>
            <w:tcW w:w="19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(11,382</w:t>
            </w:r>
          </w:p>
        </w:tc>
        <w:tc>
          <w:tcPr>
            <w:tcW w:w="80" w:type="dxa"/>
            <w:vAlign w:val="bottom"/>
            <w:tcBorders>
              <w:top w:val="single" w:sz="8" w:color="CCEEFF"/>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3020" w:type="dxa"/>
            <w:vAlign w:val="bottom"/>
          </w:tcPr>
          <w:p>
            <w:pPr>
              <w:spacing w:after="0" w:line="20" w:lineRule="exact"/>
              <w:rPr>
                <w:sz w:val="1"/>
                <w:szCs w:val="1"/>
                <w:color w:val="auto"/>
              </w:rPr>
            </w:pPr>
          </w:p>
        </w:tc>
        <w:tc>
          <w:tcPr>
            <w:tcW w:w="40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020" w:type="dxa"/>
            <w:vAlign w:val="bottom"/>
          </w:tcPr>
          <w:p>
            <w:pPr>
              <w:spacing w:after="0"/>
              <w:rPr>
                <w:sz w:val="17"/>
                <w:szCs w:val="17"/>
                <w:color w:val="auto"/>
              </w:rPr>
            </w:pPr>
          </w:p>
        </w:tc>
        <w:tc>
          <w:tcPr>
            <w:tcW w:w="4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9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0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December 31, 2015</w:t>
            </w:r>
          </w:p>
        </w:tc>
        <w:tc>
          <w:tcPr>
            <w:tcW w:w="4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+200 bps</w:t>
            </w:r>
          </w:p>
        </w:tc>
        <w:tc>
          <w:tcPr>
            <w:tcW w:w="19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18,723</w:t>
            </w:r>
          </w:p>
        </w:tc>
        <w:tc>
          <w:tcPr>
            <w:tcW w:w="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020" w:type="dxa"/>
            <w:vAlign w:val="bottom"/>
            <w:tcBorders>
              <w:top w:val="single" w:sz="8" w:color="CCEEFF"/>
            </w:tcBorders>
          </w:tcPr>
          <w:p>
            <w:pPr>
              <w:spacing w:after="0" w:line="20" w:lineRule="exact"/>
              <w:rPr>
                <w:sz w:val="1"/>
                <w:szCs w:val="1"/>
                <w:color w:val="auto"/>
              </w:rPr>
            </w:pPr>
          </w:p>
        </w:tc>
        <w:tc>
          <w:tcPr>
            <w:tcW w:w="4120" w:type="dxa"/>
            <w:vAlign w:val="bottom"/>
            <w:tcBorders>
              <w:top w:val="single" w:sz="8" w:color="CCEEFF"/>
              <w:bottom w:val="single" w:sz="8" w:color="CCEEFF"/>
            </w:tcBorders>
            <w:gridSpan w:val="2"/>
            <w:vMerge w:val="restart"/>
          </w:tcPr>
          <w:p>
            <w:pPr>
              <w:jc w:val="right"/>
              <w:ind w:right="80"/>
              <w:spacing w:after="0"/>
              <w:rPr>
                <w:sz w:val="20"/>
                <w:szCs w:val="20"/>
                <w:color w:val="auto"/>
              </w:rPr>
            </w:pPr>
            <w:r>
              <w:rPr>
                <w:rFonts w:ascii="Arial" w:cs="Arial" w:eastAsia="Arial" w:hAnsi="Arial"/>
                <w:sz w:val="18"/>
                <w:szCs w:val="18"/>
                <w:color w:val="auto"/>
              </w:rPr>
              <w:t>-200 bps</w:t>
            </w:r>
          </w:p>
        </w:tc>
        <w:tc>
          <w:tcPr>
            <w:tcW w:w="19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gridSpan w:val="2"/>
            <w:vMerge w:val="restart"/>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197"/>
        </w:trPr>
        <w:tc>
          <w:tcPr>
            <w:tcW w:w="3020" w:type="dxa"/>
            <w:vAlign w:val="bottom"/>
          </w:tcPr>
          <w:p>
            <w:pPr>
              <w:spacing w:after="0"/>
              <w:rPr>
                <w:sz w:val="17"/>
                <w:szCs w:val="17"/>
                <w:color w:val="auto"/>
              </w:rPr>
            </w:pPr>
          </w:p>
        </w:tc>
        <w:tc>
          <w:tcPr>
            <w:tcW w:w="4120" w:type="dxa"/>
            <w:vAlign w:val="bottom"/>
            <w:gridSpan w:val="2"/>
            <w:vMerge w:val="continue"/>
          </w:tcPr>
          <w:p>
            <w:pPr>
              <w:spacing w:after="0"/>
              <w:rPr>
                <w:sz w:val="17"/>
                <w:szCs w:val="17"/>
                <w:color w:val="auto"/>
              </w:rPr>
            </w:pPr>
          </w:p>
        </w:tc>
        <w:tc>
          <w:tcPr>
            <w:tcW w:w="1900" w:type="dxa"/>
            <w:vAlign w:val="bottom"/>
          </w:tcPr>
          <w:p>
            <w:pPr>
              <w:jc w:val="right"/>
              <w:spacing w:after="0" w:line="196" w:lineRule="exact"/>
              <w:rPr>
                <w:sz w:val="20"/>
                <w:szCs w:val="20"/>
                <w:color w:val="auto"/>
              </w:rPr>
            </w:pPr>
            <w:r>
              <w:rPr>
                <w:rFonts w:ascii="Arial" w:cs="Arial" w:eastAsia="Arial" w:hAnsi="Arial"/>
                <w:sz w:val="18"/>
                <w:szCs w:val="18"/>
                <w:color w:val="auto"/>
              </w:rPr>
              <w:t>(3,480</w:t>
            </w:r>
          </w:p>
        </w:tc>
        <w:tc>
          <w:tcPr>
            <w:tcW w:w="80" w:type="dxa"/>
            <w:vAlign w:val="bottom"/>
            <w:gridSpan w:val="2"/>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20" w:type="dxa"/>
            <w:vAlign w:val="bottom"/>
          </w:tcPr>
          <w:p>
            <w:pPr>
              <w:spacing w:after="0" w:line="20" w:lineRule="exact"/>
              <w:rPr>
                <w:sz w:val="1"/>
                <w:szCs w:val="1"/>
                <w:color w:val="auto"/>
              </w:rPr>
            </w:pPr>
          </w:p>
        </w:tc>
        <w:tc>
          <w:tcPr>
            <w:tcW w:w="40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This analysis is based on the prior year changes in interest rates and assesses the impact on income, with balances as of December 31, 2017 and 2016.</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sensitivity provides an idea of the changes in interest rates, taking as example the volatility of the interest rate of the previous year.</w:t>
      </w:r>
    </w:p>
    <w:p>
      <w:pPr>
        <w:spacing w:after="0" w:line="21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220" w:name="page221"/>
    <w:bookmarkEnd w:id="2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80" w:hanging="329"/>
        <w:spacing w:after="0"/>
        <w:tabs>
          <w:tab w:leader="none" w:pos="580" w:val="left"/>
        </w:tabs>
        <w:numPr>
          <w:ilvl w:val="0"/>
          <w:numId w:val="215"/>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jc w:val="both"/>
        <w:ind w:left="340" w:right="886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27.3 Market risk (continued) </w:t>
      </w:r>
      <w:r>
        <w:rPr>
          <w:rFonts w:ascii="Arial" w:cs="Arial" w:eastAsia="Arial" w:hAnsi="Arial"/>
          <w:sz w:val="16"/>
          <w:szCs w:val="16"/>
          <w:b w:val="1"/>
          <w:bCs w:val="1"/>
          <w:u w:val="single" w:color="auto"/>
          <w:color w:val="auto"/>
        </w:rPr>
        <w:t>Interest rate risk</w:t>
      </w:r>
      <w:r>
        <w:rPr>
          <w:rFonts w:ascii="Arial" w:cs="Arial" w:eastAsia="Arial" w:hAnsi="Arial"/>
          <w:sz w:val="16"/>
          <w:szCs w:val="16"/>
          <w:b w:val="1"/>
          <w:bCs w:val="1"/>
          <w:color w:val="auto"/>
        </w:rPr>
        <w:t xml:space="preserve">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table below summarizes the Bank's exposure based on the terms of repricing of interest rates on financial assets and liabilities.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00" w:type="dxa"/>
            <w:vAlign w:val="bottom"/>
          </w:tcPr>
          <w:p>
            <w:pPr>
              <w:spacing w:after="0"/>
              <w:rPr>
                <w:sz w:val="20"/>
                <w:szCs w:val="20"/>
                <w:color w:val="auto"/>
              </w:rPr>
            </w:pPr>
          </w:p>
        </w:tc>
        <w:tc>
          <w:tcPr>
            <w:tcW w:w="320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580" w:type="dxa"/>
            <w:vAlign w:val="bottom"/>
            <w:tcBorders>
              <w:bottom w:val="single" w:sz="8" w:color="auto"/>
            </w:tcBorders>
            <w:gridSpan w:val="4"/>
          </w:tcPr>
          <w:p>
            <w:pPr>
              <w:jc w:val="right"/>
              <w:ind w:right="680"/>
              <w:spacing w:after="0"/>
              <w:rPr>
                <w:sz w:val="20"/>
                <w:szCs w:val="20"/>
                <w:color w:val="auto"/>
              </w:rPr>
            </w:pPr>
            <w:r>
              <w:rPr>
                <w:rFonts w:ascii="Arial" w:cs="Arial" w:eastAsia="Arial" w:hAnsi="Arial"/>
                <w:sz w:val="18"/>
                <w:szCs w:val="18"/>
                <w:b w:val="1"/>
                <w:bCs w:val="1"/>
                <w:color w:val="auto"/>
              </w:rPr>
              <w:t>December 31, 2017</w:t>
            </w: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600" w:type="dxa"/>
            <w:vAlign w:val="bottom"/>
            <w:gridSpan w:val="2"/>
            <w:vMerge w:val="restart"/>
          </w:tcPr>
          <w:p>
            <w:pPr>
              <w:ind w:left="400"/>
              <w:spacing w:after="0"/>
              <w:rPr>
                <w:sz w:val="20"/>
                <w:szCs w:val="20"/>
                <w:color w:val="auto"/>
              </w:rPr>
            </w:pPr>
            <w:r>
              <w:rPr>
                <w:rFonts w:ascii="Arial" w:cs="Arial" w:eastAsia="Arial" w:hAnsi="Arial"/>
                <w:sz w:val="18"/>
                <w:szCs w:val="18"/>
                <w:b w:val="1"/>
                <w:bCs w:val="1"/>
                <w:color w:val="auto"/>
              </w:rPr>
              <w:t>Description</w:t>
            </w:r>
          </w:p>
        </w:tc>
        <w:tc>
          <w:tcPr>
            <w:tcW w:w="1360" w:type="dxa"/>
            <w:vAlign w:val="bottom"/>
            <w:gridSpan w:val="2"/>
          </w:tcPr>
          <w:p>
            <w:pPr>
              <w:ind w:left="240"/>
              <w:spacing w:after="0" w:line="191" w:lineRule="exact"/>
              <w:rPr>
                <w:sz w:val="20"/>
                <w:szCs w:val="20"/>
                <w:color w:val="auto"/>
              </w:rPr>
            </w:pPr>
            <w:r>
              <w:rPr>
                <w:rFonts w:ascii="Arial" w:cs="Arial" w:eastAsia="Arial" w:hAnsi="Arial"/>
                <w:sz w:val="18"/>
                <w:szCs w:val="18"/>
                <w:b w:val="1"/>
                <w:bCs w:val="1"/>
                <w:color w:val="auto"/>
              </w:rPr>
              <w:t>Up to 3</w:t>
            </w:r>
          </w:p>
        </w:tc>
        <w:tc>
          <w:tcPr>
            <w:tcW w:w="1320" w:type="dxa"/>
            <w:vAlign w:val="bottom"/>
            <w:gridSpan w:val="2"/>
          </w:tcPr>
          <w:p>
            <w:pPr>
              <w:ind w:left="300"/>
              <w:spacing w:after="0" w:line="191" w:lineRule="exact"/>
              <w:rPr>
                <w:sz w:val="20"/>
                <w:szCs w:val="20"/>
                <w:color w:val="auto"/>
              </w:rPr>
            </w:pPr>
            <w:r>
              <w:rPr>
                <w:rFonts w:ascii="Arial" w:cs="Arial" w:eastAsia="Arial" w:hAnsi="Arial"/>
                <w:sz w:val="18"/>
                <w:szCs w:val="18"/>
                <w:b w:val="1"/>
                <w:bCs w:val="1"/>
                <w:color w:val="auto"/>
              </w:rPr>
              <w:t>3 to 6</w:t>
            </w:r>
          </w:p>
        </w:tc>
        <w:tc>
          <w:tcPr>
            <w:tcW w:w="1300" w:type="dxa"/>
            <w:vAlign w:val="bottom"/>
            <w:gridSpan w:val="2"/>
          </w:tcPr>
          <w:p>
            <w:pPr>
              <w:jc w:val="right"/>
              <w:ind w:right="360"/>
              <w:spacing w:after="0" w:line="191" w:lineRule="exact"/>
              <w:rPr>
                <w:sz w:val="20"/>
                <w:szCs w:val="20"/>
                <w:color w:val="auto"/>
              </w:rPr>
            </w:pPr>
            <w:r>
              <w:rPr>
                <w:rFonts w:ascii="Arial" w:cs="Arial" w:eastAsia="Arial" w:hAnsi="Arial"/>
                <w:sz w:val="18"/>
                <w:szCs w:val="18"/>
                <w:b w:val="1"/>
                <w:bCs w:val="1"/>
                <w:color w:val="auto"/>
              </w:rPr>
              <w:t>6 months</w:t>
            </w:r>
          </w:p>
        </w:tc>
        <w:tc>
          <w:tcPr>
            <w:tcW w:w="10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gridSpan w:val="2"/>
          </w:tcPr>
          <w:p>
            <w:pPr>
              <w:jc w:val="right"/>
              <w:ind w:right="260"/>
              <w:spacing w:after="0" w:line="191" w:lineRule="exact"/>
              <w:rPr>
                <w:sz w:val="20"/>
                <w:szCs w:val="20"/>
                <w:color w:val="auto"/>
              </w:rPr>
            </w:pPr>
            <w:r>
              <w:rPr>
                <w:rFonts w:ascii="Arial" w:cs="Arial" w:eastAsia="Arial" w:hAnsi="Arial"/>
                <w:sz w:val="18"/>
                <w:szCs w:val="18"/>
                <w:b w:val="1"/>
                <w:bCs w:val="1"/>
                <w:color w:val="auto"/>
              </w:rPr>
              <w:t>More than</w:t>
            </w: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600" w:type="dxa"/>
            <w:vAlign w:val="bottom"/>
            <w:gridSpan w:val="2"/>
            <w:vMerge w:val="continue"/>
          </w:tcPr>
          <w:p>
            <w:pPr>
              <w:spacing w:after="0"/>
              <w:rPr>
                <w:sz w:val="20"/>
                <w:szCs w:val="20"/>
                <w:color w:val="auto"/>
              </w:rPr>
            </w:pPr>
          </w:p>
        </w:tc>
        <w:tc>
          <w:tcPr>
            <w:tcW w:w="1360" w:type="dxa"/>
            <w:vAlign w:val="bottom"/>
            <w:gridSpan w:val="2"/>
          </w:tcPr>
          <w:p>
            <w:pPr>
              <w:ind w:left="260"/>
              <w:spacing w:after="0"/>
              <w:rPr>
                <w:sz w:val="20"/>
                <w:szCs w:val="20"/>
                <w:color w:val="auto"/>
              </w:rPr>
            </w:pPr>
            <w:r>
              <w:rPr>
                <w:rFonts w:ascii="Arial" w:cs="Arial" w:eastAsia="Arial" w:hAnsi="Arial"/>
                <w:sz w:val="18"/>
                <w:szCs w:val="18"/>
                <w:b w:val="1"/>
                <w:bCs w:val="1"/>
                <w:color w:val="auto"/>
              </w:rPr>
              <w:t>months</w:t>
            </w:r>
          </w:p>
        </w:tc>
        <w:tc>
          <w:tcPr>
            <w:tcW w:w="1320" w:type="dxa"/>
            <w:vAlign w:val="bottom"/>
            <w:gridSpan w:val="2"/>
          </w:tcPr>
          <w:p>
            <w:pPr>
              <w:ind w:left="260"/>
              <w:spacing w:after="0"/>
              <w:rPr>
                <w:sz w:val="20"/>
                <w:szCs w:val="20"/>
                <w:color w:val="auto"/>
              </w:rPr>
            </w:pPr>
            <w:r>
              <w:rPr>
                <w:rFonts w:ascii="Arial" w:cs="Arial" w:eastAsia="Arial" w:hAnsi="Arial"/>
                <w:sz w:val="18"/>
                <w:szCs w:val="18"/>
                <w:b w:val="1"/>
                <w:bCs w:val="1"/>
                <w:color w:val="auto"/>
              </w:rPr>
              <w:t>months</w:t>
            </w:r>
          </w:p>
        </w:tc>
        <w:tc>
          <w:tcPr>
            <w:tcW w:w="13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to 1 year</w:t>
            </w:r>
          </w:p>
        </w:tc>
        <w:tc>
          <w:tcPr>
            <w:tcW w:w="12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4"/>
              </w:rPr>
              <w:t>1 to 5 years</w:t>
            </w:r>
          </w:p>
        </w:tc>
        <w:tc>
          <w:tcPr>
            <w:tcW w:w="13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5 years</w:t>
            </w:r>
          </w:p>
        </w:tc>
        <w:tc>
          <w:tcPr>
            <w:tcW w:w="1200" w:type="dxa"/>
            <w:vAlign w:val="bottom"/>
            <w:gridSpan w:val="2"/>
          </w:tcPr>
          <w:p>
            <w:pPr>
              <w:ind w:left="68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1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200" w:type="dxa"/>
            <w:vAlign w:val="bottom"/>
          </w:tcPr>
          <w:p>
            <w:pPr>
              <w:spacing w:after="0"/>
              <w:rPr>
                <w:sz w:val="20"/>
                <w:szCs w:val="20"/>
                <w:color w:val="auto"/>
              </w:rPr>
            </w:pPr>
            <w:r>
              <w:rPr>
                <w:rFonts w:ascii="Arial" w:cs="Arial" w:eastAsia="Arial" w:hAnsi="Arial"/>
                <w:sz w:val="18"/>
                <w:szCs w:val="18"/>
                <w:color w:val="auto"/>
              </w:rPr>
              <w:t>Investments securities</w:t>
            </w:r>
          </w:p>
        </w:tc>
        <w:tc>
          <w:tcPr>
            <w:tcW w:w="1100" w:type="dxa"/>
            <w:vAlign w:val="bottom"/>
          </w:tcPr>
          <w:p>
            <w:pPr>
              <w:jc w:val="right"/>
              <w:spacing w:after="0"/>
              <w:rPr>
                <w:sz w:val="20"/>
                <w:szCs w:val="20"/>
                <w:color w:val="auto"/>
              </w:rPr>
            </w:pPr>
            <w:r>
              <w:rPr>
                <w:rFonts w:ascii="Arial" w:cs="Arial" w:eastAsia="Arial" w:hAnsi="Arial"/>
                <w:sz w:val="18"/>
                <w:szCs w:val="18"/>
                <w:color w:val="auto"/>
              </w:rPr>
              <w:t>700</w:t>
            </w:r>
          </w:p>
        </w:tc>
        <w:tc>
          <w:tcPr>
            <w:tcW w:w="26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279</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7,000</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77,688</w:t>
            </w:r>
          </w:p>
        </w:tc>
        <w:tc>
          <w:tcPr>
            <w:tcW w:w="20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85,667</w:t>
            </w: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Equity investments</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8,402</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8,402</w:t>
            </w:r>
          </w:p>
        </w:tc>
        <w:tc>
          <w:tcPr>
            <w:tcW w:w="12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32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Loans at amortized cost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4,067,639</w:t>
            </w:r>
          </w:p>
        </w:tc>
        <w:tc>
          <w:tcPr>
            <w:tcW w:w="26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952,542</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301,334</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173,550</w:t>
            </w:r>
          </w:p>
        </w:tc>
        <w:tc>
          <w:tcPr>
            <w:tcW w:w="20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10,593</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5,505,658</w:t>
            </w:r>
          </w:p>
        </w:tc>
        <w:tc>
          <w:tcPr>
            <w:tcW w:w="120" w:type="dxa"/>
            <w:vAlign w:val="bottom"/>
            <w:tcBorders>
              <w:bottom w:val="single" w:sz="8" w:color="CCEEFF"/>
            </w:tcBorders>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Total</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4,068,339</w:t>
            </w:r>
          </w:p>
        </w:tc>
        <w:tc>
          <w:tcPr>
            <w:tcW w:w="26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952,821</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308,334</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251,238</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18,995</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5,599,727</w:t>
            </w:r>
          </w:p>
        </w:tc>
        <w:tc>
          <w:tcPr>
            <w:tcW w:w="12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vMerge w:val="restart"/>
          </w:tcPr>
          <w:p>
            <w:pPr>
              <w:spacing w:after="0"/>
              <w:rPr>
                <w:sz w:val="18"/>
                <w:szCs w:val="18"/>
                <w:color w:val="auto"/>
              </w:rPr>
            </w:pPr>
          </w:p>
        </w:tc>
        <w:tc>
          <w:tcPr>
            <w:tcW w:w="3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vMerge w:val="continue"/>
          </w:tcPr>
          <w:p>
            <w:pPr>
              <w:spacing w:after="0"/>
              <w:rPr>
                <w:sz w:val="18"/>
                <w:szCs w:val="18"/>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200" w:type="dxa"/>
            <w:vAlign w:val="bottom"/>
          </w:tcPr>
          <w:p>
            <w:pPr>
              <w:spacing w:after="0"/>
              <w:rPr>
                <w:sz w:val="20"/>
                <w:szCs w:val="20"/>
                <w:color w:val="auto"/>
              </w:rPr>
            </w:pPr>
            <w:r>
              <w:rPr>
                <w:rFonts w:ascii="Arial" w:cs="Arial" w:eastAsia="Arial" w:hAnsi="Arial"/>
                <w:sz w:val="18"/>
                <w:szCs w:val="18"/>
                <w:color w:val="auto"/>
              </w:rPr>
              <w:t>Deposits</w:t>
            </w:r>
          </w:p>
        </w:tc>
        <w:tc>
          <w:tcPr>
            <w:tcW w:w="1100" w:type="dxa"/>
            <w:vAlign w:val="bottom"/>
          </w:tcPr>
          <w:p>
            <w:pPr>
              <w:jc w:val="right"/>
              <w:spacing w:after="0"/>
              <w:rPr>
                <w:sz w:val="20"/>
                <w:szCs w:val="20"/>
                <w:color w:val="auto"/>
              </w:rPr>
            </w:pPr>
            <w:r>
              <w:rPr>
                <w:rFonts w:ascii="Arial" w:cs="Arial" w:eastAsia="Arial" w:hAnsi="Arial"/>
                <w:sz w:val="18"/>
                <w:szCs w:val="18"/>
                <w:color w:val="auto"/>
              </w:rPr>
              <w:t>2,242,220</w:t>
            </w:r>
          </w:p>
        </w:tc>
        <w:tc>
          <w:tcPr>
            <w:tcW w:w="26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305,415</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197,060</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102,085</w:t>
            </w:r>
          </w:p>
        </w:tc>
        <w:tc>
          <w:tcPr>
            <w:tcW w:w="20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2,846,780</w:t>
            </w: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32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6"/>
              </w:rPr>
              <w:t>Short and long term borrowings and debt,</w:t>
            </w:r>
          </w:p>
        </w:tc>
        <w:tc>
          <w:tcPr>
            <w:tcW w:w="11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400" w:type="dxa"/>
            <w:vAlign w:val="bottom"/>
          </w:tcPr>
          <w:p>
            <w:pPr>
              <w:spacing w:after="0"/>
              <w:rPr>
                <w:sz w:val="21"/>
                <w:szCs w:val="21"/>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net</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1,585,145</w:t>
            </w:r>
          </w:p>
        </w:tc>
        <w:tc>
          <w:tcPr>
            <w:tcW w:w="260" w:type="dxa"/>
            <w:vAlign w:val="bottom"/>
            <w:shd w:val="clear" w:color="auto" w:fill="CCEEFF"/>
          </w:tcPr>
          <w:p>
            <w:pPr>
              <w:spacing w:after="0"/>
              <w:rPr>
                <w:sz w:val="21"/>
                <w:szCs w:val="21"/>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2,538</w:t>
            </w:r>
          </w:p>
        </w:tc>
        <w:tc>
          <w:tcPr>
            <w:tcW w:w="220" w:type="dxa"/>
            <w:vAlign w:val="bottom"/>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85,232</w:t>
            </w:r>
          </w:p>
        </w:tc>
        <w:tc>
          <w:tcPr>
            <w:tcW w:w="220" w:type="dxa"/>
            <w:vAlign w:val="bottom"/>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482,814</w:t>
            </w:r>
          </w:p>
        </w:tc>
        <w:tc>
          <w:tcPr>
            <w:tcW w:w="200" w:type="dxa"/>
            <w:vAlign w:val="bottom"/>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55,838</w:t>
            </w:r>
          </w:p>
        </w:tc>
        <w:tc>
          <w:tcPr>
            <w:tcW w:w="220" w:type="dxa"/>
            <w:vAlign w:val="bottom"/>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2,211,567</w:t>
            </w:r>
          </w:p>
        </w:tc>
        <w:tc>
          <w:tcPr>
            <w:tcW w:w="120" w:type="dxa"/>
            <w:vAlign w:val="bottom"/>
            <w:shd w:val="clear" w:color="auto" w:fill="CCEEFF"/>
          </w:tcPr>
          <w:p>
            <w:pPr>
              <w:spacing w:after="0"/>
              <w:rPr>
                <w:sz w:val="21"/>
                <w:szCs w:val="21"/>
                <w:color w:val="auto"/>
              </w:rPr>
            </w:pPr>
          </w:p>
        </w:tc>
        <w:tc>
          <w:tcPr>
            <w:tcW w:w="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2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3,827,365</w:t>
            </w:r>
          </w:p>
        </w:tc>
        <w:tc>
          <w:tcPr>
            <w:tcW w:w="260" w:type="dxa"/>
            <w:vAlign w:val="bottom"/>
            <w:tcBorders>
              <w:bottom w:val="single" w:sz="8" w:color="CCEEFF"/>
            </w:tcBorders>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307,953</w:t>
            </w:r>
          </w:p>
        </w:tc>
        <w:tc>
          <w:tcPr>
            <w:tcW w:w="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282,292</w:t>
            </w:r>
          </w:p>
        </w:tc>
        <w:tc>
          <w:tcPr>
            <w:tcW w:w="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584,899</w:t>
            </w:r>
          </w:p>
        </w:tc>
        <w:tc>
          <w:tcPr>
            <w:tcW w:w="20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55,838</w:t>
            </w:r>
          </w:p>
        </w:tc>
        <w:tc>
          <w:tcPr>
            <w:tcW w:w="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5,058,347</w:t>
            </w:r>
          </w:p>
        </w:tc>
        <w:tc>
          <w:tcPr>
            <w:tcW w:w="120" w:type="dxa"/>
            <w:vAlign w:val="bottom"/>
            <w:tcBorders>
              <w:bottom w:val="single" w:sz="8" w:color="CCEEFF"/>
            </w:tcBorders>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32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rate sensibility</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240,974</w:t>
            </w:r>
          </w:p>
        </w:tc>
        <w:tc>
          <w:tcPr>
            <w:tcW w:w="260" w:type="dxa"/>
            <w:vAlign w:val="bottom"/>
            <w:tcBorders>
              <w:bottom w:val="single" w:sz="8" w:color="CCEEFF"/>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644,868</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26,042</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(333,661</w:t>
            </w:r>
          </w:p>
        </w:tc>
        <w:tc>
          <w:tcPr>
            <w:tcW w:w="200" w:type="dxa"/>
            <w:vAlign w:val="bottom"/>
            <w:tcBorders>
              <w:bottom w:val="single" w:sz="8" w:color="CCEEFF"/>
            </w:tcBorders>
            <w:shd w:val="clear" w:color="auto" w:fill="CCEEFF"/>
          </w:tcPr>
          <w:p>
            <w:pPr>
              <w:jc w:val="right"/>
              <w:ind w:right="120"/>
              <w:spacing w:after="0"/>
              <w:rPr>
                <w:sz w:val="20"/>
                <w:szCs w:val="20"/>
                <w:color w:val="auto"/>
              </w:rPr>
            </w:pPr>
            <w:r>
              <w:rPr>
                <w:rFonts w:ascii="Arial" w:cs="Arial" w:eastAsia="Arial" w:hAnsi="Arial"/>
                <w:sz w:val="8"/>
                <w:szCs w:val="8"/>
                <w:color w:val="auto"/>
                <w:w w:val="73"/>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(36,843</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541,380</w:t>
            </w:r>
          </w:p>
        </w:tc>
        <w:tc>
          <w:tcPr>
            <w:tcW w:w="120" w:type="dxa"/>
            <w:vAlign w:val="bottom"/>
            <w:tcBorders>
              <w:bottom w:val="single" w:sz="8" w:color="CCEEFF"/>
            </w:tcBorders>
            <w:shd w:val="clear" w:color="auto" w:fill="CCEEFF"/>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3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2"/>
        </w:trPr>
        <w:tc>
          <w:tcPr>
            <w:tcW w:w="400" w:type="dxa"/>
            <w:vAlign w:val="bottom"/>
          </w:tcPr>
          <w:p>
            <w:pPr>
              <w:spacing w:after="0"/>
              <w:rPr>
                <w:sz w:val="24"/>
                <w:szCs w:val="24"/>
                <w:color w:val="auto"/>
              </w:rPr>
            </w:pPr>
          </w:p>
        </w:tc>
        <w:tc>
          <w:tcPr>
            <w:tcW w:w="3200" w:type="dxa"/>
            <w:vAlign w:val="bottom"/>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gridSpan w:val="4"/>
          </w:tcPr>
          <w:p>
            <w:pPr>
              <w:jc w:val="right"/>
              <w:ind w:right="680"/>
              <w:spacing w:after="0"/>
              <w:rPr>
                <w:sz w:val="20"/>
                <w:szCs w:val="20"/>
                <w:color w:val="auto"/>
              </w:rPr>
            </w:pPr>
            <w:r>
              <w:rPr>
                <w:rFonts w:ascii="Arial" w:cs="Arial" w:eastAsia="Arial" w:hAnsi="Arial"/>
                <w:sz w:val="18"/>
                <w:szCs w:val="18"/>
                <w:b w:val="1"/>
                <w:bCs w:val="1"/>
                <w:color w:val="auto"/>
              </w:rPr>
              <w:t>December 31, 2016</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600" w:type="dxa"/>
            <w:vAlign w:val="bottom"/>
            <w:gridSpan w:val="2"/>
            <w:vMerge w:val="restart"/>
          </w:tcPr>
          <w:p>
            <w:pPr>
              <w:ind w:left="400"/>
              <w:spacing w:after="0"/>
              <w:rPr>
                <w:sz w:val="20"/>
                <w:szCs w:val="20"/>
                <w:color w:val="auto"/>
              </w:rPr>
            </w:pPr>
            <w:r>
              <w:rPr>
                <w:rFonts w:ascii="Arial" w:cs="Arial" w:eastAsia="Arial" w:hAnsi="Arial"/>
                <w:sz w:val="18"/>
                <w:szCs w:val="18"/>
                <w:b w:val="1"/>
                <w:bCs w:val="1"/>
                <w:color w:val="auto"/>
              </w:rPr>
              <w:t>Description</w:t>
            </w:r>
          </w:p>
        </w:tc>
        <w:tc>
          <w:tcPr>
            <w:tcW w:w="1360" w:type="dxa"/>
            <w:vAlign w:val="bottom"/>
            <w:gridSpan w:val="2"/>
          </w:tcPr>
          <w:p>
            <w:pPr>
              <w:ind w:left="280"/>
              <w:spacing w:after="0" w:line="191" w:lineRule="exact"/>
              <w:rPr>
                <w:sz w:val="20"/>
                <w:szCs w:val="20"/>
                <w:color w:val="auto"/>
              </w:rPr>
            </w:pPr>
            <w:r>
              <w:rPr>
                <w:rFonts w:ascii="Arial" w:cs="Arial" w:eastAsia="Arial" w:hAnsi="Arial"/>
                <w:sz w:val="18"/>
                <w:szCs w:val="18"/>
                <w:b w:val="1"/>
                <w:bCs w:val="1"/>
                <w:color w:val="auto"/>
              </w:rPr>
              <w:t>Up to 3</w:t>
            </w:r>
          </w:p>
        </w:tc>
        <w:tc>
          <w:tcPr>
            <w:tcW w:w="1320" w:type="dxa"/>
            <w:vAlign w:val="bottom"/>
            <w:gridSpan w:val="2"/>
          </w:tcPr>
          <w:p>
            <w:pPr>
              <w:ind w:left="300"/>
              <w:spacing w:after="0" w:line="191" w:lineRule="exact"/>
              <w:rPr>
                <w:sz w:val="20"/>
                <w:szCs w:val="20"/>
                <w:color w:val="auto"/>
              </w:rPr>
            </w:pPr>
            <w:r>
              <w:rPr>
                <w:rFonts w:ascii="Arial" w:cs="Arial" w:eastAsia="Arial" w:hAnsi="Arial"/>
                <w:sz w:val="18"/>
                <w:szCs w:val="18"/>
                <w:b w:val="1"/>
                <w:bCs w:val="1"/>
                <w:color w:val="auto"/>
              </w:rPr>
              <w:t>3 to 6</w:t>
            </w:r>
          </w:p>
        </w:tc>
        <w:tc>
          <w:tcPr>
            <w:tcW w:w="1300" w:type="dxa"/>
            <w:vAlign w:val="bottom"/>
            <w:gridSpan w:val="2"/>
          </w:tcPr>
          <w:p>
            <w:pPr>
              <w:jc w:val="right"/>
              <w:ind w:right="360"/>
              <w:spacing w:after="0" w:line="191" w:lineRule="exact"/>
              <w:rPr>
                <w:sz w:val="20"/>
                <w:szCs w:val="20"/>
                <w:color w:val="auto"/>
              </w:rPr>
            </w:pPr>
            <w:r>
              <w:rPr>
                <w:rFonts w:ascii="Arial" w:cs="Arial" w:eastAsia="Arial" w:hAnsi="Arial"/>
                <w:sz w:val="18"/>
                <w:szCs w:val="18"/>
                <w:b w:val="1"/>
                <w:bCs w:val="1"/>
                <w:color w:val="auto"/>
              </w:rPr>
              <w:t>6 months</w:t>
            </w:r>
          </w:p>
        </w:tc>
        <w:tc>
          <w:tcPr>
            <w:tcW w:w="10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rPr>
              <w:t>More than</w:t>
            </w:r>
          </w:p>
        </w:tc>
        <w:tc>
          <w:tcPr>
            <w:tcW w:w="1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600" w:type="dxa"/>
            <w:vAlign w:val="bottom"/>
            <w:gridSpan w:val="2"/>
            <w:vMerge w:val="continue"/>
          </w:tcPr>
          <w:p>
            <w:pPr>
              <w:spacing w:after="0"/>
              <w:rPr>
                <w:sz w:val="20"/>
                <w:szCs w:val="20"/>
                <w:color w:val="auto"/>
              </w:rPr>
            </w:pPr>
          </w:p>
        </w:tc>
        <w:tc>
          <w:tcPr>
            <w:tcW w:w="1360" w:type="dxa"/>
            <w:vAlign w:val="bottom"/>
            <w:gridSpan w:val="2"/>
          </w:tcPr>
          <w:p>
            <w:pPr>
              <w:ind w:left="280"/>
              <w:spacing w:after="0"/>
              <w:rPr>
                <w:sz w:val="20"/>
                <w:szCs w:val="20"/>
                <w:color w:val="auto"/>
              </w:rPr>
            </w:pPr>
            <w:r>
              <w:rPr>
                <w:rFonts w:ascii="Arial" w:cs="Arial" w:eastAsia="Arial" w:hAnsi="Arial"/>
                <w:sz w:val="18"/>
                <w:szCs w:val="18"/>
                <w:b w:val="1"/>
                <w:bCs w:val="1"/>
                <w:color w:val="auto"/>
              </w:rPr>
              <w:t>months</w:t>
            </w:r>
          </w:p>
        </w:tc>
        <w:tc>
          <w:tcPr>
            <w:tcW w:w="1320" w:type="dxa"/>
            <w:vAlign w:val="bottom"/>
            <w:gridSpan w:val="2"/>
          </w:tcPr>
          <w:p>
            <w:pPr>
              <w:ind w:left="260"/>
              <w:spacing w:after="0"/>
              <w:rPr>
                <w:sz w:val="20"/>
                <w:szCs w:val="20"/>
                <w:color w:val="auto"/>
              </w:rPr>
            </w:pPr>
            <w:r>
              <w:rPr>
                <w:rFonts w:ascii="Arial" w:cs="Arial" w:eastAsia="Arial" w:hAnsi="Arial"/>
                <w:sz w:val="18"/>
                <w:szCs w:val="18"/>
                <w:b w:val="1"/>
                <w:bCs w:val="1"/>
                <w:color w:val="auto"/>
              </w:rPr>
              <w:t>months</w:t>
            </w:r>
          </w:p>
        </w:tc>
        <w:tc>
          <w:tcPr>
            <w:tcW w:w="13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to 1 year</w:t>
            </w:r>
          </w:p>
        </w:tc>
        <w:tc>
          <w:tcPr>
            <w:tcW w:w="12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4"/>
              </w:rPr>
              <w:t>1 to 5 years</w:t>
            </w:r>
          </w:p>
        </w:tc>
        <w:tc>
          <w:tcPr>
            <w:tcW w:w="13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5 years</w:t>
            </w:r>
          </w:p>
        </w:tc>
        <w:tc>
          <w:tcPr>
            <w:tcW w:w="120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1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200" w:type="dxa"/>
            <w:vAlign w:val="bottom"/>
          </w:tcPr>
          <w:p>
            <w:pPr>
              <w:spacing w:after="0"/>
              <w:rPr>
                <w:sz w:val="20"/>
                <w:szCs w:val="20"/>
                <w:color w:val="auto"/>
              </w:rPr>
            </w:pPr>
            <w:r>
              <w:rPr>
                <w:rFonts w:ascii="Arial" w:cs="Arial" w:eastAsia="Arial" w:hAnsi="Arial"/>
                <w:sz w:val="18"/>
                <w:szCs w:val="18"/>
                <w:color w:val="auto"/>
              </w:rPr>
              <w:t>Time deposit</w:t>
            </w:r>
          </w:p>
        </w:tc>
        <w:tc>
          <w:tcPr>
            <w:tcW w:w="1100" w:type="dxa"/>
            <w:vAlign w:val="bottom"/>
          </w:tcPr>
          <w:p>
            <w:pPr>
              <w:jc w:val="right"/>
              <w:spacing w:after="0"/>
              <w:rPr>
                <w:sz w:val="20"/>
                <w:szCs w:val="20"/>
                <w:color w:val="auto"/>
              </w:rPr>
            </w:pPr>
            <w:r>
              <w:rPr>
                <w:rFonts w:ascii="Arial" w:cs="Arial" w:eastAsia="Arial" w:hAnsi="Arial"/>
                <w:sz w:val="18"/>
                <w:szCs w:val="18"/>
                <w:color w:val="auto"/>
              </w:rPr>
              <w:t>125,000</w:t>
            </w:r>
          </w:p>
        </w:tc>
        <w:tc>
          <w:tcPr>
            <w:tcW w:w="26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125,000</w:t>
            </w: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9,025</w:t>
            </w:r>
          </w:p>
        </w:tc>
        <w:tc>
          <w:tcPr>
            <w:tcW w:w="26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3,000</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72,094</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18,200</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102,319</w:t>
            </w:r>
          </w:p>
        </w:tc>
        <w:tc>
          <w:tcPr>
            <w:tcW w:w="12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32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Loans at amortized cost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4,350,913</w:t>
            </w:r>
          </w:p>
        </w:tc>
        <w:tc>
          <w:tcPr>
            <w:tcW w:w="26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1,445,290</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140,609</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83,919</w:t>
            </w:r>
          </w:p>
        </w:tc>
        <w:tc>
          <w:tcPr>
            <w:tcW w:w="20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6,020,731</w:t>
            </w:r>
          </w:p>
        </w:tc>
        <w:tc>
          <w:tcPr>
            <w:tcW w:w="120" w:type="dxa"/>
            <w:vAlign w:val="bottom"/>
            <w:tcBorders>
              <w:bottom w:val="single" w:sz="8" w:color="CCEEFF"/>
            </w:tcBorders>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Total</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4,484,938</w:t>
            </w:r>
          </w:p>
        </w:tc>
        <w:tc>
          <w:tcPr>
            <w:tcW w:w="26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1,448,290</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140,609</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156,013</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18,200</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6,248,050</w:t>
            </w:r>
          </w:p>
        </w:tc>
        <w:tc>
          <w:tcPr>
            <w:tcW w:w="12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vMerge w:val="restart"/>
          </w:tcPr>
          <w:p>
            <w:pPr>
              <w:spacing w:after="0"/>
              <w:rPr>
                <w:sz w:val="18"/>
                <w:szCs w:val="18"/>
                <w:color w:val="auto"/>
              </w:rPr>
            </w:pPr>
          </w:p>
        </w:tc>
        <w:tc>
          <w:tcPr>
            <w:tcW w:w="3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vMerge w:val="continue"/>
          </w:tcPr>
          <w:p>
            <w:pPr>
              <w:spacing w:after="0"/>
              <w:rPr>
                <w:sz w:val="18"/>
                <w:szCs w:val="18"/>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200" w:type="dxa"/>
            <w:vAlign w:val="bottom"/>
          </w:tcPr>
          <w:p>
            <w:pPr>
              <w:spacing w:after="0"/>
              <w:rPr>
                <w:sz w:val="20"/>
                <w:szCs w:val="20"/>
                <w:color w:val="auto"/>
              </w:rPr>
            </w:pPr>
            <w:r>
              <w:rPr>
                <w:rFonts w:ascii="Arial" w:cs="Arial" w:eastAsia="Arial" w:hAnsi="Arial"/>
                <w:sz w:val="18"/>
                <w:szCs w:val="18"/>
                <w:color w:val="auto"/>
              </w:rPr>
              <w:t>Deposits</w:t>
            </w:r>
          </w:p>
        </w:tc>
        <w:tc>
          <w:tcPr>
            <w:tcW w:w="1100" w:type="dxa"/>
            <w:vAlign w:val="bottom"/>
          </w:tcPr>
          <w:p>
            <w:pPr>
              <w:jc w:val="right"/>
              <w:spacing w:after="0"/>
              <w:rPr>
                <w:sz w:val="20"/>
                <w:szCs w:val="20"/>
                <w:color w:val="auto"/>
              </w:rPr>
            </w:pPr>
            <w:r>
              <w:rPr>
                <w:rFonts w:ascii="Arial" w:cs="Arial" w:eastAsia="Arial" w:hAnsi="Arial"/>
                <w:sz w:val="18"/>
                <w:szCs w:val="18"/>
                <w:color w:val="auto"/>
              </w:rPr>
              <w:t>2,179,399</w:t>
            </w:r>
          </w:p>
        </w:tc>
        <w:tc>
          <w:tcPr>
            <w:tcW w:w="26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173,288</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275,631</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47,520</w:t>
            </w:r>
          </w:p>
        </w:tc>
        <w:tc>
          <w:tcPr>
            <w:tcW w:w="20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2,675,838</w:t>
            </w: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32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6"/>
              </w:rPr>
              <w:t>Short and long term borrowings and debt,</w:t>
            </w:r>
          </w:p>
        </w:tc>
        <w:tc>
          <w:tcPr>
            <w:tcW w:w="11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400" w:type="dxa"/>
            <w:vAlign w:val="bottom"/>
          </w:tcPr>
          <w:p>
            <w:pPr>
              <w:spacing w:after="0"/>
              <w:rPr>
                <w:sz w:val="21"/>
                <w:szCs w:val="21"/>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net</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2,168,964</w:t>
            </w:r>
          </w:p>
        </w:tc>
        <w:tc>
          <w:tcPr>
            <w:tcW w:w="260" w:type="dxa"/>
            <w:vAlign w:val="bottom"/>
            <w:shd w:val="clear" w:color="auto" w:fill="CCEEFF"/>
          </w:tcPr>
          <w:p>
            <w:pPr>
              <w:spacing w:after="0"/>
              <w:rPr>
                <w:sz w:val="21"/>
                <w:szCs w:val="21"/>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402,643</w:t>
            </w:r>
          </w:p>
        </w:tc>
        <w:tc>
          <w:tcPr>
            <w:tcW w:w="220" w:type="dxa"/>
            <w:vAlign w:val="bottom"/>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133,190</w:t>
            </w:r>
          </w:p>
        </w:tc>
        <w:tc>
          <w:tcPr>
            <w:tcW w:w="220" w:type="dxa"/>
            <w:vAlign w:val="bottom"/>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495,883</w:t>
            </w:r>
          </w:p>
        </w:tc>
        <w:tc>
          <w:tcPr>
            <w:tcW w:w="200" w:type="dxa"/>
            <w:vAlign w:val="bottom"/>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46,133</w:t>
            </w:r>
          </w:p>
        </w:tc>
        <w:tc>
          <w:tcPr>
            <w:tcW w:w="220" w:type="dxa"/>
            <w:vAlign w:val="bottom"/>
            <w:shd w:val="clear" w:color="auto" w:fill="CCEEFF"/>
          </w:tcPr>
          <w:p>
            <w:pPr>
              <w:spacing w:after="0"/>
              <w:rPr>
                <w:sz w:val="21"/>
                <w:szCs w:val="21"/>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3,246,813</w:t>
            </w:r>
          </w:p>
        </w:tc>
        <w:tc>
          <w:tcPr>
            <w:tcW w:w="120" w:type="dxa"/>
            <w:vAlign w:val="bottom"/>
            <w:shd w:val="clear" w:color="auto" w:fill="CCEEFF"/>
          </w:tcPr>
          <w:p>
            <w:pPr>
              <w:spacing w:after="0"/>
              <w:rPr>
                <w:sz w:val="21"/>
                <w:szCs w:val="21"/>
                <w:color w:val="auto"/>
              </w:rPr>
            </w:pPr>
          </w:p>
        </w:tc>
        <w:tc>
          <w:tcPr>
            <w:tcW w:w="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2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4,348,363</w:t>
            </w:r>
          </w:p>
        </w:tc>
        <w:tc>
          <w:tcPr>
            <w:tcW w:w="260" w:type="dxa"/>
            <w:vAlign w:val="bottom"/>
            <w:tcBorders>
              <w:bottom w:val="single" w:sz="8" w:color="CCEEFF"/>
            </w:tcBorders>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575,931</w:t>
            </w:r>
          </w:p>
        </w:tc>
        <w:tc>
          <w:tcPr>
            <w:tcW w:w="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408,821</w:t>
            </w:r>
          </w:p>
        </w:tc>
        <w:tc>
          <w:tcPr>
            <w:tcW w:w="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543,403</w:t>
            </w:r>
          </w:p>
        </w:tc>
        <w:tc>
          <w:tcPr>
            <w:tcW w:w="20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46,133</w:t>
            </w:r>
          </w:p>
        </w:tc>
        <w:tc>
          <w:tcPr>
            <w:tcW w:w="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5,922,651</w:t>
            </w:r>
          </w:p>
        </w:tc>
        <w:tc>
          <w:tcPr>
            <w:tcW w:w="120" w:type="dxa"/>
            <w:vAlign w:val="bottom"/>
            <w:tcBorders>
              <w:bottom w:val="single" w:sz="8" w:color="CCEEFF"/>
            </w:tcBorders>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32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rate sensibility</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136,575</w:t>
            </w:r>
          </w:p>
        </w:tc>
        <w:tc>
          <w:tcPr>
            <w:tcW w:w="260" w:type="dxa"/>
            <w:vAlign w:val="bottom"/>
            <w:tcBorders>
              <w:bottom w:val="single" w:sz="8" w:color="CCEEFF"/>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872,359</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(268,212</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(387,390</w:t>
            </w:r>
          </w:p>
        </w:tc>
        <w:tc>
          <w:tcPr>
            <w:tcW w:w="200" w:type="dxa"/>
            <w:vAlign w:val="bottom"/>
            <w:tcBorders>
              <w:bottom w:val="single" w:sz="8" w:color="CCEEFF"/>
            </w:tcBorders>
            <w:shd w:val="clear" w:color="auto" w:fill="CCEEFF"/>
          </w:tcPr>
          <w:p>
            <w:pPr>
              <w:jc w:val="right"/>
              <w:ind w:right="120"/>
              <w:spacing w:after="0"/>
              <w:rPr>
                <w:sz w:val="20"/>
                <w:szCs w:val="20"/>
                <w:color w:val="auto"/>
              </w:rPr>
            </w:pPr>
            <w:r>
              <w:rPr>
                <w:rFonts w:ascii="Arial" w:cs="Arial" w:eastAsia="Arial" w:hAnsi="Arial"/>
                <w:sz w:val="8"/>
                <w:szCs w:val="8"/>
                <w:b w:val="1"/>
                <w:bCs w:val="1"/>
                <w:color w:val="auto"/>
                <w:w w:val="73"/>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(27,933</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325,399</w:t>
            </w:r>
          </w:p>
        </w:tc>
        <w:tc>
          <w:tcPr>
            <w:tcW w:w="120" w:type="dxa"/>
            <w:vAlign w:val="bottom"/>
            <w:tcBorders>
              <w:bottom w:val="single" w:sz="8" w:color="CCEEFF"/>
            </w:tcBorders>
            <w:shd w:val="clear" w:color="auto" w:fill="CCEEFF"/>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3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400" w:type="dxa"/>
            <w:vAlign w:val="bottom"/>
            <w:tcBorders>
              <w:bottom w:val="single" w:sz="8" w:color="auto"/>
            </w:tcBorders>
          </w:tcPr>
          <w:p>
            <w:pPr>
              <w:spacing w:after="0"/>
              <w:rPr>
                <w:sz w:val="24"/>
                <w:szCs w:val="24"/>
                <w:color w:val="auto"/>
              </w:rPr>
            </w:pPr>
          </w:p>
        </w:tc>
        <w:tc>
          <w:tcPr>
            <w:tcW w:w="320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gridSpan w:val="2"/>
          </w:tcPr>
          <w:p>
            <w:pPr>
              <w:ind w:left="600"/>
              <w:spacing w:after="0"/>
              <w:rPr>
                <w:sz w:val="20"/>
                <w:szCs w:val="20"/>
                <w:color w:val="auto"/>
              </w:rPr>
            </w:pPr>
            <w:r>
              <w:rPr>
                <w:rFonts w:ascii="Arial" w:cs="Arial" w:eastAsia="Arial" w:hAnsi="Arial"/>
                <w:sz w:val="18"/>
                <w:szCs w:val="18"/>
                <w:color w:val="auto"/>
              </w:rPr>
              <w:t>F-99</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8" w:right="239" w:bottom="1440" w:gutter="0" w:footer="0" w:header="0"/>
        </w:sectPr>
      </w:pPr>
    </w:p>
    <w:bookmarkStart w:id="221" w:name="page222"/>
    <w:bookmarkEnd w:id="2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80" w:hanging="329"/>
        <w:spacing w:after="0"/>
        <w:tabs>
          <w:tab w:leader="none" w:pos="580" w:val="left"/>
        </w:tabs>
        <w:numPr>
          <w:ilvl w:val="0"/>
          <w:numId w:val="216"/>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right="888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27.3 Market risk (continued) </w:t>
      </w:r>
      <w:r>
        <w:rPr>
          <w:rFonts w:ascii="Arial" w:cs="Arial" w:eastAsia="Arial" w:hAnsi="Arial"/>
          <w:sz w:val="18"/>
          <w:szCs w:val="18"/>
          <w:b w:val="1"/>
          <w:bCs w:val="1"/>
          <w:u w:val="single" w:color="auto"/>
          <w:color w:val="auto"/>
        </w:rPr>
        <w:t>Currency risk</w:t>
      </w:r>
    </w:p>
    <w:p>
      <w:pPr>
        <w:spacing w:after="0" w:line="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Currency risk is the risk that the value of a financial instrument will fluctuate because of changes in exchange rates of foreign currencies, and other financial variables, as well as the reaction of market participants to political and economic events. For purposes of accounting standards this risk does not come from financial instruments that are not monetary items, or for financial instruments denominated in the functional currency. Exposure to currency risk is low since the Bank’s has maximum exposure limits established by the Board.</w:t>
      </w:r>
    </w:p>
    <w:p>
      <w:pPr>
        <w:spacing w:after="0" w:line="187"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Most of the Bank’s assets and most of its liabilities are denominated in US American Dollars and hence the Bank does not incur a significant currency exchange risk. The currency exchange rate risk is mitigated by the use of derivatives, which, although perfectly covered economically, may generate a certain accounting volatility.</w:t>
      </w:r>
    </w:p>
    <w:p>
      <w:pPr>
        <w:spacing w:after="0" w:line="181"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following table details the maximum to foreign currency, where all assets and liabilities are presented based on their book value, except for derivatives, which are included within other assets and other liabilities based on its value nominal.</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400" w:type="dxa"/>
            <w:vAlign w:val="bottom"/>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20" w:type="dxa"/>
            <w:vAlign w:val="bottom"/>
            <w:tcBorders>
              <w:bottom w:val="single" w:sz="8" w:color="auto"/>
            </w:tcBorders>
            <w:gridSpan w:val="5"/>
          </w:tcPr>
          <w:p>
            <w:pPr>
              <w:ind w:left="740"/>
              <w:spacing w:after="0"/>
              <w:rPr>
                <w:sz w:val="20"/>
                <w:szCs w:val="20"/>
                <w:color w:val="auto"/>
              </w:rPr>
            </w:pPr>
            <w:r>
              <w:rPr>
                <w:rFonts w:ascii="Arial" w:cs="Arial" w:eastAsia="Arial" w:hAnsi="Arial"/>
                <w:sz w:val="18"/>
                <w:szCs w:val="18"/>
                <w:b w:val="1"/>
                <w:bCs w:val="1"/>
                <w:color w:val="auto"/>
                <w:w w:val="90"/>
              </w:rPr>
              <w:t>December 31, 2017</w:t>
            </w:r>
          </w:p>
        </w:tc>
        <w:tc>
          <w:tcPr>
            <w:tcW w:w="8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6"/>
        </w:trPr>
        <w:tc>
          <w:tcPr>
            <w:tcW w:w="3400" w:type="dxa"/>
            <w:vAlign w:val="bottom"/>
          </w:tcPr>
          <w:p>
            <w:pPr>
              <w:spacing w:after="0"/>
              <w:rPr>
                <w:sz w:val="17"/>
                <w:szCs w:val="17"/>
                <w:color w:val="auto"/>
              </w:rPr>
            </w:pPr>
          </w:p>
        </w:tc>
        <w:tc>
          <w:tcPr>
            <w:tcW w:w="114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3"/>
              </w:rPr>
              <w:t>Brazilian</w:t>
            </w:r>
          </w:p>
        </w:tc>
        <w:tc>
          <w:tcPr>
            <w:tcW w:w="112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89"/>
              </w:rPr>
              <w:t>European</w:t>
            </w: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85"/>
              </w:rPr>
              <w:t>Japanese</w:t>
            </w:r>
          </w:p>
        </w:tc>
        <w:tc>
          <w:tcPr>
            <w:tcW w:w="1140" w:type="dxa"/>
            <w:vAlign w:val="bottom"/>
            <w:gridSpan w:val="3"/>
          </w:tcPr>
          <w:p>
            <w:pPr>
              <w:jc w:val="center"/>
              <w:ind w:right="300"/>
              <w:spacing w:after="0" w:line="196" w:lineRule="exact"/>
              <w:rPr>
                <w:sz w:val="20"/>
                <w:szCs w:val="20"/>
                <w:color w:val="auto"/>
              </w:rPr>
            </w:pPr>
            <w:r>
              <w:rPr>
                <w:rFonts w:ascii="Arial" w:cs="Arial" w:eastAsia="Arial" w:hAnsi="Arial"/>
                <w:sz w:val="18"/>
                <w:szCs w:val="18"/>
                <w:b w:val="1"/>
                <w:bCs w:val="1"/>
                <w:color w:val="auto"/>
                <w:w w:val="90"/>
              </w:rPr>
              <w:t>Colombian</w:t>
            </w:r>
          </w:p>
        </w:tc>
        <w:tc>
          <w:tcPr>
            <w:tcW w:w="1020" w:type="dxa"/>
            <w:vAlign w:val="bottom"/>
            <w:gridSpan w:val="2"/>
          </w:tcPr>
          <w:p>
            <w:pPr>
              <w:jc w:val="right"/>
              <w:ind w:right="340"/>
              <w:spacing w:after="0" w:line="196" w:lineRule="exact"/>
              <w:rPr>
                <w:sz w:val="20"/>
                <w:szCs w:val="20"/>
                <w:color w:val="auto"/>
              </w:rPr>
            </w:pPr>
            <w:r>
              <w:rPr>
                <w:rFonts w:ascii="Arial" w:cs="Arial" w:eastAsia="Arial" w:hAnsi="Arial"/>
                <w:sz w:val="18"/>
                <w:szCs w:val="18"/>
                <w:b w:val="1"/>
                <w:bCs w:val="1"/>
                <w:color w:val="auto"/>
                <w:w w:val="92"/>
              </w:rPr>
              <w:t>Mexican</w:t>
            </w: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5"/>
              </w:rPr>
              <w:t>Other</w:t>
            </w:r>
          </w:p>
        </w:tc>
        <w:tc>
          <w:tcPr>
            <w:tcW w:w="8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3400" w:type="dxa"/>
            <w:vAlign w:val="bottom"/>
          </w:tcPr>
          <w:p>
            <w:pPr>
              <w:spacing w:after="0"/>
              <w:rPr>
                <w:sz w:val="18"/>
                <w:szCs w:val="18"/>
                <w:color w:val="auto"/>
              </w:rPr>
            </w:pP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4"/>
              </w:rPr>
              <w:t>Real</w:t>
            </w: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2"/>
              </w:rPr>
              <w:t>Euro</w:t>
            </w: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Yen</w:t>
            </w:r>
          </w:p>
        </w:tc>
        <w:tc>
          <w:tcPr>
            <w:tcW w:w="114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78"/>
              </w:rPr>
              <w:t>Peso</w:t>
            </w:r>
          </w:p>
        </w:tc>
        <w:tc>
          <w:tcPr>
            <w:tcW w:w="10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3"/>
              </w:rPr>
              <w:t>Peso</w:t>
            </w: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currencies</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400" w:type="dxa"/>
            <w:vAlign w:val="bottom"/>
          </w:tcPr>
          <w:p>
            <w:pPr>
              <w:spacing w:after="0"/>
              <w:rPr>
                <w:sz w:val="18"/>
                <w:szCs w:val="18"/>
                <w:color w:val="auto"/>
              </w:rPr>
            </w:pP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5"/>
              </w:rPr>
              <w:t>expressed</w:t>
            </w: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3"/>
              </w:rPr>
              <w:t>expressed</w:t>
            </w:r>
          </w:p>
        </w:tc>
        <w:tc>
          <w:tcPr>
            <w:tcW w:w="1140" w:type="dxa"/>
            <w:vAlign w:val="bottom"/>
            <w:gridSpan w:val="3"/>
          </w:tcPr>
          <w:p>
            <w:pPr>
              <w:jc w:val="center"/>
              <w:ind w:right="280"/>
              <w:spacing w:after="0"/>
              <w:rPr>
                <w:sz w:val="20"/>
                <w:szCs w:val="20"/>
                <w:color w:val="auto"/>
              </w:rPr>
            </w:pPr>
            <w:r>
              <w:rPr>
                <w:rFonts w:ascii="Arial" w:cs="Arial" w:eastAsia="Arial" w:hAnsi="Arial"/>
                <w:sz w:val="18"/>
                <w:szCs w:val="18"/>
                <w:b w:val="1"/>
                <w:bCs w:val="1"/>
                <w:color w:val="auto"/>
                <w:w w:val="83"/>
              </w:rPr>
              <w:t>expressed</w:t>
            </w:r>
          </w:p>
        </w:tc>
        <w:tc>
          <w:tcPr>
            <w:tcW w:w="10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70"/>
        </w:trPr>
        <w:tc>
          <w:tcPr>
            <w:tcW w:w="3400" w:type="dxa"/>
            <w:vAlign w:val="bottom"/>
          </w:tcPr>
          <w:p>
            <w:pPr>
              <w:spacing w:after="0"/>
              <w:rPr>
                <w:sz w:val="23"/>
                <w:szCs w:val="23"/>
                <w:color w:val="auto"/>
              </w:rPr>
            </w:pP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2"/>
              </w:rPr>
              <w:t>in US$</w:t>
            </w: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in US$</w:t>
            </w: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in US$</w:t>
            </w:r>
          </w:p>
        </w:tc>
        <w:tc>
          <w:tcPr>
            <w:tcW w:w="114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92"/>
              </w:rPr>
              <w:t>in US$</w:t>
            </w:r>
          </w:p>
        </w:tc>
        <w:tc>
          <w:tcPr>
            <w:tcW w:w="10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2"/>
          </w:tcPr>
          <w:p>
            <w:pPr>
              <w:jc w:val="center"/>
              <w:ind w:right="240"/>
              <w:spacing w:after="0" w:line="269" w:lineRule="exact"/>
              <w:rPr>
                <w:sz w:val="20"/>
                <w:szCs w:val="20"/>
                <w:color w:val="auto"/>
              </w:rPr>
            </w:pPr>
            <w:r>
              <w:rPr>
                <w:rFonts w:ascii="Arial" w:cs="Arial" w:eastAsia="Arial" w:hAnsi="Arial"/>
                <w:sz w:val="18"/>
                <w:szCs w:val="18"/>
                <w:b w:val="1"/>
                <w:bCs w:val="1"/>
                <w:color w:val="auto"/>
                <w:w w:val="84"/>
              </w:rPr>
              <w:t>in US$</w:t>
            </w:r>
            <w:r>
              <w:rPr>
                <w:rFonts w:ascii="Arial" w:cs="Arial" w:eastAsia="Arial" w:hAnsi="Arial"/>
                <w:sz w:val="30"/>
                <w:szCs w:val="30"/>
                <w:b w:val="1"/>
                <w:bCs w:val="1"/>
                <w:color w:val="auto"/>
                <w:w w:val="84"/>
                <w:vertAlign w:val="superscript"/>
              </w:rPr>
              <w:t>(1)</w:t>
            </w:r>
          </w:p>
        </w:tc>
        <w:tc>
          <w:tcPr>
            <w:tcW w:w="960" w:type="dxa"/>
            <w:vAlign w:val="bottom"/>
            <w:gridSpan w:val="3"/>
          </w:tcPr>
          <w:p>
            <w:pPr>
              <w:ind w:left="220"/>
              <w:spacing w:after="0"/>
              <w:rPr>
                <w:sz w:val="20"/>
                <w:szCs w:val="20"/>
                <w:color w:val="auto"/>
              </w:rPr>
            </w:pPr>
            <w:r>
              <w:rPr>
                <w:rFonts w:ascii="Arial" w:cs="Arial" w:eastAsia="Arial" w:hAnsi="Arial"/>
                <w:sz w:val="18"/>
                <w:szCs w:val="18"/>
                <w:b w:val="1"/>
                <w:bCs w:val="1"/>
                <w:color w:val="auto"/>
              </w:rPr>
              <w:t>Total</w:t>
            </w:r>
          </w:p>
        </w:tc>
      </w:tr>
      <w:tr>
        <w:trPr>
          <w:trHeight w:val="210"/>
        </w:trPr>
        <w:tc>
          <w:tcPr>
            <w:tcW w:w="3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w:t>
            </w:r>
          </w:p>
        </w:tc>
        <w:tc>
          <w:tcPr>
            <w:tcW w:w="2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1.20</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112.66</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2,985.78</w:t>
            </w: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19.67</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4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87</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2</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860" w:type="dxa"/>
            <w:vAlign w:val="bottom"/>
          </w:tcPr>
          <w:p>
            <w:pPr>
              <w:jc w:val="right"/>
              <w:spacing w:after="0"/>
              <w:rPr>
                <w:sz w:val="20"/>
                <w:szCs w:val="20"/>
                <w:color w:val="auto"/>
              </w:rPr>
            </w:pPr>
            <w:r>
              <w:rPr>
                <w:rFonts w:ascii="Arial" w:cs="Arial" w:eastAsia="Arial" w:hAnsi="Arial"/>
                <w:sz w:val="18"/>
                <w:szCs w:val="18"/>
                <w:color w:val="auto"/>
              </w:rPr>
              <w:t>91</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369</w:t>
            </w:r>
          </w:p>
        </w:tc>
        <w:tc>
          <w:tcPr>
            <w:tcW w:w="860" w:type="dxa"/>
            <w:vAlign w:val="bottom"/>
          </w:tcPr>
          <w:p>
            <w:pPr>
              <w:jc w:val="right"/>
              <w:spacing w:after="0"/>
              <w:rPr>
                <w:sz w:val="20"/>
                <w:szCs w:val="20"/>
                <w:color w:val="auto"/>
              </w:rPr>
            </w:pPr>
            <w:r>
              <w:rPr>
                <w:rFonts w:ascii="Arial" w:cs="Arial" w:eastAsia="Arial" w:hAnsi="Arial"/>
                <w:sz w:val="18"/>
                <w:szCs w:val="18"/>
                <w:color w:val="auto"/>
              </w:rPr>
              <w:t>75</w:t>
            </w:r>
          </w:p>
        </w:tc>
        <w:tc>
          <w:tcPr>
            <w:tcW w:w="220" w:type="dxa"/>
            <w:vAlign w:val="bottom"/>
          </w:tcPr>
          <w:p>
            <w:pPr>
              <w:spacing w:after="0"/>
              <w:rPr>
                <w:sz w:val="18"/>
                <w:szCs w:val="18"/>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628</w:t>
            </w:r>
          </w:p>
        </w:tc>
        <w:tc>
          <w:tcPr>
            <w:tcW w:w="80" w:type="dxa"/>
            <w:vAlign w:val="bottom"/>
          </w:tcPr>
          <w:p>
            <w:pPr>
              <w:spacing w:after="0"/>
              <w:rPr>
                <w:sz w:val="18"/>
                <w:szCs w:val="18"/>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Equity investments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168</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168</w:t>
            </w:r>
          </w:p>
        </w:tc>
        <w:tc>
          <w:tcPr>
            <w:tcW w:w="80" w:type="dxa"/>
            <w:vAlign w:val="bottom"/>
            <w:shd w:val="clear" w:color="auto" w:fill="CCEEFF"/>
          </w:tcPr>
          <w:p>
            <w:pPr>
              <w:spacing w:after="0"/>
              <w:rPr>
                <w:sz w:val="18"/>
                <w:szCs w:val="18"/>
                <w:color w:val="auto"/>
              </w:rPr>
            </w:pPr>
          </w:p>
        </w:tc>
      </w:tr>
      <w:tr>
        <w:trPr>
          <w:trHeight w:val="230"/>
        </w:trPr>
        <w:tc>
          <w:tcPr>
            <w:tcW w:w="340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143,182</w:t>
            </w:r>
          </w:p>
        </w:tc>
        <w:tc>
          <w:tcPr>
            <w:tcW w:w="22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143,182</w:t>
            </w:r>
          </w:p>
        </w:tc>
        <w:tc>
          <w:tcPr>
            <w:tcW w:w="80" w:type="dxa"/>
            <w:vAlign w:val="bottom"/>
          </w:tcPr>
          <w:p>
            <w:pPr>
              <w:spacing w:after="0"/>
              <w:rPr>
                <w:sz w:val="19"/>
                <w:szCs w:val="19"/>
                <w:color w:val="auto"/>
              </w:rPr>
            </w:pPr>
          </w:p>
        </w:tc>
      </w:tr>
      <w:tr>
        <w:trPr>
          <w:trHeight w:val="223"/>
        </w:trPr>
        <w:tc>
          <w:tcPr>
            <w:tcW w:w="3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255</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auto"/>
              <w:bottom w:val="single" w:sz="8" w:color="auto"/>
            </w:tcBorders>
            <w:shd w:val="clear" w:color="auto" w:fill="CCEEFF"/>
          </w:tcPr>
          <w:p>
            <w:pPr>
              <w:spacing w:after="0"/>
              <w:rPr>
                <w:sz w:val="19"/>
                <w:szCs w:val="19"/>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143,551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143,978</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34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Borrowings and deposit placements</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143,661</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143,661</w:t>
            </w:r>
          </w:p>
        </w:tc>
        <w:tc>
          <w:tcPr>
            <w:tcW w:w="80" w:type="dxa"/>
            <w:vAlign w:val="bottom"/>
          </w:tcPr>
          <w:p>
            <w:pPr>
              <w:spacing w:after="0"/>
              <w:rPr>
                <w:sz w:val="18"/>
                <w:szCs w:val="18"/>
                <w:color w:val="auto"/>
              </w:rPr>
            </w:pPr>
          </w:p>
        </w:tc>
      </w:tr>
      <w:tr>
        <w:trPr>
          <w:trHeight w:val="230"/>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63"/>
        </w:trPr>
        <w:tc>
          <w:tcPr>
            <w:tcW w:w="34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bottom w:val="single" w:sz="8" w:color="CCEEFF"/>
            </w:tcBorders>
          </w:tcPr>
          <w:p>
            <w:pPr>
              <w:spacing w:after="0"/>
              <w:rPr>
                <w:sz w:val="22"/>
                <w:szCs w:val="22"/>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22"/>
                <w:szCs w:val="22"/>
                <w:color w:val="auto"/>
              </w:rPr>
            </w:pPr>
          </w:p>
        </w:tc>
        <w:tc>
          <w:tcPr>
            <w:tcW w:w="60" w:type="dxa"/>
            <w:vAlign w:val="bottom"/>
            <w:tcBorders>
              <w:top w:val="single" w:sz="8" w:color="auto"/>
              <w:bottom w:val="single" w:sz="8" w:color="auto"/>
            </w:tcBorders>
          </w:tcPr>
          <w:p>
            <w:pPr>
              <w:spacing w:after="0"/>
              <w:rPr>
                <w:sz w:val="22"/>
                <w:szCs w:val="22"/>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143,661</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143,661</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34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43"/>
        </w:trPr>
        <w:tc>
          <w:tcPr>
            <w:tcW w:w="3400" w:type="dxa"/>
            <w:vAlign w:val="bottom"/>
          </w:tcPr>
          <w:p>
            <w:pPr>
              <w:spacing w:after="0"/>
              <w:rPr>
                <w:sz w:val="20"/>
                <w:szCs w:val="20"/>
                <w:color w:val="auto"/>
              </w:rPr>
            </w:pPr>
            <w:r>
              <w:rPr>
                <w:rFonts w:ascii="Arial" w:cs="Arial" w:eastAsia="Arial" w:hAnsi="Arial"/>
                <w:sz w:val="18"/>
                <w:szCs w:val="18"/>
                <w:b w:val="1"/>
                <w:bCs w:val="1"/>
                <w:color w:val="auto"/>
              </w:rPr>
              <w:t>Net currency position</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255</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w:t>
            </w: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rPr>
              <w:t>91</w:t>
            </w:r>
          </w:p>
        </w:tc>
        <w:tc>
          <w:tcPr>
            <w:tcW w:w="2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(110)</w:t>
            </w: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rPr>
              <w:t>75</w:t>
            </w:r>
          </w:p>
        </w:tc>
        <w:tc>
          <w:tcPr>
            <w:tcW w:w="220" w:type="dxa"/>
            <w:vAlign w:val="bottom"/>
          </w:tcPr>
          <w:p>
            <w:pPr>
              <w:spacing w:after="0"/>
              <w:rPr>
                <w:sz w:val="21"/>
                <w:szCs w:val="21"/>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317</w:t>
            </w:r>
          </w:p>
        </w:tc>
        <w:tc>
          <w:tcPr>
            <w:tcW w:w="80" w:type="dxa"/>
            <w:vAlign w:val="bottom"/>
          </w:tcPr>
          <w:p>
            <w:pPr>
              <w:spacing w:after="0"/>
              <w:rPr>
                <w:sz w:val="21"/>
                <w:szCs w:val="21"/>
                <w:color w:val="auto"/>
              </w:rPr>
            </w:pPr>
          </w:p>
        </w:tc>
      </w:tr>
      <w:tr>
        <w:trPr>
          <w:trHeight w:val="20"/>
        </w:trPr>
        <w:tc>
          <w:tcPr>
            <w:tcW w:w="340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5500" w:right="640" w:hanging="4520"/>
        <w:spacing w:after="0" w:line="372" w:lineRule="auto"/>
        <w:tabs>
          <w:tab w:leader="none" w:pos="1299" w:val="left"/>
        </w:tabs>
        <w:numPr>
          <w:ilvl w:val="0"/>
          <w:numId w:val="217"/>
        </w:numPr>
        <w:rPr>
          <w:rFonts w:ascii="Arial" w:cs="Arial" w:eastAsia="Arial" w:hAnsi="Arial"/>
          <w:sz w:val="30"/>
          <w:szCs w:val="30"/>
          <w:b w:val="1"/>
          <w:bCs w:val="1"/>
          <w:color w:val="auto"/>
          <w:vertAlign w:val="superscript"/>
        </w:rPr>
      </w:pPr>
      <w:r>
        <w:rPr>
          <w:rFonts w:ascii="Arial" w:cs="Arial" w:eastAsia="Arial" w:hAnsi="Arial"/>
          <w:sz w:val="18"/>
          <w:szCs w:val="18"/>
          <w:color w:val="auto"/>
        </w:rPr>
        <w:t>It includes other currencies such as: Argentine pesos, Australian- dollar, Swiss franc, Pound sterling, Peruvian soles and Remimbis</w:t>
      </w:r>
      <w:r>
        <w:rPr>
          <w:rFonts w:ascii="Arial" w:cs="Arial" w:eastAsia="Arial" w:hAnsi="Arial"/>
          <w:sz w:val="18"/>
          <w:szCs w:val="18"/>
          <w:b w:val="1"/>
          <w:bCs w:val="1"/>
          <w:color w:val="auto"/>
        </w:rPr>
        <w:t>.</w:t>
      </w:r>
      <w:r>
        <w:rPr>
          <w:rFonts w:ascii="Arial" w:cs="Arial" w:eastAsia="Arial" w:hAnsi="Arial"/>
          <w:sz w:val="18"/>
          <w:szCs w:val="18"/>
          <w:color w:val="auto"/>
        </w:rPr>
        <w:t xml:space="preserve"> F-100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246620" cy="8890"/>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222" w:name="page223"/>
    <w:bookmarkEnd w:id="2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tbl>
      <w:tblPr>
        <w:tblLayout w:type="fixed"/>
        <w:tblInd w:w="260" w:type="dxa"/>
        <w:tblCellMar>
          <w:top w:w="0" w:type="dxa"/>
          <w:left w:w="0" w:type="dxa"/>
          <w:bottom w:w="0" w:type="dxa"/>
          <w:right w:w="0" w:type="dxa"/>
        </w:tblCellMar>
      </w:tblPr>
      <w:tr>
        <w:trPr>
          <w:trHeight w:val="234"/>
        </w:trPr>
        <w:tc>
          <w:tcPr>
            <w:tcW w:w="3480" w:type="dxa"/>
            <w:vAlign w:val="bottom"/>
            <w:gridSpan w:val="3"/>
          </w:tcPr>
          <w:p>
            <w:pPr>
              <w:spacing w:after="0"/>
              <w:rPr>
                <w:sz w:val="20"/>
                <w:szCs w:val="20"/>
                <w:color w:val="auto"/>
              </w:rPr>
            </w:pPr>
            <w:r>
              <w:rPr>
                <w:rFonts w:ascii="Arial" w:cs="Arial" w:eastAsia="Arial" w:hAnsi="Arial"/>
                <w:sz w:val="18"/>
                <w:szCs w:val="18"/>
                <w:b w:val="1"/>
                <w:bCs w:val="1"/>
                <w:color w:val="auto"/>
              </w:rPr>
              <w:t>27. Risk management (continued)</w:t>
            </w:r>
          </w:p>
        </w:tc>
        <w:tc>
          <w:tcPr>
            <w:tcW w:w="9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80" w:type="dxa"/>
            <w:vAlign w:val="bottom"/>
          </w:tcPr>
          <w:p>
            <w:pPr>
              <w:spacing w:after="0"/>
              <w:rPr>
                <w:sz w:val="24"/>
                <w:szCs w:val="24"/>
                <w:color w:val="auto"/>
              </w:rPr>
            </w:pPr>
          </w:p>
        </w:tc>
        <w:tc>
          <w:tcPr>
            <w:tcW w:w="3400" w:type="dxa"/>
            <w:vAlign w:val="bottom"/>
            <w:gridSpan w:val="2"/>
          </w:tcPr>
          <w:p>
            <w:pPr>
              <w:spacing w:after="0"/>
              <w:rPr>
                <w:sz w:val="20"/>
                <w:szCs w:val="20"/>
                <w:color w:val="auto"/>
              </w:rPr>
            </w:pPr>
            <w:r>
              <w:rPr>
                <w:rFonts w:ascii="Arial" w:cs="Arial" w:eastAsia="Arial" w:hAnsi="Arial"/>
                <w:sz w:val="18"/>
                <w:szCs w:val="18"/>
                <w:b w:val="1"/>
                <w:bCs w:val="1"/>
                <w:color w:val="auto"/>
              </w:rPr>
              <w:t>27.3 Market risk (continued)</w:t>
            </w:r>
          </w:p>
        </w:tc>
        <w:tc>
          <w:tcPr>
            <w:tcW w:w="9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92"/>
        </w:trPr>
        <w:tc>
          <w:tcPr>
            <w:tcW w:w="80" w:type="dxa"/>
            <w:vAlign w:val="bottom"/>
          </w:tcPr>
          <w:p>
            <w:pPr>
              <w:spacing w:after="0"/>
              <w:rPr>
                <w:sz w:val="24"/>
                <w:szCs w:val="24"/>
                <w:color w:val="auto"/>
              </w:rPr>
            </w:pPr>
          </w:p>
        </w:tc>
        <w:tc>
          <w:tcPr>
            <w:tcW w:w="3400" w:type="dxa"/>
            <w:vAlign w:val="bottom"/>
            <w:gridSpan w:val="2"/>
          </w:tcPr>
          <w:p>
            <w:pPr>
              <w:spacing w:after="0"/>
              <w:rPr>
                <w:sz w:val="20"/>
                <w:szCs w:val="20"/>
                <w:color w:val="auto"/>
              </w:rPr>
            </w:pPr>
            <w:r>
              <w:rPr>
                <w:rFonts w:ascii="Arial" w:cs="Arial" w:eastAsia="Arial" w:hAnsi="Arial"/>
                <w:sz w:val="18"/>
                <w:szCs w:val="18"/>
                <w:b w:val="1"/>
                <w:bCs w:val="1"/>
                <w:color w:val="auto"/>
              </w:rPr>
              <w:t>Currency risk (continued)</w:t>
            </w:r>
          </w:p>
        </w:tc>
        <w:tc>
          <w:tcPr>
            <w:tcW w:w="9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66"/>
        </w:trPr>
        <w:tc>
          <w:tcPr>
            <w:tcW w:w="80" w:type="dxa"/>
            <w:vAlign w:val="bottom"/>
          </w:tcPr>
          <w:p>
            <w:pPr>
              <w:spacing w:after="0"/>
              <w:rPr>
                <w:sz w:val="24"/>
                <w:szCs w:val="24"/>
                <w:color w:val="auto"/>
              </w:rPr>
            </w:pPr>
          </w:p>
        </w:tc>
        <w:tc>
          <w:tcPr>
            <w:tcW w:w="1080" w:type="dxa"/>
            <w:vAlign w:val="bottom"/>
            <w:tcBorders>
              <w:top w:val="single" w:sz="8" w:color="auto"/>
            </w:tcBorders>
          </w:tcPr>
          <w:p>
            <w:pPr>
              <w:spacing w:after="0"/>
              <w:rPr>
                <w:sz w:val="24"/>
                <w:szCs w:val="24"/>
                <w:color w:val="auto"/>
              </w:rPr>
            </w:pPr>
          </w:p>
        </w:tc>
        <w:tc>
          <w:tcPr>
            <w:tcW w:w="2320" w:type="dxa"/>
            <w:vAlign w:val="bottom"/>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20" w:type="dxa"/>
            <w:vAlign w:val="bottom"/>
            <w:tcBorders>
              <w:bottom w:val="single" w:sz="8" w:color="auto"/>
            </w:tcBorders>
            <w:gridSpan w:val="5"/>
          </w:tcPr>
          <w:p>
            <w:pPr>
              <w:ind w:left="740"/>
              <w:spacing w:after="0"/>
              <w:rPr>
                <w:sz w:val="20"/>
                <w:szCs w:val="20"/>
                <w:color w:val="auto"/>
              </w:rPr>
            </w:pPr>
            <w:r>
              <w:rPr>
                <w:rFonts w:ascii="Arial" w:cs="Arial" w:eastAsia="Arial" w:hAnsi="Arial"/>
                <w:sz w:val="18"/>
                <w:szCs w:val="18"/>
                <w:b w:val="1"/>
                <w:bCs w:val="1"/>
                <w:color w:val="auto"/>
                <w:w w:val="90"/>
              </w:rPr>
              <w:t>December 31, 2016</w:t>
            </w:r>
          </w:p>
        </w:tc>
        <w:tc>
          <w:tcPr>
            <w:tcW w:w="8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6"/>
        </w:trPr>
        <w:tc>
          <w:tcPr>
            <w:tcW w:w="8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140" w:type="dxa"/>
            <w:vAlign w:val="bottom"/>
            <w:gridSpan w:val="2"/>
          </w:tcPr>
          <w:p>
            <w:pPr>
              <w:jc w:val="center"/>
              <w:ind w:right="280"/>
              <w:spacing w:after="0" w:line="196" w:lineRule="exact"/>
              <w:rPr>
                <w:sz w:val="20"/>
                <w:szCs w:val="20"/>
                <w:color w:val="auto"/>
              </w:rPr>
            </w:pPr>
            <w:r>
              <w:rPr>
                <w:rFonts w:ascii="Arial" w:cs="Arial" w:eastAsia="Arial" w:hAnsi="Arial"/>
                <w:sz w:val="18"/>
                <w:szCs w:val="18"/>
                <w:b w:val="1"/>
                <w:bCs w:val="1"/>
                <w:color w:val="auto"/>
                <w:w w:val="93"/>
              </w:rPr>
              <w:t>Brazilian</w:t>
            </w:r>
          </w:p>
        </w:tc>
        <w:tc>
          <w:tcPr>
            <w:tcW w:w="1120" w:type="dxa"/>
            <w:vAlign w:val="bottom"/>
            <w:gridSpan w:val="2"/>
          </w:tcPr>
          <w:p>
            <w:pPr>
              <w:ind w:left="40"/>
              <w:spacing w:after="0" w:line="196" w:lineRule="exact"/>
              <w:rPr>
                <w:sz w:val="20"/>
                <w:szCs w:val="20"/>
                <w:color w:val="auto"/>
              </w:rPr>
            </w:pPr>
            <w:r>
              <w:rPr>
                <w:rFonts w:ascii="Arial" w:cs="Arial" w:eastAsia="Arial" w:hAnsi="Arial"/>
                <w:sz w:val="18"/>
                <w:szCs w:val="18"/>
                <w:b w:val="1"/>
                <w:bCs w:val="1"/>
                <w:color w:val="auto"/>
              </w:rPr>
              <w:t>European</w:t>
            </w: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85"/>
              </w:rPr>
              <w:t>Japanese</w:t>
            </w:r>
          </w:p>
        </w:tc>
        <w:tc>
          <w:tcPr>
            <w:tcW w:w="1140" w:type="dxa"/>
            <w:vAlign w:val="bottom"/>
            <w:gridSpan w:val="3"/>
          </w:tcPr>
          <w:p>
            <w:pPr>
              <w:jc w:val="center"/>
              <w:ind w:right="300"/>
              <w:spacing w:after="0" w:line="196" w:lineRule="exact"/>
              <w:rPr>
                <w:sz w:val="20"/>
                <w:szCs w:val="20"/>
                <w:color w:val="auto"/>
              </w:rPr>
            </w:pPr>
            <w:r>
              <w:rPr>
                <w:rFonts w:ascii="Arial" w:cs="Arial" w:eastAsia="Arial" w:hAnsi="Arial"/>
                <w:sz w:val="18"/>
                <w:szCs w:val="18"/>
                <w:b w:val="1"/>
                <w:bCs w:val="1"/>
                <w:color w:val="auto"/>
                <w:w w:val="90"/>
              </w:rPr>
              <w:t>Colombian</w:t>
            </w:r>
          </w:p>
        </w:tc>
        <w:tc>
          <w:tcPr>
            <w:tcW w:w="1020" w:type="dxa"/>
            <w:vAlign w:val="bottom"/>
            <w:gridSpan w:val="2"/>
          </w:tcPr>
          <w:p>
            <w:pPr>
              <w:jc w:val="center"/>
              <w:ind w:right="280"/>
              <w:spacing w:after="0" w:line="196" w:lineRule="exact"/>
              <w:rPr>
                <w:sz w:val="20"/>
                <w:szCs w:val="20"/>
                <w:color w:val="auto"/>
              </w:rPr>
            </w:pPr>
            <w:r>
              <w:rPr>
                <w:rFonts w:ascii="Arial" w:cs="Arial" w:eastAsia="Arial" w:hAnsi="Arial"/>
                <w:sz w:val="18"/>
                <w:szCs w:val="18"/>
                <w:b w:val="1"/>
                <w:bCs w:val="1"/>
                <w:color w:val="auto"/>
                <w:w w:val="92"/>
              </w:rPr>
              <w:t>Mexican</w:t>
            </w:r>
          </w:p>
        </w:tc>
        <w:tc>
          <w:tcPr>
            <w:tcW w:w="1080" w:type="dxa"/>
            <w:vAlign w:val="bottom"/>
            <w:gridSpan w:val="2"/>
          </w:tcPr>
          <w:p>
            <w:pPr>
              <w:ind w:left="180"/>
              <w:spacing w:after="0" w:line="196" w:lineRule="exact"/>
              <w:rPr>
                <w:sz w:val="20"/>
                <w:szCs w:val="20"/>
                <w:color w:val="auto"/>
              </w:rPr>
            </w:pPr>
            <w:r>
              <w:rPr>
                <w:rFonts w:ascii="Arial" w:cs="Arial" w:eastAsia="Arial" w:hAnsi="Arial"/>
                <w:sz w:val="18"/>
                <w:szCs w:val="18"/>
                <w:b w:val="1"/>
                <w:bCs w:val="1"/>
                <w:color w:val="auto"/>
              </w:rPr>
              <w:t>Other</w:t>
            </w: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11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9"/>
              </w:rPr>
              <w:t>Real</w:t>
            </w: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Euro</w:t>
            </w: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Yen</w:t>
            </w:r>
          </w:p>
        </w:tc>
        <w:tc>
          <w:tcPr>
            <w:tcW w:w="114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78"/>
              </w:rPr>
              <w:t>Peso</w:t>
            </w:r>
          </w:p>
        </w:tc>
        <w:tc>
          <w:tcPr>
            <w:tcW w:w="10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78"/>
              </w:rPr>
              <w:t>Peso</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currencies</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11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3"/>
              </w:rPr>
              <w:t>expressed</w:t>
            </w: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3"/>
              </w:rPr>
              <w:t>expressed</w:t>
            </w:r>
          </w:p>
        </w:tc>
        <w:tc>
          <w:tcPr>
            <w:tcW w:w="114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0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3"/>
              </w:rPr>
              <w:t>expressed</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70"/>
        </w:trPr>
        <w:tc>
          <w:tcPr>
            <w:tcW w:w="80" w:type="dxa"/>
            <w:vAlign w:val="bottom"/>
          </w:tcPr>
          <w:p>
            <w:pPr>
              <w:spacing w:after="0"/>
              <w:rPr>
                <w:sz w:val="23"/>
                <w:szCs w:val="23"/>
                <w:color w:val="auto"/>
              </w:rPr>
            </w:pPr>
          </w:p>
        </w:tc>
        <w:tc>
          <w:tcPr>
            <w:tcW w:w="1080" w:type="dxa"/>
            <w:vAlign w:val="bottom"/>
          </w:tcPr>
          <w:p>
            <w:pPr>
              <w:spacing w:after="0"/>
              <w:rPr>
                <w:sz w:val="23"/>
                <w:szCs w:val="23"/>
                <w:color w:val="auto"/>
              </w:rPr>
            </w:pPr>
          </w:p>
        </w:tc>
        <w:tc>
          <w:tcPr>
            <w:tcW w:w="2320" w:type="dxa"/>
            <w:vAlign w:val="bottom"/>
          </w:tcPr>
          <w:p>
            <w:pPr>
              <w:spacing w:after="0"/>
              <w:rPr>
                <w:sz w:val="23"/>
                <w:szCs w:val="23"/>
                <w:color w:val="auto"/>
              </w:rPr>
            </w:pPr>
          </w:p>
        </w:tc>
        <w:tc>
          <w:tcPr>
            <w:tcW w:w="11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in US$</w:t>
            </w: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in US$</w:t>
            </w: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in US$</w:t>
            </w:r>
          </w:p>
        </w:tc>
        <w:tc>
          <w:tcPr>
            <w:tcW w:w="114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92"/>
              </w:rPr>
              <w:t>in US$</w:t>
            </w:r>
          </w:p>
        </w:tc>
        <w:tc>
          <w:tcPr>
            <w:tcW w:w="10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2"/>
          </w:tcPr>
          <w:p>
            <w:pPr>
              <w:jc w:val="center"/>
              <w:ind w:right="180"/>
              <w:spacing w:after="0" w:line="269" w:lineRule="exact"/>
              <w:rPr>
                <w:sz w:val="20"/>
                <w:szCs w:val="20"/>
                <w:color w:val="auto"/>
              </w:rPr>
            </w:pPr>
            <w:r>
              <w:rPr>
                <w:rFonts w:ascii="Arial" w:cs="Arial" w:eastAsia="Arial" w:hAnsi="Arial"/>
                <w:sz w:val="18"/>
                <w:szCs w:val="18"/>
                <w:b w:val="1"/>
                <w:bCs w:val="1"/>
                <w:color w:val="auto"/>
                <w:w w:val="86"/>
              </w:rPr>
              <w:t>in US$</w:t>
            </w:r>
            <w:r>
              <w:rPr>
                <w:rFonts w:ascii="Arial" w:cs="Arial" w:eastAsia="Arial" w:hAnsi="Arial"/>
                <w:sz w:val="30"/>
                <w:szCs w:val="30"/>
                <w:b w:val="1"/>
                <w:bCs w:val="1"/>
                <w:color w:val="auto"/>
                <w:w w:val="86"/>
                <w:vertAlign w:val="superscript"/>
              </w:rPr>
              <w:t>(1)</w:t>
            </w:r>
          </w:p>
        </w:tc>
        <w:tc>
          <w:tcPr>
            <w:tcW w:w="96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Total</w:t>
            </w:r>
          </w:p>
        </w:tc>
      </w:tr>
      <w:tr>
        <w:trPr>
          <w:trHeight w:val="210"/>
        </w:trPr>
        <w:tc>
          <w:tcPr>
            <w:tcW w:w="80" w:type="dxa"/>
            <w:vAlign w:val="bottom"/>
          </w:tcPr>
          <w:p>
            <w:pPr>
              <w:spacing w:after="0"/>
              <w:rPr>
                <w:sz w:val="18"/>
                <w:szCs w:val="18"/>
                <w:color w:val="auto"/>
              </w:rPr>
            </w:pPr>
          </w:p>
        </w:tc>
        <w:tc>
          <w:tcPr>
            <w:tcW w:w="34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3.25</w:t>
            </w:r>
          </w:p>
        </w:tc>
        <w:tc>
          <w:tcPr>
            <w:tcW w:w="2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116.68</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3,002.00</w:t>
            </w: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20.6139</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3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0" w:type="dxa"/>
            <w:vAlign w:val="bottom"/>
          </w:tcPr>
          <w:p>
            <w:pPr>
              <w:spacing w:after="0"/>
              <w:rPr>
                <w:sz w:val="18"/>
                <w:szCs w:val="18"/>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0" w:type="dxa"/>
            <w:vAlign w:val="bottom"/>
          </w:tcPr>
          <w:p>
            <w:pPr>
              <w:spacing w:after="0"/>
              <w:rPr>
                <w:sz w:val="18"/>
                <w:szCs w:val="18"/>
                <w:color w:val="auto"/>
              </w:rPr>
            </w:pPr>
          </w:p>
        </w:tc>
        <w:tc>
          <w:tcPr>
            <w:tcW w:w="3400" w:type="dxa"/>
            <w:vAlign w:val="bottom"/>
            <w:gridSpan w:val="2"/>
          </w:tcPr>
          <w:p>
            <w:pPr>
              <w:spacing w:after="0"/>
              <w:rPr>
                <w:sz w:val="20"/>
                <w:szCs w:val="20"/>
                <w:color w:val="auto"/>
              </w:rPr>
            </w:pPr>
            <w:r>
              <w:rPr>
                <w:rFonts w:ascii="Arial" w:cs="Arial" w:eastAsia="Arial" w:hAnsi="Arial"/>
                <w:sz w:val="18"/>
                <w:szCs w:val="18"/>
                <w:color w:val="auto"/>
              </w:rPr>
              <w:t>Cash and cash equivalent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4,014</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860" w:type="dxa"/>
            <w:vAlign w:val="bottom"/>
          </w:tcPr>
          <w:p>
            <w:pPr>
              <w:jc w:val="right"/>
              <w:spacing w:after="0"/>
              <w:rPr>
                <w:sz w:val="20"/>
                <w:szCs w:val="20"/>
                <w:color w:val="auto"/>
              </w:rPr>
            </w:pPr>
            <w:r>
              <w:rPr>
                <w:rFonts w:ascii="Arial" w:cs="Arial" w:eastAsia="Arial" w:hAnsi="Arial"/>
                <w:sz w:val="18"/>
                <w:szCs w:val="18"/>
                <w:color w:val="auto"/>
              </w:rPr>
              <w:t>55</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2,339</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74</w:t>
            </w:r>
          </w:p>
        </w:tc>
        <w:tc>
          <w:tcPr>
            <w:tcW w:w="2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6,494</w:t>
            </w:r>
          </w:p>
        </w:tc>
      </w:tr>
      <w:tr>
        <w:trPr>
          <w:trHeight w:val="216"/>
        </w:trPr>
        <w:tc>
          <w:tcPr>
            <w:tcW w:w="80" w:type="dxa"/>
            <w:vAlign w:val="bottom"/>
          </w:tcPr>
          <w:p>
            <w:pPr>
              <w:spacing w:after="0"/>
              <w:rPr>
                <w:sz w:val="18"/>
                <w:szCs w:val="18"/>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Investments and other financial assets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80" w:type="dxa"/>
            <w:vAlign w:val="bottom"/>
          </w:tcPr>
          <w:p>
            <w:pPr>
              <w:spacing w:after="0"/>
              <w:rPr>
                <w:sz w:val="18"/>
                <w:szCs w:val="18"/>
                <w:color w:val="auto"/>
              </w:rPr>
            </w:pPr>
          </w:p>
        </w:tc>
        <w:tc>
          <w:tcPr>
            <w:tcW w:w="3400" w:type="dxa"/>
            <w:vAlign w:val="bottom"/>
            <w:gridSpan w:val="2"/>
          </w:tcPr>
          <w:p>
            <w:pPr>
              <w:spacing w:after="0"/>
              <w:rPr>
                <w:sz w:val="20"/>
                <w:szCs w:val="20"/>
                <w:color w:val="auto"/>
              </w:rPr>
            </w:pPr>
            <w:r>
              <w:rPr>
                <w:rFonts w:ascii="Arial" w:cs="Arial" w:eastAsia="Arial" w:hAnsi="Arial"/>
                <w:sz w:val="18"/>
                <w:szCs w:val="18"/>
                <w:color w:val="auto"/>
              </w:rPr>
              <w:t>Loans at amortized cost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295,580</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295,580</w:t>
            </w:r>
          </w:p>
        </w:tc>
      </w:tr>
      <w:tr>
        <w:trPr>
          <w:trHeight w:val="230"/>
        </w:trPr>
        <w:tc>
          <w:tcPr>
            <w:tcW w:w="80" w:type="dxa"/>
            <w:vAlign w:val="bottom"/>
          </w:tcPr>
          <w:p>
            <w:pPr>
              <w:spacing w:after="0"/>
              <w:rPr>
                <w:sz w:val="19"/>
                <w:szCs w:val="19"/>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Other assets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52,800</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94,279</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79,104</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226,183</w:t>
            </w:r>
          </w:p>
        </w:tc>
      </w:tr>
      <w:tr>
        <w:trPr>
          <w:trHeight w:val="263"/>
        </w:trPr>
        <w:tc>
          <w:tcPr>
            <w:tcW w:w="80" w:type="dxa"/>
            <w:vAlign w:val="bottom"/>
          </w:tcPr>
          <w:p>
            <w:pPr>
              <w:spacing w:after="0"/>
              <w:rPr>
                <w:sz w:val="22"/>
                <w:szCs w:val="22"/>
                <w:color w:val="auto"/>
              </w:rPr>
            </w:pPr>
          </w:p>
        </w:tc>
        <w:tc>
          <w:tcPr>
            <w:tcW w:w="340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Total</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4,014</w:t>
            </w:r>
          </w:p>
        </w:tc>
        <w:tc>
          <w:tcPr>
            <w:tcW w:w="240" w:type="dxa"/>
            <w:vAlign w:val="bottom"/>
            <w:tcBorders>
              <w:bottom w:val="single" w:sz="8" w:color="CCEEFF"/>
            </w:tcBorders>
          </w:tcPr>
          <w:p>
            <w:pPr>
              <w:spacing w:after="0"/>
              <w:rPr>
                <w:sz w:val="22"/>
                <w:szCs w:val="22"/>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52,806</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94,285</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w:t>
            </w:r>
          </w:p>
        </w:tc>
        <w:tc>
          <w:tcPr>
            <w:tcW w:w="220" w:type="dxa"/>
            <w:vAlign w:val="bottom"/>
            <w:tcBorders>
              <w:bottom w:val="single" w:sz="8" w:color="CCEEFF"/>
            </w:tcBorders>
          </w:tcPr>
          <w:p>
            <w:pPr>
              <w:spacing w:after="0"/>
              <w:rPr>
                <w:sz w:val="22"/>
                <w:szCs w:val="22"/>
                <w:color w:val="auto"/>
              </w:rPr>
            </w:pPr>
          </w:p>
        </w:tc>
        <w:tc>
          <w:tcPr>
            <w:tcW w:w="60" w:type="dxa"/>
            <w:vAlign w:val="bottom"/>
            <w:tcBorders>
              <w:top w:val="single" w:sz="8" w:color="auto"/>
              <w:bottom w:val="single" w:sz="8" w:color="auto"/>
            </w:tcBorders>
          </w:tcPr>
          <w:p>
            <w:pPr>
              <w:spacing w:after="0"/>
              <w:rPr>
                <w:sz w:val="22"/>
                <w:szCs w:val="22"/>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377,023</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528,257</w:t>
            </w:r>
          </w:p>
        </w:tc>
        <w:tc>
          <w:tcPr>
            <w:tcW w:w="100" w:type="dxa"/>
            <w:vAlign w:val="bottom"/>
            <w:tcBorders>
              <w:bottom w:val="single" w:sz="8" w:color="CCEEFF"/>
            </w:tcBorders>
          </w:tcPr>
          <w:p>
            <w:pPr>
              <w:spacing w:after="0"/>
              <w:rPr>
                <w:sz w:val="22"/>
                <w:szCs w:val="22"/>
                <w:color w:val="auto"/>
              </w:rPr>
            </w:pPr>
          </w:p>
        </w:tc>
      </w:tr>
      <w:tr>
        <w:trPr>
          <w:trHeight w:val="197"/>
        </w:trPr>
        <w:tc>
          <w:tcPr>
            <w:tcW w:w="80" w:type="dxa"/>
            <w:vAlign w:val="bottom"/>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80" w:type="dxa"/>
            <w:vAlign w:val="bottom"/>
          </w:tcPr>
          <w:p>
            <w:pPr>
              <w:spacing w:after="0"/>
              <w:rPr>
                <w:sz w:val="18"/>
                <w:szCs w:val="18"/>
                <w:color w:val="auto"/>
              </w:rPr>
            </w:pPr>
          </w:p>
        </w:tc>
        <w:tc>
          <w:tcPr>
            <w:tcW w:w="3400" w:type="dxa"/>
            <w:vAlign w:val="bottom"/>
            <w:gridSpan w:val="2"/>
          </w:tcPr>
          <w:p>
            <w:pPr>
              <w:spacing w:after="0"/>
              <w:rPr>
                <w:sz w:val="20"/>
                <w:szCs w:val="20"/>
                <w:color w:val="auto"/>
              </w:rPr>
            </w:pPr>
            <w:r>
              <w:rPr>
                <w:rFonts w:ascii="Arial" w:cs="Arial" w:eastAsia="Arial" w:hAnsi="Arial"/>
                <w:sz w:val="18"/>
                <w:szCs w:val="18"/>
                <w:b w:val="1"/>
                <w:bCs w:val="1"/>
                <w:color w:val="auto"/>
              </w:rPr>
              <w:t>Liabilities</w:t>
            </w: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0" w:type="dxa"/>
            <w:vAlign w:val="bottom"/>
          </w:tcPr>
          <w:p>
            <w:pPr>
              <w:spacing w:after="0"/>
              <w:rPr>
                <w:sz w:val="18"/>
                <w:szCs w:val="18"/>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Borrowings and deposit placements</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94,279</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280,557</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374,836</w:t>
            </w:r>
          </w:p>
        </w:tc>
      </w:tr>
      <w:tr>
        <w:trPr>
          <w:trHeight w:val="230"/>
        </w:trPr>
        <w:tc>
          <w:tcPr>
            <w:tcW w:w="80" w:type="dxa"/>
            <w:vAlign w:val="bottom"/>
          </w:tcPr>
          <w:p>
            <w:pPr>
              <w:spacing w:after="0"/>
              <w:rPr>
                <w:sz w:val="19"/>
                <w:szCs w:val="19"/>
                <w:color w:val="auto"/>
              </w:rPr>
            </w:pPr>
          </w:p>
        </w:tc>
        <w:tc>
          <w:tcPr>
            <w:tcW w:w="3400" w:type="dxa"/>
            <w:vAlign w:val="bottom"/>
            <w:gridSpan w:val="2"/>
          </w:tcPr>
          <w:p>
            <w:pPr>
              <w:spacing w:after="0"/>
              <w:rPr>
                <w:sz w:val="20"/>
                <w:szCs w:val="20"/>
                <w:color w:val="auto"/>
              </w:rPr>
            </w:pPr>
            <w:r>
              <w:rPr>
                <w:rFonts w:ascii="Arial" w:cs="Arial" w:eastAsia="Arial" w:hAnsi="Arial"/>
                <w:sz w:val="18"/>
                <w:szCs w:val="18"/>
                <w:color w:val="auto"/>
              </w:rPr>
              <w:t>Other liabilities</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3,933</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52,800</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96,951</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153,684</w:t>
            </w:r>
          </w:p>
        </w:tc>
      </w:tr>
      <w:tr>
        <w:trPr>
          <w:trHeight w:val="223"/>
        </w:trPr>
        <w:tc>
          <w:tcPr>
            <w:tcW w:w="80" w:type="dxa"/>
            <w:vAlign w:val="bottom"/>
          </w:tcPr>
          <w:p>
            <w:pPr>
              <w:spacing w:after="0"/>
              <w:rPr>
                <w:sz w:val="19"/>
                <w:szCs w:val="19"/>
                <w:color w:val="auto"/>
              </w:rPr>
            </w:pPr>
          </w:p>
        </w:tc>
        <w:tc>
          <w:tcPr>
            <w:tcW w:w="34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3,933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52,800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94,279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auto"/>
              <w:bottom w:val="single" w:sz="8" w:color="auto"/>
            </w:tcBorders>
            <w:shd w:val="clear" w:color="auto" w:fill="CCEEFF"/>
          </w:tcPr>
          <w:p>
            <w:pPr>
              <w:spacing w:after="0"/>
              <w:rPr>
                <w:sz w:val="19"/>
                <w:szCs w:val="19"/>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377,508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528,520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8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3"/>
        </w:trPr>
        <w:tc>
          <w:tcPr>
            <w:tcW w:w="80" w:type="dxa"/>
            <w:vAlign w:val="bottom"/>
          </w:tcPr>
          <w:p>
            <w:pPr>
              <w:spacing w:after="0"/>
              <w:rPr>
                <w:sz w:val="21"/>
                <w:szCs w:val="21"/>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81</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6</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6</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55</w:t>
            </w:r>
          </w:p>
        </w:tc>
        <w:tc>
          <w:tcPr>
            <w:tcW w:w="220" w:type="dxa"/>
            <w:vAlign w:val="bottom"/>
            <w:shd w:val="clear" w:color="auto" w:fill="CCEEFF"/>
          </w:tcPr>
          <w:p>
            <w:pPr>
              <w:spacing w:after="0"/>
              <w:rPr>
                <w:sz w:val="21"/>
                <w:szCs w:val="21"/>
                <w:color w:val="auto"/>
              </w:rPr>
            </w:pPr>
          </w:p>
        </w:tc>
        <w:tc>
          <w:tcPr>
            <w:tcW w:w="60" w:type="dxa"/>
            <w:vAlign w:val="bottom"/>
            <w:shd w:val="clear" w:color="auto" w:fill="CCEEFF"/>
          </w:tcPr>
          <w:p>
            <w:pPr>
              <w:spacing w:after="0"/>
              <w:rPr>
                <w:sz w:val="21"/>
                <w:szCs w:val="21"/>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(485)</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74</w:t>
            </w:r>
          </w:p>
        </w:tc>
        <w:tc>
          <w:tcPr>
            <w:tcW w:w="22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(263)</w:t>
            </w:r>
          </w:p>
        </w:tc>
      </w:tr>
      <w:tr>
        <w:trPr>
          <w:trHeight w:val="20"/>
        </w:trPr>
        <w:tc>
          <w:tcPr>
            <w:tcW w:w="80" w:type="dxa"/>
            <w:vAlign w:val="bottom"/>
          </w:tcPr>
          <w:p>
            <w:pPr>
              <w:spacing w:after="0" w:line="20" w:lineRule="exact"/>
              <w:rPr>
                <w:sz w:val="1"/>
                <w:szCs w:val="1"/>
                <w:color w:val="auto"/>
              </w:rPr>
            </w:pPr>
          </w:p>
        </w:tc>
        <w:tc>
          <w:tcPr>
            <w:tcW w:w="1080" w:type="dxa"/>
            <w:vAlign w:val="bottom"/>
            <w:tcBorders>
              <w:top w:val="single" w:sz="8" w:color="CCEEFF"/>
            </w:tcBorders>
          </w:tcPr>
          <w:p>
            <w:pPr>
              <w:spacing w:after="0" w:line="20" w:lineRule="exact"/>
              <w:rPr>
                <w:sz w:val="1"/>
                <w:szCs w:val="1"/>
                <w:color w:val="auto"/>
              </w:rPr>
            </w:pPr>
          </w:p>
        </w:tc>
        <w:tc>
          <w:tcPr>
            <w:tcW w:w="232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98" w:lineRule="exact"/>
        <w:rPr>
          <w:sz w:val="20"/>
          <w:szCs w:val="20"/>
          <w:color w:val="auto"/>
        </w:rPr>
      </w:pPr>
    </w:p>
    <w:p>
      <w:pPr>
        <w:ind w:left="5500" w:right="420" w:hanging="4520"/>
        <w:spacing w:after="0" w:line="372" w:lineRule="auto"/>
        <w:tabs>
          <w:tab w:leader="none" w:pos="1299" w:val="left"/>
        </w:tabs>
        <w:numPr>
          <w:ilvl w:val="0"/>
          <w:numId w:val="218"/>
        </w:numPr>
        <w:rPr>
          <w:rFonts w:ascii="Arial" w:cs="Arial" w:eastAsia="Arial" w:hAnsi="Arial"/>
          <w:sz w:val="30"/>
          <w:szCs w:val="30"/>
          <w:b w:val="1"/>
          <w:bCs w:val="1"/>
          <w:color w:val="auto"/>
          <w:vertAlign w:val="superscript"/>
        </w:rPr>
      </w:pPr>
      <w:r>
        <w:rPr>
          <w:rFonts w:ascii="Arial" w:cs="Arial" w:eastAsia="Arial" w:hAnsi="Arial"/>
          <w:sz w:val="18"/>
          <w:szCs w:val="18"/>
          <w:color w:val="auto"/>
        </w:rPr>
        <w:t>It includes other currencies such as: Argentine pesos, Australian- dollar, Canadian dollar, Swiss franc, Peruvian soles and Remimbis</w:t>
      </w:r>
      <w:r>
        <w:rPr>
          <w:rFonts w:ascii="Arial" w:cs="Arial" w:eastAsia="Arial" w:hAnsi="Arial"/>
          <w:sz w:val="18"/>
          <w:szCs w:val="18"/>
          <w:b w:val="1"/>
          <w:bCs w:val="1"/>
          <w:color w:val="auto"/>
        </w:rPr>
        <w:t>.</w:t>
      </w:r>
      <w:r>
        <w:rPr>
          <w:rFonts w:ascii="Arial" w:cs="Arial" w:eastAsia="Arial" w:hAnsi="Arial"/>
          <w:sz w:val="18"/>
          <w:szCs w:val="18"/>
          <w:color w:val="auto"/>
        </w:rPr>
        <w:t xml:space="preserve"> F-101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246620" cy="889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689" w:right="379" w:bottom="1440" w:gutter="0" w:footer="0" w:header="0"/>
        </w:sectPr>
      </w:pPr>
    </w:p>
    <w:bookmarkStart w:id="223" w:name="page224"/>
    <w:bookmarkEnd w:id="2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2017,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7" w:lineRule="exact"/>
        <w:rPr>
          <w:sz w:val="20"/>
          <w:szCs w:val="20"/>
          <w:color w:val="auto"/>
        </w:rPr>
      </w:pPr>
    </w:p>
    <w:p>
      <w:pPr>
        <w:ind w:left="580" w:hanging="329"/>
        <w:spacing w:after="0"/>
        <w:tabs>
          <w:tab w:leader="none" w:pos="580" w:val="left"/>
        </w:tabs>
        <w:numPr>
          <w:ilvl w:val="0"/>
          <w:numId w:val="219"/>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27.4 Operational Risk</w:t>
      </w:r>
    </w:p>
    <w:p>
      <w:pPr>
        <w:spacing w:after="0" w:line="229" w:lineRule="exact"/>
        <w:rPr>
          <w:sz w:val="20"/>
          <w:szCs w:val="20"/>
          <w:color w:val="auto"/>
        </w:rPr>
      </w:pPr>
    </w:p>
    <w:p>
      <w:pPr>
        <w:jc w:val="both"/>
        <w:ind w:left="340"/>
        <w:spacing w:after="0" w:line="253" w:lineRule="auto"/>
        <w:rPr>
          <w:sz w:val="20"/>
          <w:szCs w:val="20"/>
          <w:color w:val="auto"/>
        </w:rPr>
      </w:pPr>
      <w:r>
        <w:rPr>
          <w:rFonts w:ascii="Arial" w:cs="Arial" w:eastAsia="Arial" w:hAnsi="Arial"/>
          <w:sz w:val="18"/>
          <w:szCs w:val="18"/>
          <w:color w:val="auto"/>
        </w:rPr>
        <w:t>Operational risk is the risk of loss arising from systems failure, human error, fraud or external events. When controls fail to operate effectively, operational risks can cause damage to reputation, have legal or regulatory implications, or lead to financial loss. 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 The Bank cannot expect to eliminate all operational risks, but it endeavors to manage these risks through a control framework and by monitoring and responding to potential risks. Controls include effective segregation of duties, access, authorization and reconciliation procedures, staff education and assessment processes, such as the use of internal audit.</w:t>
      </w:r>
    </w:p>
    <w:p>
      <w:pPr>
        <w:spacing w:after="0" w:line="19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Capital management</w:t>
      </w:r>
    </w:p>
    <w:p>
      <w:pPr>
        <w:spacing w:after="0" w:line="229"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 primary objectives of the Bank’s capital management policy are to ensure that the Bank complies with externally imposed capital requirements and maintains strong credit ratings and healthy capital ratios in order to support its business and to maximize shareholder value.</w:t>
      </w:r>
    </w:p>
    <w:p>
      <w:pPr>
        <w:spacing w:after="0" w:line="363"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manages its capital structure and makes adjustments to it according to changes in economic conditions and the risk characteristics of its activities. In order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399" w:lineRule="exact"/>
        <w:rPr>
          <w:sz w:val="20"/>
          <w:szCs w:val="20"/>
          <w:color w:val="auto"/>
        </w:rPr>
      </w:pPr>
    </w:p>
    <w:tbl>
      <w:tblPr>
        <w:tblLayout w:type="fixed"/>
        <w:tblInd w:w="66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140" w:type="dxa"/>
            <w:vAlign w:val="bottom"/>
          </w:tcPr>
          <w:p>
            <w:pPr>
              <w:spacing w:after="0"/>
              <w:rPr>
                <w:sz w:val="18"/>
                <w:szCs w:val="18"/>
                <w:color w:val="auto"/>
              </w:rPr>
            </w:pPr>
          </w:p>
        </w:tc>
        <w:tc>
          <w:tcPr>
            <w:tcW w:w="13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88"/>
              </w:rPr>
              <w:t>December 31,</w:t>
            </w:r>
          </w:p>
        </w:tc>
        <w:tc>
          <w:tcPr>
            <w:tcW w:w="12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87"/>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140" w:type="dxa"/>
            <w:vAlign w:val="bottom"/>
            <w:tcBorders>
              <w:bottom w:val="single" w:sz="8" w:color="CCEEFF"/>
            </w:tcBorders>
          </w:tcPr>
          <w:p>
            <w:pPr>
              <w:spacing w:after="0"/>
              <w:rPr>
                <w:sz w:val="20"/>
                <w:szCs w:val="20"/>
                <w:color w:val="auto"/>
              </w:rPr>
            </w:pPr>
          </w:p>
        </w:tc>
        <w:tc>
          <w:tcPr>
            <w:tcW w:w="106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2017</w:t>
            </w:r>
          </w:p>
        </w:tc>
        <w:tc>
          <w:tcPr>
            <w:tcW w:w="260" w:type="dxa"/>
            <w:vAlign w:val="bottom"/>
            <w:tcBorders>
              <w:bottom w:val="single" w:sz="8" w:color="CCEEFF"/>
            </w:tcBorders>
          </w:tcPr>
          <w:p>
            <w:pPr>
              <w:spacing w:after="0"/>
              <w:rPr>
                <w:sz w:val="20"/>
                <w:szCs w:val="20"/>
                <w:color w:val="auto"/>
              </w:rPr>
            </w:pPr>
          </w:p>
        </w:tc>
        <w:tc>
          <w:tcPr>
            <w:tcW w:w="106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2016</w:t>
            </w:r>
          </w:p>
        </w:tc>
        <w:tc>
          <w:tcPr>
            <w:tcW w:w="1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1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1,048,304</w:t>
            </w:r>
          </w:p>
        </w:tc>
        <w:tc>
          <w:tcPr>
            <w:tcW w:w="26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1,054,719</w:t>
            </w:r>
          </w:p>
        </w:tc>
        <w:tc>
          <w:tcPr>
            <w:tcW w:w="16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71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140" w:type="dxa"/>
            <w:vAlign w:val="bottom"/>
            <w:shd w:val="clear" w:color="auto" w:fill="CCEEFF"/>
          </w:tcPr>
          <w:p>
            <w:pPr>
              <w:spacing w:after="0"/>
              <w:rPr>
                <w:sz w:val="20"/>
                <w:szCs w:val="20"/>
                <w:color w:val="auto"/>
              </w:rPr>
            </w:pPr>
            <w:r>
              <w:rPr>
                <w:rFonts w:ascii="Arial" w:cs="Arial" w:eastAsia="Arial" w:hAnsi="Arial"/>
                <w:sz w:val="18"/>
                <w:szCs w:val="18"/>
                <w:color w:val="auto"/>
              </w:rPr>
              <w:t>Risk weighted assets</w:t>
            </w:r>
          </w:p>
        </w:tc>
        <w:tc>
          <w:tcPr>
            <w:tcW w:w="13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5,601,518</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6,350,544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140" w:type="dxa"/>
            <w:vAlign w:val="bottom"/>
          </w:tcPr>
          <w:p>
            <w:pPr>
              <w:spacing w:after="0"/>
              <w:rPr>
                <w:sz w:val="20"/>
                <w:szCs w:val="20"/>
                <w:color w:val="auto"/>
              </w:rPr>
            </w:pPr>
            <w:r>
              <w:rPr>
                <w:rFonts w:ascii="Arial" w:cs="Arial" w:eastAsia="Arial" w:hAnsi="Arial"/>
                <w:sz w:val="18"/>
                <w:szCs w:val="18"/>
                <w:color w:val="auto"/>
              </w:rPr>
              <w:t>Tier 1 capital ratio</w:t>
            </w: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18.71%</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16.61%</w:t>
            </w:r>
          </w:p>
        </w:tc>
        <w:tc>
          <w:tcPr>
            <w:tcW w:w="0" w:type="dxa"/>
            <w:vAlign w:val="bottom"/>
          </w:tcPr>
          <w:p>
            <w:pPr>
              <w:spacing w:after="0"/>
              <w:rPr>
                <w:sz w:val="1"/>
                <w:szCs w:val="1"/>
                <w:color w:val="auto"/>
              </w:rPr>
            </w:pPr>
          </w:p>
        </w:tc>
      </w:tr>
    </w:tbl>
    <w:p>
      <w:pPr>
        <w:spacing w:after="0" w:line="400" w:lineRule="exact"/>
        <w:rPr>
          <w:sz w:val="20"/>
          <w:szCs w:val="20"/>
          <w:color w:val="auto"/>
        </w:rPr>
      </w:pPr>
    </w:p>
    <w:p>
      <w:pPr>
        <w:ind w:left="400"/>
        <w:spacing w:after="0"/>
        <w:rPr>
          <w:sz w:val="20"/>
          <w:szCs w:val="20"/>
          <w:color w:val="auto"/>
        </w:rPr>
      </w:pPr>
      <w:r>
        <w:rPr>
          <w:rFonts w:ascii="Arial" w:cs="Arial" w:eastAsia="Arial" w:hAnsi="Arial"/>
          <w:sz w:val="18"/>
          <w:szCs w:val="18"/>
          <w:b w:val="1"/>
          <w:bCs w:val="1"/>
          <w:color w:val="auto"/>
        </w:rPr>
        <w:t>28. Subsequent Events</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Bladex announced a quarterly cash dividend of $15,180 which represents $0.385 US dollar cent per share corresponding to the 4th quarter of 2017. The cash dividend was approved by the Board of Directors at its meeting held on January 16, 2018 and it is payable on February 21, 2018 to the Bank’s stockholders as of February 2, 2018 record date. Additionally, during the first quarter of 2018, the Bank approved variable compensation for the amount of $5,500.</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224" w:name="page225"/>
    <w:bookmarkEnd w:id="224"/>
    <w:p>
      <w:pPr>
        <w:jc w:val="right"/>
        <w:spacing w:after="0"/>
        <w:rPr>
          <w:sz w:val="20"/>
          <w:szCs w:val="20"/>
          <w:color w:val="auto"/>
        </w:rPr>
      </w:pPr>
      <w:r>
        <w:rPr>
          <w:rFonts w:ascii="Arial" w:cs="Arial" w:eastAsia="Arial" w:hAnsi="Arial"/>
          <w:sz w:val="18"/>
          <w:szCs w:val="18"/>
          <w:b w:val="1"/>
          <w:bCs w:val="1"/>
          <w:color w:val="auto"/>
        </w:rPr>
        <w:t>Exhibit 8.1</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700" w:type="dxa"/>
            <w:vAlign w:val="bottom"/>
          </w:tcPr>
          <w:p>
            <w:pPr>
              <w:ind w:left="3140"/>
              <w:spacing w:after="0"/>
              <w:rPr>
                <w:sz w:val="20"/>
                <w:szCs w:val="20"/>
                <w:color w:val="auto"/>
              </w:rPr>
            </w:pPr>
            <w:r>
              <w:rPr>
                <w:rFonts w:ascii="Arial" w:cs="Arial" w:eastAsia="Arial" w:hAnsi="Arial"/>
                <w:sz w:val="18"/>
                <w:szCs w:val="18"/>
                <w:b w:val="1"/>
                <w:bCs w:val="1"/>
                <w:color w:val="auto"/>
                <w:w w:val="97"/>
              </w:rPr>
              <w:t>Subsidiaries of Banco Latinoamericano de Comercio Exterior, S.A.</w:t>
            </w:r>
          </w:p>
        </w:tc>
        <w:tc>
          <w:tcPr>
            <w:tcW w:w="2720" w:type="dxa"/>
            <w:vAlign w:val="bottom"/>
          </w:tcPr>
          <w:p>
            <w:pPr>
              <w:spacing w:after="0"/>
              <w:rPr>
                <w:sz w:val="20"/>
                <w:szCs w:val="20"/>
                <w:color w:val="auto"/>
              </w:rPr>
            </w:pPr>
          </w:p>
        </w:tc>
      </w:tr>
      <w:tr>
        <w:trPr>
          <w:trHeight w:val="414"/>
        </w:trPr>
        <w:tc>
          <w:tcPr>
            <w:tcW w:w="8700" w:type="dxa"/>
            <w:vAlign w:val="bottom"/>
          </w:tcPr>
          <w:p>
            <w:pPr>
              <w:spacing w:after="0"/>
              <w:rPr>
                <w:sz w:val="24"/>
                <w:szCs w:val="24"/>
                <w:color w:val="auto"/>
              </w:rPr>
            </w:pPr>
          </w:p>
        </w:tc>
        <w:tc>
          <w:tcPr>
            <w:tcW w:w="2720" w:type="dxa"/>
            <w:vAlign w:val="bottom"/>
          </w:tcPr>
          <w:p>
            <w:pPr>
              <w:ind w:left="440"/>
              <w:spacing w:after="0"/>
              <w:rPr>
                <w:sz w:val="20"/>
                <w:szCs w:val="20"/>
                <w:color w:val="auto"/>
              </w:rPr>
            </w:pPr>
            <w:r>
              <w:rPr>
                <w:rFonts w:ascii="Arial" w:cs="Arial" w:eastAsia="Arial" w:hAnsi="Arial"/>
                <w:sz w:val="18"/>
                <w:szCs w:val="18"/>
                <w:b w:val="1"/>
                <w:bCs w:val="1"/>
                <w:color w:val="auto"/>
              </w:rPr>
              <w:t>Jurisdiction of</w:t>
            </w:r>
          </w:p>
        </w:tc>
      </w:tr>
      <w:tr>
        <w:trPr>
          <w:trHeight w:val="234"/>
        </w:trPr>
        <w:tc>
          <w:tcPr>
            <w:tcW w:w="8700" w:type="dxa"/>
            <w:vAlign w:val="bottom"/>
          </w:tcPr>
          <w:p>
            <w:pPr>
              <w:spacing w:after="0"/>
              <w:rPr>
                <w:sz w:val="20"/>
                <w:szCs w:val="20"/>
                <w:color w:val="auto"/>
              </w:rPr>
            </w:pPr>
            <w:r>
              <w:rPr>
                <w:rFonts w:ascii="Arial" w:cs="Arial" w:eastAsia="Arial" w:hAnsi="Arial"/>
                <w:sz w:val="18"/>
                <w:szCs w:val="18"/>
                <w:b w:val="1"/>
                <w:bCs w:val="1"/>
                <w:color w:val="auto"/>
              </w:rPr>
              <w:t>Name of Subsidiary</w:t>
            </w:r>
          </w:p>
        </w:tc>
        <w:tc>
          <w:tcPr>
            <w:tcW w:w="2720" w:type="dxa"/>
            <w:vAlign w:val="bottom"/>
          </w:tcPr>
          <w:p>
            <w:pPr>
              <w:ind w:left="440"/>
              <w:spacing w:after="0"/>
              <w:rPr>
                <w:sz w:val="20"/>
                <w:szCs w:val="20"/>
                <w:color w:val="auto"/>
              </w:rPr>
            </w:pPr>
            <w:r>
              <w:rPr>
                <w:rFonts w:ascii="Arial" w:cs="Arial" w:eastAsia="Arial" w:hAnsi="Arial"/>
                <w:sz w:val="18"/>
                <w:szCs w:val="18"/>
                <w:b w:val="1"/>
                <w:bCs w:val="1"/>
                <w:color w:val="auto"/>
              </w:rPr>
              <w:t>Incorporation</w:t>
            </w:r>
          </w:p>
        </w:tc>
      </w:tr>
      <w:tr>
        <w:trPr>
          <w:trHeight w:val="432"/>
        </w:trPr>
        <w:tc>
          <w:tcPr>
            <w:tcW w:w="8700" w:type="dxa"/>
            <w:vAlign w:val="bottom"/>
          </w:tcPr>
          <w:p>
            <w:pPr>
              <w:spacing w:after="0"/>
              <w:rPr>
                <w:sz w:val="20"/>
                <w:szCs w:val="20"/>
                <w:color w:val="auto"/>
              </w:rPr>
            </w:pPr>
            <w:r>
              <w:rPr>
                <w:rFonts w:ascii="Arial" w:cs="Arial" w:eastAsia="Arial" w:hAnsi="Arial"/>
                <w:sz w:val="18"/>
                <w:szCs w:val="18"/>
                <w:color w:val="auto"/>
              </w:rPr>
              <w:t>Bladex Holdings Inc.</w:t>
            </w:r>
          </w:p>
        </w:tc>
        <w:tc>
          <w:tcPr>
            <w:tcW w:w="2720" w:type="dxa"/>
            <w:vAlign w:val="bottom"/>
          </w:tcPr>
          <w:p>
            <w:pPr>
              <w:ind w:left="440"/>
              <w:spacing w:after="0"/>
              <w:rPr>
                <w:sz w:val="20"/>
                <w:szCs w:val="20"/>
                <w:color w:val="auto"/>
              </w:rPr>
            </w:pPr>
            <w:r>
              <w:rPr>
                <w:rFonts w:ascii="Arial" w:cs="Arial" w:eastAsia="Arial" w:hAnsi="Arial"/>
                <w:sz w:val="18"/>
                <w:szCs w:val="18"/>
                <w:color w:val="auto"/>
              </w:rPr>
              <w:t>United States</w:t>
            </w:r>
          </w:p>
        </w:tc>
      </w:tr>
      <w:tr>
        <w:trPr>
          <w:trHeight w:val="432"/>
        </w:trPr>
        <w:tc>
          <w:tcPr>
            <w:tcW w:w="8700" w:type="dxa"/>
            <w:vAlign w:val="bottom"/>
          </w:tcPr>
          <w:p>
            <w:pPr>
              <w:spacing w:after="0"/>
              <w:rPr>
                <w:sz w:val="20"/>
                <w:szCs w:val="20"/>
                <w:color w:val="auto"/>
              </w:rPr>
            </w:pPr>
            <w:r>
              <w:rPr>
                <w:rFonts w:ascii="Arial" w:cs="Arial" w:eastAsia="Arial" w:hAnsi="Arial"/>
                <w:sz w:val="18"/>
                <w:szCs w:val="18"/>
                <w:color w:val="auto"/>
              </w:rPr>
              <w:t>Bladex Representação Ltda.</w:t>
            </w:r>
          </w:p>
        </w:tc>
        <w:tc>
          <w:tcPr>
            <w:tcW w:w="2720" w:type="dxa"/>
            <w:vAlign w:val="bottom"/>
          </w:tcPr>
          <w:p>
            <w:pPr>
              <w:ind w:left="440"/>
              <w:spacing w:after="0"/>
              <w:rPr>
                <w:sz w:val="20"/>
                <w:szCs w:val="20"/>
                <w:color w:val="auto"/>
              </w:rPr>
            </w:pPr>
            <w:r>
              <w:rPr>
                <w:rFonts w:ascii="Arial" w:cs="Arial" w:eastAsia="Arial" w:hAnsi="Arial"/>
                <w:sz w:val="18"/>
                <w:szCs w:val="18"/>
                <w:color w:val="auto"/>
              </w:rPr>
              <w:t>Brazil</w:t>
            </w:r>
          </w:p>
        </w:tc>
      </w:tr>
      <w:tr>
        <w:trPr>
          <w:trHeight w:val="432"/>
        </w:trPr>
        <w:tc>
          <w:tcPr>
            <w:tcW w:w="8700" w:type="dxa"/>
            <w:vAlign w:val="bottom"/>
          </w:tcPr>
          <w:p>
            <w:pPr>
              <w:spacing w:after="0"/>
              <w:rPr>
                <w:sz w:val="20"/>
                <w:szCs w:val="20"/>
                <w:color w:val="auto"/>
              </w:rPr>
            </w:pPr>
            <w:r>
              <w:rPr>
                <w:rFonts w:ascii="Arial" w:cs="Arial" w:eastAsia="Arial" w:hAnsi="Arial"/>
                <w:sz w:val="18"/>
                <w:szCs w:val="18"/>
                <w:color w:val="auto"/>
              </w:rPr>
              <w:t>Bladex Development Corp.</w:t>
            </w:r>
          </w:p>
        </w:tc>
        <w:tc>
          <w:tcPr>
            <w:tcW w:w="2720" w:type="dxa"/>
            <w:vAlign w:val="bottom"/>
          </w:tcPr>
          <w:p>
            <w:pPr>
              <w:ind w:left="440"/>
              <w:spacing w:after="0"/>
              <w:rPr>
                <w:sz w:val="20"/>
                <w:szCs w:val="20"/>
                <w:color w:val="auto"/>
              </w:rPr>
            </w:pPr>
            <w:r>
              <w:rPr>
                <w:rFonts w:ascii="Arial" w:cs="Arial" w:eastAsia="Arial" w:hAnsi="Arial"/>
                <w:sz w:val="18"/>
                <w:szCs w:val="18"/>
                <w:color w:val="auto"/>
              </w:rPr>
              <w:t>Panama</w:t>
            </w:r>
          </w:p>
        </w:tc>
      </w:tr>
      <w:tr>
        <w:trPr>
          <w:trHeight w:val="432"/>
        </w:trPr>
        <w:tc>
          <w:tcPr>
            <w:tcW w:w="8700" w:type="dxa"/>
            <w:vAlign w:val="bottom"/>
          </w:tcPr>
          <w:p>
            <w:pPr>
              <w:spacing w:after="0"/>
              <w:rPr>
                <w:sz w:val="20"/>
                <w:szCs w:val="20"/>
                <w:color w:val="auto"/>
              </w:rPr>
            </w:pPr>
            <w:r>
              <w:rPr>
                <w:rFonts w:ascii="Arial" w:cs="Arial" w:eastAsia="Arial" w:hAnsi="Arial"/>
                <w:sz w:val="18"/>
                <w:szCs w:val="18"/>
                <w:color w:val="auto"/>
              </w:rPr>
              <w:t>BLX Soluciones, S.A. de C.V., SOFOM, E.N.R.</w:t>
            </w:r>
          </w:p>
        </w:tc>
        <w:tc>
          <w:tcPr>
            <w:tcW w:w="2720" w:type="dxa"/>
            <w:vAlign w:val="bottom"/>
          </w:tcPr>
          <w:p>
            <w:pPr>
              <w:ind w:left="440"/>
              <w:spacing w:after="0"/>
              <w:rPr>
                <w:sz w:val="20"/>
                <w:szCs w:val="20"/>
                <w:color w:val="auto"/>
              </w:rPr>
            </w:pPr>
            <w:r>
              <w:rPr>
                <w:rFonts w:ascii="Arial" w:cs="Arial" w:eastAsia="Arial" w:hAnsi="Arial"/>
                <w:sz w:val="18"/>
                <w:szCs w:val="18"/>
                <w:color w:val="auto"/>
              </w:rPr>
              <w:t>Mexico</w:t>
            </w:r>
          </w:p>
        </w:tc>
      </w:tr>
      <w:tr>
        <w:trPr>
          <w:trHeight w:val="675"/>
        </w:trPr>
        <w:tc>
          <w:tcPr>
            <w:tcW w:w="870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364" w:right="239" w:bottom="1440" w:gutter="0" w:footer="0" w:header="0"/>
        </w:sectPr>
      </w:pPr>
    </w:p>
    <w:bookmarkStart w:id="225" w:name="page226"/>
    <w:bookmarkEnd w:id="225"/>
    <w:p>
      <w:pPr>
        <w:jc w:val="right"/>
        <w:spacing w:after="0"/>
        <w:rPr>
          <w:sz w:val="20"/>
          <w:szCs w:val="20"/>
          <w:color w:val="auto"/>
        </w:rPr>
      </w:pPr>
      <w:r>
        <w:rPr>
          <w:rFonts w:ascii="Arial" w:cs="Arial" w:eastAsia="Arial" w:hAnsi="Arial"/>
          <w:sz w:val="18"/>
          <w:szCs w:val="18"/>
          <w:b w:val="1"/>
          <w:bCs w:val="1"/>
          <w:color w:val="auto"/>
        </w:rPr>
        <w:t>Exhibit 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2475230</wp:posOffset>
            </wp:positionH>
            <wp:positionV relativeFrom="paragraph">
              <wp:posOffset>154940</wp:posOffset>
            </wp:positionV>
            <wp:extent cx="2315210" cy="1063625"/>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03">
                      <a:extLst>
                        <a:ext uri="{28A0092B-C50C-407E-A947-70E740481C1C}"/>
                      </a:extLst>
                    </a:blip>
                    <a:srcRect/>
                    <a:stretch>
                      <a:fillRect/>
                    </a:stretch>
                  </pic:blipFill>
                  <pic:spPr bwMode="auto">
                    <a:xfrm>
                      <a:off x="0" y="0"/>
                      <a:ext cx="2315210" cy="10636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rPr>
          <w:sz w:val="20"/>
          <w:szCs w:val="20"/>
          <w:color w:val="auto"/>
        </w:rPr>
      </w:pPr>
      <w:r>
        <w:rPr>
          <w:rFonts w:ascii="Arial" w:cs="Arial" w:eastAsia="Arial" w:hAnsi="Arial"/>
          <w:sz w:val="43"/>
          <w:szCs w:val="43"/>
          <w:b w:val="1"/>
          <w:bCs w:val="1"/>
          <w:color w:val="auto"/>
        </w:rPr>
        <w:t>CODE OF ETHICS</w:t>
      </w:r>
    </w:p>
    <w:p>
      <w:pPr>
        <w:spacing w:after="0" w:line="24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UPDATED: August 2017</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Approved by the Board of Directors at their meeting held on August 15, 2017, as stated in the respective minutes.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64" w:right="239" w:bottom="1440" w:gutter="0" w:footer="0" w:header="0"/>
        </w:sectPr>
      </w:pPr>
    </w:p>
    <w:bookmarkStart w:id="226" w:name="page227"/>
    <w:bookmarkEnd w:id="226"/>
    <w:p>
      <w:pPr>
        <w:jc w:val="center"/>
        <w:spacing w:after="0"/>
        <w:rPr>
          <w:sz w:val="20"/>
          <w:szCs w:val="20"/>
          <w:color w:val="auto"/>
        </w:rPr>
      </w:pPr>
      <w:r>
        <w:rPr>
          <w:rFonts w:ascii="Arial" w:cs="Arial" w:eastAsia="Arial" w:hAnsi="Arial"/>
          <w:sz w:val="18"/>
          <w:szCs w:val="18"/>
          <w:b w:val="1"/>
          <w:bCs w:val="1"/>
          <w:color w:val="auto"/>
        </w:rPr>
        <w:t>PROLOGUE</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This Code of Ethics (hereinafter referred to as the “Code” of the Banco Latinoamericano de Comercio Exterior, S.A. (The Foreign Trade bank of Latin America, Inc. (hereinafter also called “Bladex” the “Bank”, the “Institution”, the “Organization” or “us”) contains the general principles and policies that should guide the ethical-professional conduct of the Organization’s Employees and Directors. Its objective is to uphold the values that are considered to be fundamental for a proper conduct of the Institution’s business and management, in line with the principles and values of the Bank that, as a regional Bank, with a shareholding structure representing both the public and the private sectors, conjugates a series of interests that require guidelines for undertaking its business and activities.</w:t>
      </w:r>
    </w:p>
    <w:p>
      <w:pPr>
        <w:spacing w:after="0" w:line="19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It is essential for the Institution to have a clear direction of the Organization in line with the fundamental principles and values of human beings and the environment in which we operate; hence this Code aims to define the action framework that would enable us to attain such commitment. People and work become one, discarding any duality or incoherence between the work and individual behavior in the concrete undertaking of business and vis-à-vis the shareholders.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Customers should not only receive products of an adequate quality according to their price, but also an honest, transparent and trustworthy treatment. Each shareholder, in turn, deserves to receive, from Bladex, a precise, timely and transparent accounting. The Institution has a moral responsibility to look after the interests of all those involved in its activities, even more so when considering that we are a financial entity that depends on the trust people have placed in us.</w:t>
      </w:r>
    </w:p>
    <w:p>
      <w:pPr>
        <w:spacing w:after="0" w:line="187"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The Bank is a company that works with the money and securities of third parties, a particularity that requires trust and honesty in each of its functions, both toward the inside as well as to the outside of the Organization. The relationship between the Bank and its Shareholders, Employees, Customers, Suppliers and its social environment is based on trust, correctness and honesty, which will make it possible for all participants in the system to trust each other.</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This trust depends on the way that Bladex members put the Organization’s values in practice when they go about their jobs, thus extolling the high ethical standards being promoted by Bladex, the preservation of the confidentiality of its Customers’ information, the avoidance of conflicts of interest and the compliance with the laws and regulations governing the Bank’s activities.</w:t>
      </w:r>
    </w:p>
    <w:p>
      <w:pPr>
        <w:spacing w:after="0" w:line="18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Bladex does neither finance any business, nor intents to get into any business relationship with financial institutions or companies that do not follow such ethical standards, nor with those of which we are aware of their participation in unlawful or degrading businesses or such business as may go against public security or be harmful to the environment or that may not fully comply with current legal dispositions in force. We uphold a policy of complete rejection of and auto-protection against, any activities that may be linked to money laundering, the financing of terrorism, the financing of the proliferation of weapons of mass destruction, fraud, graft, corruption or similar practices, whatever their derivation may be and it is the obligation of each member of this Organization to join forces with the different actions being promoted in that sense for monitoring, detecting or helping to identify and reject any activity that might violate this Policy.</w:t>
      </w:r>
    </w:p>
    <w:p>
      <w:pPr>
        <w:spacing w:after="0" w:line="200" w:lineRule="exact"/>
        <w:rPr>
          <w:sz w:val="20"/>
          <w:szCs w:val="20"/>
          <w:color w:val="auto"/>
        </w:rPr>
      </w:pPr>
    </w:p>
    <w:p>
      <w:pPr>
        <w:spacing w:after="0" w:line="20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0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27" w:name="page228"/>
    <w:bookmarkEnd w:id="227"/>
    <w:p>
      <w:pPr>
        <w:spacing w:after="0" w:line="277" w:lineRule="auto"/>
        <w:rPr>
          <w:sz w:val="20"/>
          <w:szCs w:val="20"/>
          <w:color w:val="auto"/>
        </w:rPr>
      </w:pPr>
      <w:r>
        <w:rPr>
          <w:rFonts w:ascii="Arial" w:cs="Arial" w:eastAsia="Arial" w:hAnsi="Arial"/>
          <w:sz w:val="18"/>
          <w:szCs w:val="18"/>
          <w:color w:val="auto"/>
        </w:rPr>
        <w:t>For certain specific matters that require detailed regulations, the norms of this Code shall be developed or complemented with those set forth in the manuals, policies and guidelines that are currently in force, as they may be revised from time to time, or as they may be issued in future.</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228" w:name="page229"/>
    <w:bookmarkEnd w:id="228"/>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9960" w:type="dxa"/>
            <w:vAlign w:val="bottom"/>
          </w:tcPr>
          <w:p>
            <w:pPr>
              <w:ind w:left="4180"/>
              <w:spacing w:after="0"/>
              <w:rPr>
                <w:sz w:val="20"/>
                <w:szCs w:val="20"/>
                <w:color w:val="auto"/>
              </w:rPr>
            </w:pPr>
            <w:r>
              <w:rPr>
                <w:rFonts w:ascii="Arial" w:cs="Arial" w:eastAsia="Arial" w:hAnsi="Arial"/>
                <w:sz w:val="18"/>
                <w:szCs w:val="18"/>
                <w:b w:val="1"/>
                <w:bCs w:val="1"/>
                <w:color w:val="auto"/>
              </w:rPr>
              <w:t>CONTENTS</w:t>
            </w:r>
          </w:p>
        </w:tc>
        <w:tc>
          <w:tcPr>
            <w:tcW w:w="4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0980" w:type="dxa"/>
            <w:vAlign w:val="bottom"/>
            <w:gridSpan w:val="2"/>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109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I.  INTRODUCTION</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980" w:type="dxa"/>
            <w:vAlign w:val="bottom"/>
            <w:gridSpan w:val="2"/>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980" w:type="dxa"/>
            <w:vAlign w:val="bottom"/>
            <w:gridSpan w:val="2"/>
            <w:shd w:val="clear" w:color="auto" w:fill="CCEEFF"/>
          </w:tcPr>
          <w:p>
            <w:pPr>
              <w:ind w:left="160"/>
              <w:spacing w:after="0"/>
              <w:rPr>
                <w:sz w:val="20"/>
                <w:szCs w:val="20"/>
                <w:color w:val="auto"/>
              </w:rPr>
            </w:pPr>
            <w:r>
              <w:rPr>
                <w:rFonts w:ascii="Arial" w:cs="Arial" w:eastAsia="Arial" w:hAnsi="Arial"/>
                <w:sz w:val="18"/>
                <w:szCs w:val="18"/>
                <w:b w:val="1"/>
                <w:bCs w:val="1"/>
                <w:color w:val="auto"/>
              </w:rPr>
              <w:t>General Principles and Objectives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0980" w:type="dxa"/>
            <w:vAlign w:val="bottom"/>
            <w:gridSpan w:val="2"/>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109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II.  PEOPLE THAT ARE SUBJECT TO COMPLYING WITH THIS CODE</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0980" w:type="dxa"/>
            <w:vAlign w:val="bottom"/>
            <w:gridSpan w:val="2"/>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109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III.  FUNDAMENTAL PRINCIPLES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99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III.1.</w:t>
            </w:r>
          </w:p>
        </w:tc>
        <w:tc>
          <w:tcPr>
            <w:tcW w:w="99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Personal Finances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99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III.2.</w:t>
            </w:r>
          </w:p>
        </w:tc>
        <w:tc>
          <w:tcPr>
            <w:tcW w:w="99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Conflicts of Interest</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ind w:left="320"/>
              <w:spacing w:after="0"/>
              <w:rPr>
                <w:sz w:val="20"/>
                <w:szCs w:val="20"/>
                <w:color w:val="auto"/>
              </w:rPr>
            </w:pPr>
            <w:r>
              <w:rPr>
                <w:rFonts w:ascii="Arial" w:cs="Arial" w:eastAsia="Arial" w:hAnsi="Arial"/>
                <w:sz w:val="18"/>
                <w:szCs w:val="18"/>
                <w:color w:val="auto"/>
              </w:rPr>
              <w:t>III.2.a.</w:t>
            </w:r>
          </w:p>
        </w:tc>
        <w:tc>
          <w:tcPr>
            <w:tcW w:w="9960" w:type="dxa"/>
            <w:vAlign w:val="bottom"/>
          </w:tcPr>
          <w:p>
            <w:pPr>
              <w:ind w:left="280"/>
              <w:spacing w:after="0"/>
              <w:rPr>
                <w:sz w:val="20"/>
                <w:szCs w:val="20"/>
                <w:color w:val="auto"/>
              </w:rPr>
            </w:pPr>
            <w:r>
              <w:rPr>
                <w:rFonts w:ascii="Arial" w:cs="Arial" w:eastAsia="Arial" w:hAnsi="Arial"/>
                <w:sz w:val="18"/>
                <w:szCs w:val="18"/>
                <w:color w:val="auto"/>
              </w:rPr>
              <w:t>Transactions with Related Parties</w:t>
            </w:r>
          </w:p>
        </w:tc>
        <w:tc>
          <w:tcPr>
            <w:tcW w:w="420" w:type="dxa"/>
            <w:vAlign w:val="bottom"/>
          </w:tcPr>
          <w:p>
            <w:pPr>
              <w:jc w:val="right"/>
              <w:spacing w:after="0"/>
              <w:rPr>
                <w:sz w:val="20"/>
                <w:szCs w:val="20"/>
                <w:color w:val="auto"/>
              </w:rPr>
            </w:pPr>
            <w:r>
              <w:rPr>
                <w:rFonts w:ascii="Arial" w:cs="Arial" w:eastAsia="Arial" w:hAnsi="Arial"/>
                <w:sz w:val="18"/>
                <w:szCs w:val="18"/>
                <w:color w:val="auto"/>
              </w:rPr>
              <w:t>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III.2.b.</w:t>
            </w:r>
          </w:p>
        </w:tc>
        <w:tc>
          <w:tcPr>
            <w:tcW w:w="9960" w:type="dxa"/>
            <w:vAlign w:val="bottom"/>
            <w:shd w:val="clear" w:color="auto" w:fill="CCEEFF"/>
          </w:tcPr>
          <w:p>
            <w:pPr>
              <w:ind w:left="280"/>
              <w:spacing w:after="0"/>
              <w:rPr>
                <w:sz w:val="20"/>
                <w:szCs w:val="20"/>
                <w:color w:val="auto"/>
              </w:rPr>
            </w:pPr>
            <w:r>
              <w:rPr>
                <w:rFonts w:ascii="Arial" w:cs="Arial" w:eastAsia="Arial" w:hAnsi="Arial"/>
                <w:sz w:val="18"/>
                <w:szCs w:val="18"/>
                <w:color w:val="auto"/>
              </w:rPr>
              <w:t>Invitations and Gifts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ind w:left="320"/>
              <w:spacing w:after="0"/>
              <w:rPr>
                <w:sz w:val="20"/>
                <w:szCs w:val="20"/>
                <w:color w:val="auto"/>
              </w:rPr>
            </w:pPr>
            <w:r>
              <w:rPr>
                <w:rFonts w:ascii="Arial" w:cs="Arial" w:eastAsia="Arial" w:hAnsi="Arial"/>
                <w:sz w:val="18"/>
                <w:szCs w:val="18"/>
                <w:color w:val="auto"/>
              </w:rPr>
              <w:t>III.2.c.</w:t>
            </w:r>
          </w:p>
        </w:tc>
        <w:tc>
          <w:tcPr>
            <w:tcW w:w="9960" w:type="dxa"/>
            <w:vAlign w:val="bottom"/>
          </w:tcPr>
          <w:p>
            <w:pPr>
              <w:ind w:left="280"/>
              <w:spacing w:after="0"/>
              <w:rPr>
                <w:sz w:val="20"/>
                <w:szCs w:val="20"/>
                <w:color w:val="auto"/>
              </w:rPr>
            </w:pPr>
            <w:r>
              <w:rPr>
                <w:rFonts w:ascii="Arial" w:cs="Arial" w:eastAsia="Arial" w:hAnsi="Arial"/>
                <w:sz w:val="18"/>
                <w:szCs w:val="18"/>
                <w:color w:val="auto"/>
              </w:rPr>
              <w:t>Delivering Corporate Gifts and Hand-Outs</w:t>
            </w:r>
          </w:p>
        </w:tc>
        <w:tc>
          <w:tcPr>
            <w:tcW w:w="420" w:type="dxa"/>
            <w:vAlign w:val="bottom"/>
          </w:tcPr>
          <w:p>
            <w:pPr>
              <w:jc w:val="right"/>
              <w:spacing w:after="0"/>
              <w:rPr>
                <w:sz w:val="20"/>
                <w:szCs w:val="20"/>
                <w:color w:val="auto"/>
              </w:rPr>
            </w:pPr>
            <w:r>
              <w:rPr>
                <w:rFonts w:ascii="Arial" w:cs="Arial" w:eastAsia="Arial" w:hAnsi="Arial"/>
                <w:sz w:val="18"/>
                <w:szCs w:val="18"/>
                <w:color w:val="auto"/>
              </w:rPr>
              <w:t>8</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III.2.d.</w:t>
            </w:r>
          </w:p>
        </w:tc>
        <w:tc>
          <w:tcPr>
            <w:tcW w:w="9960" w:type="dxa"/>
            <w:vAlign w:val="bottom"/>
            <w:shd w:val="clear" w:color="auto" w:fill="CCEEFF"/>
          </w:tcPr>
          <w:p>
            <w:pPr>
              <w:ind w:left="280"/>
              <w:spacing w:after="0"/>
              <w:rPr>
                <w:sz w:val="20"/>
                <w:szCs w:val="20"/>
                <w:color w:val="auto"/>
              </w:rPr>
            </w:pPr>
            <w:r>
              <w:rPr>
                <w:rFonts w:ascii="Arial" w:cs="Arial" w:eastAsia="Arial" w:hAnsi="Arial"/>
                <w:sz w:val="18"/>
                <w:szCs w:val="18"/>
                <w:color w:val="auto"/>
              </w:rPr>
              <w:t>Relationships with Vendors, Suppliers and Providers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ind w:left="320"/>
              <w:spacing w:after="0"/>
              <w:rPr>
                <w:sz w:val="20"/>
                <w:szCs w:val="20"/>
                <w:color w:val="auto"/>
              </w:rPr>
            </w:pPr>
            <w:r>
              <w:rPr>
                <w:rFonts w:ascii="Arial" w:cs="Arial" w:eastAsia="Arial" w:hAnsi="Arial"/>
                <w:sz w:val="18"/>
                <w:szCs w:val="18"/>
                <w:color w:val="auto"/>
              </w:rPr>
              <w:t>III.2.e.</w:t>
            </w:r>
          </w:p>
        </w:tc>
        <w:tc>
          <w:tcPr>
            <w:tcW w:w="9960" w:type="dxa"/>
            <w:vAlign w:val="bottom"/>
          </w:tcPr>
          <w:p>
            <w:pPr>
              <w:ind w:left="280"/>
              <w:spacing w:after="0"/>
              <w:rPr>
                <w:sz w:val="20"/>
                <w:szCs w:val="20"/>
                <w:color w:val="auto"/>
              </w:rPr>
            </w:pPr>
            <w:r>
              <w:rPr>
                <w:rFonts w:ascii="Arial" w:cs="Arial" w:eastAsia="Arial" w:hAnsi="Arial"/>
                <w:sz w:val="18"/>
                <w:szCs w:val="18"/>
                <w:color w:val="auto"/>
              </w:rPr>
              <w:t>Travel Per-Diem and Expenses to be Reported</w:t>
            </w:r>
          </w:p>
        </w:tc>
        <w:tc>
          <w:tcPr>
            <w:tcW w:w="420" w:type="dxa"/>
            <w:vAlign w:val="bottom"/>
          </w:tcPr>
          <w:p>
            <w:pPr>
              <w:jc w:val="right"/>
              <w:spacing w:after="0"/>
              <w:rPr>
                <w:sz w:val="20"/>
                <w:szCs w:val="20"/>
                <w:color w:val="auto"/>
              </w:rPr>
            </w:pPr>
            <w:r>
              <w:rPr>
                <w:rFonts w:ascii="Arial" w:cs="Arial" w:eastAsia="Arial" w:hAnsi="Arial"/>
                <w:sz w:val="18"/>
                <w:szCs w:val="18"/>
                <w:color w:val="auto"/>
              </w:rPr>
              <w:t>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III.2.f.</w:t>
            </w:r>
          </w:p>
        </w:tc>
        <w:tc>
          <w:tcPr>
            <w:tcW w:w="9960" w:type="dxa"/>
            <w:vAlign w:val="bottom"/>
            <w:shd w:val="clear" w:color="auto" w:fill="CCEEFF"/>
          </w:tcPr>
          <w:p>
            <w:pPr>
              <w:ind w:left="280"/>
              <w:spacing w:after="0"/>
              <w:rPr>
                <w:sz w:val="20"/>
                <w:szCs w:val="20"/>
                <w:color w:val="auto"/>
              </w:rPr>
            </w:pPr>
            <w:r>
              <w:rPr>
                <w:rFonts w:ascii="Arial" w:cs="Arial" w:eastAsia="Arial" w:hAnsi="Arial"/>
                <w:sz w:val="18"/>
                <w:szCs w:val="18"/>
                <w:color w:val="auto"/>
              </w:rPr>
              <w:t>Using Insider Information and other Related Aspects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ind w:left="320"/>
              <w:spacing w:after="0"/>
              <w:rPr>
                <w:sz w:val="20"/>
                <w:szCs w:val="20"/>
                <w:color w:val="auto"/>
              </w:rPr>
            </w:pPr>
            <w:r>
              <w:rPr>
                <w:rFonts w:ascii="Arial" w:cs="Arial" w:eastAsia="Arial" w:hAnsi="Arial"/>
                <w:sz w:val="18"/>
                <w:szCs w:val="18"/>
                <w:color w:val="auto"/>
              </w:rPr>
              <w:t>III.2.f.1.</w:t>
            </w:r>
          </w:p>
        </w:tc>
        <w:tc>
          <w:tcPr>
            <w:tcW w:w="9960" w:type="dxa"/>
            <w:vAlign w:val="bottom"/>
          </w:tcPr>
          <w:p>
            <w:pPr>
              <w:ind w:left="280"/>
              <w:spacing w:after="0"/>
              <w:rPr>
                <w:sz w:val="20"/>
                <w:szCs w:val="20"/>
                <w:color w:val="auto"/>
              </w:rPr>
            </w:pPr>
            <w:r>
              <w:rPr>
                <w:rFonts w:ascii="Arial" w:cs="Arial" w:eastAsia="Arial" w:hAnsi="Arial"/>
                <w:sz w:val="18"/>
                <w:szCs w:val="18"/>
                <w:color w:val="auto"/>
              </w:rPr>
              <w:t>Open Period (Window Period) and Restricted Period (Black-Out Period)</w:t>
            </w:r>
          </w:p>
        </w:tc>
        <w:tc>
          <w:tcPr>
            <w:tcW w:w="420" w:type="dxa"/>
            <w:vAlign w:val="bottom"/>
          </w:tcPr>
          <w:p>
            <w:pPr>
              <w:jc w:val="right"/>
              <w:spacing w:after="0"/>
              <w:rPr>
                <w:sz w:val="20"/>
                <w:szCs w:val="20"/>
                <w:color w:val="auto"/>
              </w:rPr>
            </w:pPr>
            <w:r>
              <w:rPr>
                <w:rFonts w:ascii="Arial" w:cs="Arial" w:eastAsia="Arial" w:hAnsi="Arial"/>
                <w:sz w:val="18"/>
                <w:szCs w:val="18"/>
                <w:color w:val="auto"/>
              </w:rPr>
              <w:t>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III.2.f.3.</w:t>
            </w:r>
          </w:p>
        </w:tc>
        <w:tc>
          <w:tcPr>
            <w:tcW w:w="9960" w:type="dxa"/>
            <w:vAlign w:val="bottom"/>
            <w:shd w:val="clear" w:color="auto" w:fill="CCEEFF"/>
          </w:tcPr>
          <w:p>
            <w:pPr>
              <w:ind w:left="280"/>
              <w:spacing w:after="0"/>
              <w:rPr>
                <w:sz w:val="20"/>
                <w:szCs w:val="20"/>
                <w:color w:val="auto"/>
              </w:rPr>
            </w:pPr>
            <w:r>
              <w:rPr>
                <w:rFonts w:ascii="Arial" w:cs="Arial" w:eastAsia="Arial" w:hAnsi="Arial"/>
                <w:sz w:val="18"/>
                <w:szCs w:val="18"/>
                <w:color w:val="auto"/>
              </w:rPr>
              <w:t>Revoking and Modifying Pre-Arranged Plans, Agreements or Instructions for Buying and Selling Shares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ind w:left="320"/>
              <w:spacing w:after="0"/>
              <w:rPr>
                <w:sz w:val="20"/>
                <w:szCs w:val="20"/>
                <w:color w:val="auto"/>
              </w:rPr>
            </w:pPr>
            <w:r>
              <w:rPr>
                <w:rFonts w:ascii="Arial" w:cs="Arial" w:eastAsia="Arial" w:hAnsi="Arial"/>
                <w:sz w:val="18"/>
                <w:szCs w:val="18"/>
                <w:color w:val="auto"/>
              </w:rPr>
              <w:t>III.2.g.</w:t>
            </w:r>
          </w:p>
        </w:tc>
        <w:tc>
          <w:tcPr>
            <w:tcW w:w="9960" w:type="dxa"/>
            <w:vAlign w:val="bottom"/>
          </w:tcPr>
          <w:p>
            <w:pPr>
              <w:ind w:left="280"/>
              <w:spacing w:after="0"/>
              <w:rPr>
                <w:sz w:val="20"/>
                <w:szCs w:val="20"/>
                <w:color w:val="auto"/>
              </w:rPr>
            </w:pPr>
            <w:r>
              <w:rPr>
                <w:rFonts w:ascii="Arial" w:cs="Arial" w:eastAsia="Arial" w:hAnsi="Arial"/>
                <w:sz w:val="18"/>
                <w:szCs w:val="18"/>
                <w:color w:val="auto"/>
              </w:rPr>
              <w:t>Personal Relationship with Candidates</w:t>
            </w:r>
          </w:p>
        </w:tc>
        <w:tc>
          <w:tcPr>
            <w:tcW w:w="420" w:type="dxa"/>
            <w:vAlign w:val="bottom"/>
          </w:tcPr>
          <w:p>
            <w:pPr>
              <w:jc w:val="right"/>
              <w:spacing w:after="0"/>
              <w:rPr>
                <w:sz w:val="20"/>
                <w:szCs w:val="20"/>
                <w:color w:val="auto"/>
              </w:rPr>
            </w:pPr>
            <w:r>
              <w:rPr>
                <w:rFonts w:ascii="Arial" w:cs="Arial" w:eastAsia="Arial" w:hAnsi="Arial"/>
                <w:sz w:val="18"/>
                <w:szCs w:val="18"/>
                <w:color w:val="auto"/>
              </w:rPr>
              <w:t>12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99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ind w:left="160"/>
              <w:spacing w:after="0"/>
              <w:rPr>
                <w:sz w:val="20"/>
                <w:szCs w:val="20"/>
                <w:color w:val="auto"/>
              </w:rPr>
            </w:pPr>
            <w:r>
              <w:rPr>
                <w:rFonts w:ascii="Arial" w:cs="Arial" w:eastAsia="Arial" w:hAnsi="Arial"/>
                <w:sz w:val="18"/>
                <w:szCs w:val="18"/>
                <w:b w:val="1"/>
                <w:bCs w:val="1"/>
                <w:color w:val="auto"/>
              </w:rPr>
              <w:t>III.3.</w:t>
            </w:r>
          </w:p>
        </w:tc>
        <w:tc>
          <w:tcPr>
            <w:tcW w:w="9960" w:type="dxa"/>
            <w:vAlign w:val="bottom"/>
          </w:tcPr>
          <w:p>
            <w:pPr>
              <w:ind w:left="120"/>
              <w:spacing w:after="0"/>
              <w:rPr>
                <w:sz w:val="20"/>
                <w:szCs w:val="20"/>
                <w:color w:val="auto"/>
              </w:rPr>
            </w:pPr>
            <w:r>
              <w:rPr>
                <w:rFonts w:ascii="Arial" w:cs="Arial" w:eastAsia="Arial" w:hAnsi="Arial"/>
                <w:sz w:val="18"/>
                <w:szCs w:val="18"/>
                <w:b w:val="1"/>
                <w:bCs w:val="1"/>
                <w:color w:val="auto"/>
              </w:rPr>
              <w:t>Managing Confidential Information</w:t>
            </w:r>
          </w:p>
        </w:tc>
        <w:tc>
          <w:tcPr>
            <w:tcW w:w="420" w:type="dxa"/>
            <w:vAlign w:val="bottom"/>
          </w:tcPr>
          <w:p>
            <w:pPr>
              <w:jc w:val="right"/>
              <w:spacing w:after="0"/>
              <w:rPr>
                <w:sz w:val="20"/>
                <w:szCs w:val="20"/>
                <w:color w:val="auto"/>
              </w:rPr>
            </w:pPr>
            <w:r>
              <w:rPr>
                <w:rFonts w:ascii="Arial" w:cs="Arial" w:eastAsia="Arial" w:hAnsi="Arial"/>
                <w:sz w:val="18"/>
                <w:szCs w:val="18"/>
                <w:b w:val="1"/>
                <w:bCs w:val="1"/>
                <w:color w:val="auto"/>
              </w:rPr>
              <w:t>12</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III.3.a.</w:t>
            </w:r>
          </w:p>
        </w:tc>
        <w:tc>
          <w:tcPr>
            <w:tcW w:w="9960" w:type="dxa"/>
            <w:vAlign w:val="bottom"/>
            <w:shd w:val="clear" w:color="auto" w:fill="CCEEFF"/>
          </w:tcPr>
          <w:p>
            <w:pPr>
              <w:ind w:left="280"/>
              <w:spacing w:after="0"/>
              <w:rPr>
                <w:sz w:val="20"/>
                <w:szCs w:val="20"/>
                <w:color w:val="auto"/>
              </w:rPr>
            </w:pPr>
            <w:r>
              <w:rPr>
                <w:rFonts w:ascii="Arial" w:cs="Arial" w:eastAsia="Arial" w:hAnsi="Arial"/>
                <w:sz w:val="18"/>
                <w:szCs w:val="18"/>
                <w:color w:val="auto"/>
              </w:rPr>
              <w:t>Safeguarding Information</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ind w:left="320"/>
              <w:spacing w:after="0"/>
              <w:rPr>
                <w:sz w:val="20"/>
                <w:szCs w:val="20"/>
                <w:color w:val="auto"/>
              </w:rPr>
            </w:pPr>
            <w:r>
              <w:rPr>
                <w:rFonts w:ascii="Arial" w:cs="Arial" w:eastAsia="Arial" w:hAnsi="Arial"/>
                <w:sz w:val="18"/>
                <w:szCs w:val="18"/>
                <w:color w:val="auto"/>
              </w:rPr>
              <w:t>III.3.b.</w:t>
            </w:r>
          </w:p>
        </w:tc>
        <w:tc>
          <w:tcPr>
            <w:tcW w:w="9960" w:type="dxa"/>
            <w:vAlign w:val="bottom"/>
          </w:tcPr>
          <w:p>
            <w:pPr>
              <w:ind w:left="280"/>
              <w:spacing w:after="0"/>
              <w:rPr>
                <w:sz w:val="20"/>
                <w:szCs w:val="20"/>
                <w:color w:val="auto"/>
              </w:rPr>
            </w:pPr>
            <w:r>
              <w:rPr>
                <w:rFonts w:ascii="Arial" w:cs="Arial" w:eastAsia="Arial" w:hAnsi="Arial"/>
                <w:sz w:val="18"/>
                <w:szCs w:val="18"/>
                <w:color w:val="auto"/>
              </w:rPr>
              <w:t>Restrictions on the Flow of Information</w:t>
            </w:r>
          </w:p>
        </w:tc>
        <w:tc>
          <w:tcPr>
            <w:tcW w:w="420" w:type="dxa"/>
            <w:vAlign w:val="bottom"/>
          </w:tcPr>
          <w:p>
            <w:pPr>
              <w:jc w:val="right"/>
              <w:spacing w:after="0"/>
              <w:rPr>
                <w:sz w:val="20"/>
                <w:szCs w:val="20"/>
                <w:color w:val="auto"/>
              </w:rPr>
            </w:pPr>
            <w:r>
              <w:rPr>
                <w:rFonts w:ascii="Arial" w:cs="Arial" w:eastAsia="Arial" w:hAnsi="Arial"/>
                <w:sz w:val="18"/>
                <w:szCs w:val="18"/>
                <w:color w:val="auto"/>
              </w:rPr>
              <w:t>12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99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ind w:left="160"/>
              <w:spacing w:after="0"/>
              <w:rPr>
                <w:sz w:val="20"/>
                <w:szCs w:val="20"/>
                <w:color w:val="auto"/>
              </w:rPr>
            </w:pPr>
            <w:r>
              <w:rPr>
                <w:rFonts w:ascii="Arial" w:cs="Arial" w:eastAsia="Arial" w:hAnsi="Arial"/>
                <w:sz w:val="18"/>
                <w:szCs w:val="18"/>
                <w:b w:val="1"/>
                <w:bCs w:val="1"/>
                <w:color w:val="auto"/>
              </w:rPr>
              <w:t>III.4.</w:t>
            </w:r>
          </w:p>
        </w:tc>
        <w:tc>
          <w:tcPr>
            <w:tcW w:w="9960" w:type="dxa"/>
            <w:vAlign w:val="bottom"/>
          </w:tcPr>
          <w:p>
            <w:pPr>
              <w:ind w:left="120"/>
              <w:spacing w:after="0"/>
              <w:rPr>
                <w:sz w:val="20"/>
                <w:szCs w:val="20"/>
                <w:color w:val="auto"/>
              </w:rPr>
            </w:pPr>
            <w:r>
              <w:rPr>
                <w:rFonts w:ascii="Arial" w:cs="Arial" w:eastAsia="Arial" w:hAnsi="Arial"/>
                <w:sz w:val="18"/>
                <w:szCs w:val="18"/>
                <w:b w:val="1"/>
                <w:bCs w:val="1"/>
                <w:color w:val="auto"/>
              </w:rPr>
              <w:t>Acting in the Name of the Bank</w:t>
            </w:r>
          </w:p>
        </w:tc>
        <w:tc>
          <w:tcPr>
            <w:tcW w:w="420" w:type="dxa"/>
            <w:vAlign w:val="bottom"/>
          </w:tcPr>
          <w:p>
            <w:pPr>
              <w:jc w:val="right"/>
              <w:spacing w:after="0"/>
              <w:rPr>
                <w:sz w:val="20"/>
                <w:szCs w:val="20"/>
                <w:color w:val="auto"/>
              </w:rPr>
            </w:pPr>
            <w:r>
              <w:rPr>
                <w:rFonts w:ascii="Arial" w:cs="Arial" w:eastAsia="Arial" w:hAnsi="Arial"/>
                <w:sz w:val="18"/>
                <w:szCs w:val="18"/>
                <w:b w:val="1"/>
                <w:bCs w:val="1"/>
                <w:color w:val="auto"/>
              </w:rPr>
              <w:t>13</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III.4.a.</w:t>
            </w:r>
          </w:p>
        </w:tc>
        <w:tc>
          <w:tcPr>
            <w:tcW w:w="9960" w:type="dxa"/>
            <w:vAlign w:val="bottom"/>
            <w:shd w:val="clear" w:color="auto" w:fill="CCEEFF"/>
          </w:tcPr>
          <w:p>
            <w:pPr>
              <w:ind w:left="280"/>
              <w:spacing w:after="0"/>
              <w:rPr>
                <w:sz w:val="20"/>
                <w:szCs w:val="20"/>
                <w:color w:val="auto"/>
              </w:rPr>
            </w:pPr>
            <w:r>
              <w:rPr>
                <w:rFonts w:ascii="Arial" w:cs="Arial" w:eastAsia="Arial" w:hAnsi="Arial"/>
                <w:sz w:val="18"/>
                <w:szCs w:val="18"/>
                <w:color w:val="auto"/>
              </w:rPr>
              <w:t>Individual Responsibility</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ind w:left="320"/>
              <w:spacing w:after="0"/>
              <w:rPr>
                <w:sz w:val="20"/>
                <w:szCs w:val="20"/>
                <w:color w:val="auto"/>
              </w:rPr>
            </w:pPr>
            <w:r>
              <w:rPr>
                <w:rFonts w:ascii="Arial" w:cs="Arial" w:eastAsia="Arial" w:hAnsi="Arial"/>
                <w:sz w:val="18"/>
                <w:szCs w:val="18"/>
                <w:color w:val="auto"/>
              </w:rPr>
              <w:t>III.4.b.</w:t>
            </w:r>
          </w:p>
        </w:tc>
        <w:tc>
          <w:tcPr>
            <w:tcW w:w="9960" w:type="dxa"/>
            <w:vAlign w:val="bottom"/>
          </w:tcPr>
          <w:p>
            <w:pPr>
              <w:ind w:left="280"/>
              <w:spacing w:after="0"/>
              <w:rPr>
                <w:sz w:val="20"/>
                <w:szCs w:val="20"/>
                <w:color w:val="auto"/>
              </w:rPr>
            </w:pPr>
            <w:r>
              <w:rPr>
                <w:rFonts w:ascii="Arial" w:cs="Arial" w:eastAsia="Arial" w:hAnsi="Arial"/>
                <w:sz w:val="18"/>
                <w:szCs w:val="18"/>
                <w:color w:val="auto"/>
              </w:rPr>
              <w:t>Work Responsibility</w:t>
            </w:r>
          </w:p>
        </w:tc>
        <w:tc>
          <w:tcPr>
            <w:tcW w:w="420" w:type="dxa"/>
            <w:vAlign w:val="bottom"/>
          </w:tcPr>
          <w:p>
            <w:pPr>
              <w:jc w:val="right"/>
              <w:spacing w:after="0"/>
              <w:rPr>
                <w:sz w:val="20"/>
                <w:szCs w:val="20"/>
                <w:color w:val="auto"/>
              </w:rPr>
            </w:pPr>
            <w:r>
              <w:rPr>
                <w:rFonts w:ascii="Arial" w:cs="Arial" w:eastAsia="Arial" w:hAnsi="Arial"/>
                <w:sz w:val="18"/>
                <w:szCs w:val="18"/>
                <w:color w:val="auto"/>
              </w:rPr>
              <w:t>13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III.4.c.</w:t>
            </w:r>
          </w:p>
        </w:tc>
        <w:tc>
          <w:tcPr>
            <w:tcW w:w="9960" w:type="dxa"/>
            <w:vAlign w:val="bottom"/>
            <w:shd w:val="clear" w:color="auto" w:fill="CCEEFF"/>
          </w:tcPr>
          <w:p>
            <w:pPr>
              <w:ind w:left="280"/>
              <w:spacing w:after="0"/>
              <w:rPr>
                <w:sz w:val="20"/>
                <w:szCs w:val="20"/>
                <w:color w:val="auto"/>
              </w:rPr>
            </w:pPr>
            <w:r>
              <w:rPr>
                <w:rFonts w:ascii="Arial" w:cs="Arial" w:eastAsia="Arial" w:hAnsi="Arial"/>
                <w:sz w:val="18"/>
                <w:szCs w:val="18"/>
                <w:color w:val="auto"/>
              </w:rPr>
              <w:t>Public Presentations and Publications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ind w:left="320"/>
              <w:spacing w:after="0"/>
              <w:rPr>
                <w:sz w:val="20"/>
                <w:szCs w:val="20"/>
                <w:color w:val="auto"/>
              </w:rPr>
            </w:pPr>
            <w:r>
              <w:rPr>
                <w:rFonts w:ascii="Arial" w:cs="Arial" w:eastAsia="Arial" w:hAnsi="Arial"/>
                <w:sz w:val="18"/>
                <w:szCs w:val="18"/>
                <w:color w:val="auto"/>
              </w:rPr>
              <w:t>III.4.d.</w:t>
            </w:r>
          </w:p>
        </w:tc>
        <w:tc>
          <w:tcPr>
            <w:tcW w:w="9960" w:type="dxa"/>
            <w:vAlign w:val="bottom"/>
          </w:tcPr>
          <w:p>
            <w:pPr>
              <w:ind w:left="280"/>
              <w:spacing w:after="0"/>
              <w:rPr>
                <w:sz w:val="20"/>
                <w:szCs w:val="20"/>
                <w:color w:val="auto"/>
              </w:rPr>
            </w:pPr>
            <w:r>
              <w:rPr>
                <w:rFonts w:ascii="Arial" w:cs="Arial" w:eastAsia="Arial" w:hAnsi="Arial"/>
                <w:sz w:val="18"/>
                <w:szCs w:val="18"/>
                <w:color w:val="auto"/>
              </w:rPr>
              <w:t>Appointment to Public office and other Appointments</w:t>
            </w:r>
          </w:p>
        </w:tc>
        <w:tc>
          <w:tcPr>
            <w:tcW w:w="420" w:type="dxa"/>
            <w:vAlign w:val="bottom"/>
          </w:tcPr>
          <w:p>
            <w:pPr>
              <w:jc w:val="right"/>
              <w:spacing w:after="0"/>
              <w:rPr>
                <w:sz w:val="20"/>
                <w:szCs w:val="20"/>
                <w:color w:val="auto"/>
              </w:rPr>
            </w:pPr>
            <w:r>
              <w:rPr>
                <w:rFonts w:ascii="Arial" w:cs="Arial" w:eastAsia="Arial" w:hAnsi="Arial"/>
                <w:sz w:val="18"/>
                <w:szCs w:val="18"/>
                <w:color w:val="auto"/>
              </w:rPr>
              <w:t>14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III.4.e.</w:t>
            </w:r>
          </w:p>
        </w:tc>
        <w:tc>
          <w:tcPr>
            <w:tcW w:w="9960" w:type="dxa"/>
            <w:vAlign w:val="bottom"/>
            <w:shd w:val="clear" w:color="auto" w:fill="CCEEFF"/>
          </w:tcPr>
          <w:p>
            <w:pPr>
              <w:ind w:left="280"/>
              <w:spacing w:after="0"/>
              <w:rPr>
                <w:sz w:val="20"/>
                <w:szCs w:val="20"/>
                <w:color w:val="auto"/>
              </w:rPr>
            </w:pPr>
            <w:r>
              <w:rPr>
                <w:rFonts w:ascii="Arial" w:cs="Arial" w:eastAsia="Arial" w:hAnsi="Arial"/>
                <w:sz w:val="18"/>
                <w:szCs w:val="18"/>
                <w:color w:val="auto"/>
              </w:rPr>
              <w:t>Exercising Powers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99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III.5.</w:t>
            </w:r>
          </w:p>
        </w:tc>
        <w:tc>
          <w:tcPr>
            <w:tcW w:w="99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Unlawful Business and the Prevention of Money Laundering</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15</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99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III.6.</w:t>
            </w:r>
          </w:p>
        </w:tc>
        <w:tc>
          <w:tcPr>
            <w:tcW w:w="99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Personal Integrity</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15</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99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III.7.</w:t>
            </w:r>
          </w:p>
        </w:tc>
        <w:tc>
          <w:tcPr>
            <w:tcW w:w="99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Investigations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16</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99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III.8.</w:t>
            </w:r>
          </w:p>
        </w:tc>
        <w:tc>
          <w:tcPr>
            <w:tcW w:w="99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A High-Level Culture of Honesty and Ethics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16</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99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III.9.</w:t>
            </w:r>
          </w:p>
        </w:tc>
        <w:tc>
          <w:tcPr>
            <w:tcW w:w="99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Relations with the Public Sector and Regulatory Entities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16</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99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III.10.</w:t>
            </w:r>
          </w:p>
        </w:tc>
        <w:tc>
          <w:tcPr>
            <w:tcW w:w="99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Presence on Social Networks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99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02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III.11.</w:t>
            </w:r>
          </w:p>
        </w:tc>
        <w:tc>
          <w:tcPr>
            <w:tcW w:w="99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Environmental Protection</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0980" w:type="dxa"/>
            <w:vAlign w:val="bottom"/>
            <w:gridSpan w:val="2"/>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109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IV.  ETHICS COMMITTEE</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0980" w:type="dxa"/>
            <w:vAlign w:val="bottom"/>
            <w:gridSpan w:val="2"/>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109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V.  COMPLIANCE NORMS</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0980" w:type="dxa"/>
            <w:vAlign w:val="bottom"/>
            <w:gridSpan w:val="2"/>
          </w:tcPr>
          <w:p>
            <w:pPr>
              <w:spacing w:after="0"/>
              <w:rPr>
                <w:sz w:val="18"/>
                <w:szCs w:val="18"/>
                <w:color w:val="auto"/>
              </w:rPr>
            </w:pPr>
          </w:p>
        </w:tc>
        <w:tc>
          <w:tcPr>
            <w:tcW w:w="4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10980" w:type="dxa"/>
            <w:vAlign w:val="bottom"/>
            <w:gridSpan w:val="2"/>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SPECIAL STATEMENT TO BE MADE BY SENIOR FINANCIAL EXECUTIVES IN RELATION TO THE BLADEX CODE OF ETHICS</w:t>
            </w:r>
          </w:p>
        </w:tc>
        <w:tc>
          <w:tcPr>
            <w:tcW w:w="42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109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(THE “CODE”)</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48"/>
        </w:trPr>
        <w:tc>
          <w:tcPr>
            <w:tcW w:w="20" w:type="dxa"/>
            <w:vAlign w:val="bottom"/>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9960" w:type="dxa"/>
            <w:vAlign w:val="bottom"/>
            <w:tcBorders>
              <w:bottom w:val="single" w:sz="8" w:color="auto"/>
            </w:tcBorders>
          </w:tcPr>
          <w:p>
            <w:pPr>
              <w:ind w:left="4640"/>
              <w:spacing w:after="0"/>
              <w:rPr>
                <w:sz w:val="20"/>
                <w:szCs w:val="20"/>
                <w:color w:val="auto"/>
              </w:rPr>
            </w:pPr>
            <w:r>
              <w:rPr>
                <w:rFonts w:ascii="Arial" w:cs="Arial" w:eastAsia="Arial" w:hAnsi="Arial"/>
                <w:sz w:val="18"/>
                <w:szCs w:val="18"/>
                <w:color w:val="auto"/>
              </w:rPr>
              <w:t>4</w:t>
            </w:r>
          </w:p>
        </w:tc>
        <w:tc>
          <w:tcPr>
            <w:tcW w:w="4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229" w:name="page230"/>
    <w:bookmarkEnd w:id="229"/>
    <w:p>
      <w:pPr>
        <w:ind w:left="500" w:hanging="492"/>
        <w:spacing w:after="0"/>
        <w:tabs>
          <w:tab w:leader="none" w:pos="500" w:val="left"/>
        </w:tabs>
        <w:numPr>
          <w:ilvl w:val="0"/>
          <w:numId w:val="220"/>
        </w:numPr>
        <w:rPr>
          <w:rFonts w:ascii="Arial" w:cs="Arial" w:eastAsia="Arial" w:hAnsi="Arial"/>
          <w:sz w:val="18"/>
          <w:szCs w:val="18"/>
          <w:b w:val="1"/>
          <w:bCs w:val="1"/>
          <w:color w:val="auto"/>
        </w:rPr>
      </w:pPr>
      <w:r>
        <w:rPr>
          <w:rFonts w:ascii="Arial" w:cs="Arial" w:eastAsia="Arial" w:hAnsi="Arial"/>
          <w:sz w:val="18"/>
          <w:szCs w:val="18"/>
          <w:b w:val="1"/>
          <w:bCs w:val="1"/>
          <w:color w:val="auto"/>
        </w:rPr>
        <w:t>INTRODUCTION</w:t>
      </w:r>
    </w:p>
    <w:p>
      <w:pPr>
        <w:spacing w:after="0" w:line="225" w:lineRule="exact"/>
        <w:rPr>
          <w:sz w:val="20"/>
          <w:szCs w:val="20"/>
          <w:color w:val="auto"/>
        </w:rPr>
      </w:pPr>
    </w:p>
    <w:p>
      <w:pPr>
        <w:ind w:left="840"/>
        <w:spacing w:after="0"/>
        <w:rPr>
          <w:sz w:val="20"/>
          <w:szCs w:val="20"/>
          <w:color w:val="auto"/>
        </w:rPr>
      </w:pPr>
      <w:r>
        <w:rPr>
          <w:rFonts w:ascii="Arial" w:cs="Arial" w:eastAsia="Arial" w:hAnsi="Arial"/>
          <w:sz w:val="18"/>
          <w:szCs w:val="18"/>
          <w:b w:val="1"/>
          <w:bCs w:val="1"/>
          <w:color w:val="auto"/>
        </w:rPr>
        <w:t>General Principles and Objectives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This Code establishes the norms binding those that are subject hereto (People Covered by this Code), as such term is defined hereunder, to respect it and denounce any attempt to violate it.</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Aware of the social and individual responsibilities of the different activities and functions involved in managing the Institution, the general principles and action policies are defined herein for guiding the decisions and actions of each person that is part thereof.</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Our mission, as members of this Institution, whether individually or collectively, is to act in line with the ethical values and principles of human beings, the Bank and society.</w:t>
      </w:r>
    </w:p>
    <w:p>
      <w:pPr>
        <w:spacing w:after="0" w:line="166" w:lineRule="exact"/>
        <w:rPr>
          <w:sz w:val="20"/>
          <w:szCs w:val="20"/>
          <w:color w:val="auto"/>
        </w:rPr>
      </w:pPr>
    </w:p>
    <w:p>
      <w:pPr>
        <w:jc w:val="both"/>
        <w:spacing w:after="0" w:line="282" w:lineRule="auto"/>
        <w:rPr>
          <w:sz w:val="20"/>
          <w:szCs w:val="20"/>
          <w:color w:val="auto"/>
        </w:rPr>
      </w:pPr>
      <w:r>
        <w:rPr>
          <w:rFonts w:ascii="Arial" w:cs="Arial" w:eastAsia="Arial" w:hAnsi="Arial"/>
          <w:sz w:val="18"/>
          <w:szCs w:val="18"/>
          <w:color w:val="auto"/>
        </w:rPr>
        <w:t xml:space="preserve">The Institution promotes and upholds the ethical values it considers essential in its operations: </w:t>
      </w:r>
      <w:r>
        <w:rPr>
          <w:rFonts w:ascii="Arial" w:cs="Arial" w:eastAsia="Arial" w:hAnsi="Arial"/>
          <w:sz w:val="18"/>
          <w:szCs w:val="18"/>
          <w:b w:val="1"/>
          <w:bCs w:val="1"/>
          <w:color w:val="auto"/>
        </w:rPr>
        <w:t>Commitment, Humility, Excellence, Respect and Integrity</w:t>
      </w:r>
      <w:r>
        <w:rPr>
          <w:rFonts w:ascii="Arial" w:cs="Arial" w:eastAsia="Arial" w:hAnsi="Arial"/>
          <w:sz w:val="18"/>
          <w:szCs w:val="18"/>
          <w:color w:val="auto"/>
        </w:rPr>
        <w:t xml:space="preserve"> </w:t>
      </w:r>
      <w:r>
        <w:rPr>
          <w:rFonts w:ascii="Arial" w:cs="Arial" w:eastAsia="Arial" w:hAnsi="Arial"/>
          <w:sz w:val="18"/>
          <w:szCs w:val="18"/>
          <w:b w:val="1"/>
          <w:bCs w:val="1"/>
          <w:color w:val="auto"/>
        </w:rPr>
        <w:t>(hereinafter altogether referred to as the “Values”).</w:t>
      </w:r>
    </w:p>
    <w:p>
      <w:pPr>
        <w:spacing w:after="0" w:line="166" w:lineRule="exact"/>
        <w:rPr>
          <w:sz w:val="20"/>
          <w:szCs w:val="20"/>
          <w:color w:val="auto"/>
        </w:rPr>
      </w:pPr>
    </w:p>
    <w:p>
      <w:pPr>
        <w:spacing w:after="0"/>
        <w:rPr>
          <w:sz w:val="20"/>
          <w:szCs w:val="20"/>
          <w:color w:val="auto"/>
        </w:rPr>
      </w:pPr>
      <w:r>
        <w:rPr>
          <w:rFonts w:ascii="Arial" w:cs="Arial" w:eastAsia="Arial" w:hAnsi="Arial"/>
          <w:sz w:val="17"/>
          <w:szCs w:val="17"/>
          <w:color w:val="auto"/>
        </w:rPr>
        <w:t>The main objective hereof is to fix the general ethical framework for going about their job and for each and every one of the Institution’s activities.</w:t>
      </w:r>
    </w:p>
    <w:p>
      <w:pPr>
        <w:spacing w:after="0" w:line="23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content hereof covers the general situations and issues that might come up in the scope of your activities, as well as such cases as may be referring more specifically to the management and workings of the Institution itself.</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norms compiled in this Code make up a tool for constant consultations and knowledge; they form a guideline for the decisions to be made by each of the Bank’s members, according to their position and function.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Each of the Institution’s members should act in line with these Values in a uniform way, coherently and constantly. A responsible exercise of properties and acting correctly should be undertaken at all times.</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This Code describes general conducts from an ethical point of view; however, it is everyone’s duty to assume an individual responsibility in making the Board of Directors, the Audit and Compliance Committee, Senior Management, the Regulatory and Preventive Compliance Department or Human Resources, as the case may be, aware of any facts that might generate some degree of ethical difficulty when making decisions, through the tools and mechanism the Bank has assigned thereto.</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Although the Code intends to cover a wide range of practices and procedures, Bladex cannot foresee each and every problem that might arise.</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If any of the People Covered by this Code are not sure what they should do in a given situation, then they should seek additional information and guidance before acting. The People Covered by this Code should use their good judgment and common sense; if something appears incorrect or unethical, it is likely to be so.</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0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30" w:name="page231"/>
    <w:bookmarkEnd w:id="230"/>
    <w:p>
      <w:pPr>
        <w:jc w:val="both"/>
        <w:spacing w:after="0" w:line="279" w:lineRule="auto"/>
        <w:rPr>
          <w:sz w:val="20"/>
          <w:szCs w:val="20"/>
          <w:color w:val="auto"/>
        </w:rPr>
      </w:pPr>
      <w:r>
        <w:rPr>
          <w:rFonts w:ascii="Arial" w:cs="Arial" w:eastAsia="Arial" w:hAnsi="Arial"/>
          <w:sz w:val="17"/>
          <w:szCs w:val="17"/>
          <w:color w:val="auto"/>
        </w:rPr>
        <w:t>If you have any doubt about the best course of action to take in a specific situation, or if you suspect or are aware of any possible violation of some law, rule, or ethical norm of Bladex, then this should be notified immediately to the Human Resources Department, who will provide guidance on the way of how to manage the situation. Any denunciations related to possible violations hereof or of any other norm deriving hereof or complementing it, should be made through the tool the Bank has assigned thereto, which is available on the Bank’s Intranet and on it Web-Site.</w:t>
      </w:r>
    </w:p>
    <w:p>
      <w:pPr>
        <w:spacing w:after="0" w:line="167" w:lineRule="exact"/>
        <w:rPr>
          <w:sz w:val="20"/>
          <w:szCs w:val="20"/>
          <w:color w:val="auto"/>
        </w:rPr>
      </w:pPr>
    </w:p>
    <w:p>
      <w:pPr>
        <w:ind w:left="500" w:hanging="492"/>
        <w:spacing w:after="0"/>
        <w:tabs>
          <w:tab w:leader="none" w:pos="500" w:val="left"/>
        </w:tabs>
        <w:numPr>
          <w:ilvl w:val="0"/>
          <w:numId w:val="221"/>
        </w:numPr>
        <w:rPr>
          <w:rFonts w:ascii="Arial" w:cs="Arial" w:eastAsia="Arial" w:hAnsi="Arial"/>
          <w:sz w:val="18"/>
          <w:szCs w:val="18"/>
          <w:b w:val="1"/>
          <w:bCs w:val="1"/>
          <w:color w:val="auto"/>
        </w:rPr>
      </w:pPr>
      <w:r>
        <w:rPr>
          <w:rFonts w:ascii="Arial" w:cs="Arial" w:eastAsia="Arial" w:hAnsi="Arial"/>
          <w:sz w:val="18"/>
          <w:szCs w:val="18"/>
          <w:b w:val="1"/>
          <w:bCs w:val="1"/>
          <w:color w:val="auto"/>
        </w:rPr>
        <w:t>PEOPLE THAT ARE SUBJECT TO COMPLYING WITH THIS CODE</w:t>
      </w:r>
    </w:p>
    <w:p>
      <w:pPr>
        <w:spacing w:after="0" w:line="229" w:lineRule="exact"/>
        <w:rPr>
          <w:sz w:val="20"/>
          <w:szCs w:val="20"/>
          <w:color w:val="auto"/>
        </w:rPr>
      </w:pPr>
    </w:p>
    <w:p>
      <w:pPr>
        <w:spacing w:after="0"/>
        <w:rPr>
          <w:sz w:val="20"/>
          <w:szCs w:val="20"/>
          <w:color w:val="auto"/>
        </w:rPr>
      </w:pPr>
      <w:r>
        <w:rPr>
          <w:rFonts w:ascii="Arial" w:cs="Arial" w:eastAsia="Arial" w:hAnsi="Arial"/>
          <w:sz w:val="16"/>
          <w:szCs w:val="16"/>
          <w:color w:val="auto"/>
        </w:rPr>
        <w:t>Except for exceptions that may be justified by the Audit and Compliance Committee for legal or other reasons, the following are the persons bound by this</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Code (Hereinafter “People Covered by this Code”):</w:t>
      </w:r>
    </w:p>
    <w:p>
      <w:pPr>
        <w:spacing w:after="0" w:line="211" w:lineRule="exact"/>
        <w:rPr>
          <w:sz w:val="20"/>
          <w:szCs w:val="20"/>
          <w:color w:val="auto"/>
        </w:rPr>
      </w:pPr>
    </w:p>
    <w:p>
      <w:pPr>
        <w:ind w:left="660" w:hanging="328"/>
        <w:spacing w:after="0"/>
        <w:tabs>
          <w:tab w:leader="none" w:pos="660" w:val="left"/>
        </w:tabs>
        <w:numPr>
          <w:ilvl w:val="1"/>
          <w:numId w:val="222"/>
        </w:numPr>
        <w:rPr>
          <w:rFonts w:ascii="Arial" w:cs="Arial" w:eastAsia="Arial" w:hAnsi="Arial"/>
          <w:sz w:val="18"/>
          <w:szCs w:val="18"/>
          <w:color w:val="auto"/>
        </w:rPr>
      </w:pPr>
      <w:r>
        <w:rPr>
          <w:rFonts w:ascii="Arial" w:cs="Arial" w:eastAsia="Arial" w:hAnsi="Arial"/>
          <w:sz w:val="18"/>
          <w:szCs w:val="18"/>
          <w:color w:val="auto"/>
        </w:rPr>
        <w:t>The Directors and Officers of the Bank as well as of its affiliated companies.</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1"/>
          <w:numId w:val="222"/>
        </w:numPr>
        <w:rPr>
          <w:rFonts w:ascii="Arial" w:cs="Arial" w:eastAsia="Arial" w:hAnsi="Arial"/>
          <w:sz w:val="18"/>
          <w:szCs w:val="18"/>
          <w:color w:val="auto"/>
        </w:rPr>
      </w:pPr>
      <w:r>
        <w:rPr>
          <w:rFonts w:ascii="Arial" w:cs="Arial" w:eastAsia="Arial" w:hAnsi="Arial"/>
          <w:sz w:val="18"/>
          <w:szCs w:val="18"/>
          <w:color w:val="auto"/>
        </w:rPr>
        <w:t>The Members of Senior Management of the Bank as well as of its affiliated companies.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1"/>
          <w:numId w:val="222"/>
        </w:numPr>
        <w:rPr>
          <w:rFonts w:ascii="Arial" w:cs="Arial" w:eastAsia="Arial" w:hAnsi="Arial"/>
          <w:sz w:val="18"/>
          <w:szCs w:val="18"/>
          <w:color w:val="auto"/>
        </w:rPr>
      </w:pPr>
      <w:r>
        <w:rPr>
          <w:rFonts w:ascii="Arial" w:cs="Arial" w:eastAsia="Arial" w:hAnsi="Arial"/>
          <w:sz w:val="18"/>
          <w:szCs w:val="18"/>
          <w:color w:val="auto"/>
        </w:rPr>
        <w:t>All people (Employees) that provide their services in areas of Bank as well as of its affiliated companies.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1"/>
          <w:numId w:val="222"/>
        </w:numPr>
        <w:rPr>
          <w:rFonts w:ascii="Arial" w:cs="Arial" w:eastAsia="Arial" w:hAnsi="Arial"/>
          <w:sz w:val="18"/>
          <w:szCs w:val="18"/>
          <w:color w:val="auto"/>
        </w:rPr>
      </w:pPr>
      <w:r>
        <w:rPr>
          <w:rFonts w:ascii="Arial" w:cs="Arial" w:eastAsia="Arial" w:hAnsi="Arial"/>
          <w:sz w:val="18"/>
          <w:szCs w:val="18"/>
          <w:color w:val="auto"/>
        </w:rPr>
        <w:t>The representatives or agents of the Bank as well as of its affiliated companies directly related to their activity.</w:t>
      </w:r>
    </w:p>
    <w:p>
      <w:pPr>
        <w:spacing w:after="0" w:line="9" w:lineRule="exact"/>
        <w:rPr>
          <w:rFonts w:ascii="Arial" w:cs="Arial" w:eastAsia="Arial" w:hAnsi="Arial"/>
          <w:sz w:val="18"/>
          <w:szCs w:val="18"/>
          <w:color w:val="auto"/>
        </w:rPr>
      </w:pPr>
    </w:p>
    <w:p>
      <w:pPr>
        <w:ind w:left="660" w:hanging="328"/>
        <w:spacing w:after="0" w:line="261" w:lineRule="auto"/>
        <w:tabs>
          <w:tab w:leader="none" w:pos="660" w:val="left"/>
        </w:tabs>
        <w:numPr>
          <w:ilvl w:val="1"/>
          <w:numId w:val="222"/>
        </w:numPr>
        <w:rPr>
          <w:rFonts w:ascii="Arial" w:cs="Arial" w:eastAsia="Arial" w:hAnsi="Arial"/>
          <w:sz w:val="18"/>
          <w:szCs w:val="18"/>
          <w:color w:val="auto"/>
        </w:rPr>
      </w:pPr>
      <w:r>
        <w:rPr>
          <w:rFonts w:ascii="Arial" w:cs="Arial" w:eastAsia="Arial" w:hAnsi="Arial"/>
          <w:sz w:val="18"/>
          <w:szCs w:val="18"/>
          <w:color w:val="auto"/>
        </w:rPr>
        <w:t>Such other persons as, because of the characteristics of their activity, should be submitted, in the judgment of the Ethics Committee, temporarily or permanently, to the dispositions of this Code.</w:t>
      </w:r>
    </w:p>
    <w:p>
      <w:pPr>
        <w:spacing w:after="0" w:line="179" w:lineRule="exact"/>
        <w:rPr>
          <w:rFonts w:ascii="Arial" w:cs="Arial" w:eastAsia="Arial" w:hAnsi="Arial"/>
          <w:sz w:val="18"/>
          <w:szCs w:val="18"/>
          <w:color w:val="auto"/>
        </w:rPr>
      </w:pPr>
    </w:p>
    <w:p>
      <w:pPr>
        <w:ind w:left="500" w:hanging="492"/>
        <w:spacing w:after="0"/>
        <w:tabs>
          <w:tab w:leader="none" w:pos="500" w:val="left"/>
        </w:tabs>
        <w:numPr>
          <w:ilvl w:val="0"/>
          <w:numId w:val="222"/>
        </w:numPr>
        <w:rPr>
          <w:rFonts w:ascii="Arial" w:cs="Arial" w:eastAsia="Arial" w:hAnsi="Arial"/>
          <w:sz w:val="18"/>
          <w:szCs w:val="18"/>
          <w:b w:val="1"/>
          <w:bCs w:val="1"/>
          <w:color w:val="auto"/>
        </w:rPr>
      </w:pPr>
      <w:r>
        <w:rPr>
          <w:rFonts w:ascii="Arial" w:cs="Arial" w:eastAsia="Arial" w:hAnsi="Arial"/>
          <w:sz w:val="18"/>
          <w:szCs w:val="18"/>
          <w:b w:val="1"/>
          <w:bCs w:val="1"/>
          <w:color w:val="auto"/>
        </w:rPr>
        <w:t>FUNDAMENTAL PRINCIPLES</w:t>
      </w:r>
    </w:p>
    <w:p>
      <w:pPr>
        <w:spacing w:after="0" w:line="225"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III.1.</w:t>
      </w:r>
      <w:r>
        <w:rPr>
          <w:sz w:val="20"/>
          <w:szCs w:val="20"/>
          <w:color w:val="auto"/>
        </w:rPr>
        <w:tab/>
      </w:r>
      <w:r>
        <w:rPr>
          <w:rFonts w:ascii="Arial" w:cs="Arial" w:eastAsia="Arial" w:hAnsi="Arial"/>
          <w:sz w:val="18"/>
          <w:szCs w:val="18"/>
          <w:b w:val="1"/>
          <w:bCs w:val="1"/>
          <w:color w:val="auto"/>
        </w:rPr>
        <w:t>Personal Finances</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All People Covered by this Code should espouse an exemplary financial conduct, at all times complying fully and timely with their financial obligations and commitments. It is imperative that those who require such conduct from their Customers do behave in the same way.</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above means that the People Covered by this Code should, in general, manage their financial and business banking matters responsibly and in accordance with their real debt capacity. Criteria should prevail here of maximum prudence that is not compatible with the existence of any unpaid or overdue obligations.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Such People Covered by this Code as may need it should request financing or loans only and exclusively from formal and recognized financial entities that are habitually engaged in this turn of business and that are within the current legal framework in force. The use of informal entities whose financing may imply a high financial cost or the posting of disproportionate collateral is prohibited.</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Such private business or investments as the People Covered by this Code may make should neither go against the Institution’s interest, nor against ethics and good customs.</w:t>
      </w:r>
    </w:p>
    <w:p>
      <w:pPr>
        <w:spacing w:after="0" w:line="170" w:lineRule="exact"/>
        <w:rPr>
          <w:sz w:val="20"/>
          <w:szCs w:val="20"/>
          <w:color w:val="auto"/>
        </w:rPr>
      </w:pPr>
    </w:p>
    <w:p>
      <w:pPr>
        <w:ind w:right="920"/>
        <w:spacing w:after="0" w:line="277" w:lineRule="auto"/>
        <w:rPr>
          <w:sz w:val="20"/>
          <w:szCs w:val="20"/>
          <w:color w:val="auto"/>
        </w:rPr>
      </w:pPr>
      <w:r>
        <w:rPr>
          <w:rFonts w:ascii="Arial" w:cs="Arial" w:eastAsia="Arial" w:hAnsi="Arial"/>
          <w:sz w:val="18"/>
          <w:szCs w:val="18"/>
          <w:color w:val="auto"/>
        </w:rPr>
        <w:t>The extending of personal loans to third parties as a habitual business practice and/or getting involved in unlawful business shall be considered as inappropriate behavior for all People Covered by this Code.</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0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231" w:name="page232"/>
    <w:bookmarkEnd w:id="231"/>
    <w:p>
      <w:pPr>
        <w:spacing w:after="0"/>
        <w:tabs>
          <w:tab w:leader="none" w:pos="800" w:val="left"/>
        </w:tabs>
        <w:rPr>
          <w:sz w:val="20"/>
          <w:szCs w:val="20"/>
          <w:color w:val="auto"/>
        </w:rPr>
      </w:pPr>
      <w:r>
        <w:rPr>
          <w:rFonts w:ascii="Arial" w:cs="Arial" w:eastAsia="Arial" w:hAnsi="Arial"/>
          <w:sz w:val="18"/>
          <w:szCs w:val="18"/>
          <w:b w:val="1"/>
          <w:bCs w:val="1"/>
          <w:color w:val="auto"/>
        </w:rPr>
        <w:t>III.2.</w:t>
      </w:r>
      <w:r>
        <w:rPr>
          <w:sz w:val="20"/>
          <w:szCs w:val="20"/>
          <w:color w:val="auto"/>
        </w:rPr>
        <w:tab/>
      </w:r>
      <w:r>
        <w:rPr>
          <w:rFonts w:ascii="Arial" w:cs="Arial" w:eastAsia="Arial" w:hAnsi="Arial"/>
          <w:sz w:val="18"/>
          <w:szCs w:val="18"/>
          <w:b w:val="1"/>
          <w:bCs w:val="1"/>
          <w:color w:val="auto"/>
        </w:rPr>
        <w:t>Conflicts of Interest</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Each and every transaction that, because of its nature, involves the Bank and a Shareholder, Director, Officer or Employee of the Bank, or any person of which such Director, Officer or Employee may be a shareholder, officer, employee or agent, or any person with whom they may have a family relationship (all of them called “Related Persons”), gives rise to a potential conflict of interest situation. Hence, all transactions of this kind should be undertaken in the best interest of the Bank, strictly adhering to applicable laws, rules and regulations and never for the individual benefit of a Shareholder, Director, Officer or Employee related to the Bank or any Related Persons. For the effects of the application of this norm, the Bank’s guidelines and policies shall set forth the scope of the concepts contained herein, including, for example, the minimum shareholding that a person should have in a corporation or the degree of family relationship in order to be considered as a Related Person.</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color w:val="auto"/>
        </w:rPr>
        <w:t>Regarding the decisions made by the Bank about such transaction where there might be a conflict of interest, it shall proceed as follows:</w:t>
      </w:r>
    </w:p>
    <w:p>
      <w:pPr>
        <w:spacing w:after="0" w:line="225" w:lineRule="exact"/>
        <w:rPr>
          <w:sz w:val="20"/>
          <w:szCs w:val="20"/>
          <w:color w:val="auto"/>
        </w:rPr>
      </w:pPr>
    </w:p>
    <w:p>
      <w:pPr>
        <w:ind w:left="660" w:hanging="328"/>
        <w:spacing w:after="0" w:line="277" w:lineRule="auto"/>
        <w:tabs>
          <w:tab w:leader="none" w:pos="660" w:val="left"/>
        </w:tabs>
        <w:numPr>
          <w:ilvl w:val="0"/>
          <w:numId w:val="223"/>
        </w:numPr>
        <w:rPr>
          <w:rFonts w:ascii="Arial" w:cs="Arial" w:eastAsia="Arial" w:hAnsi="Arial"/>
          <w:sz w:val="18"/>
          <w:szCs w:val="18"/>
          <w:color w:val="auto"/>
        </w:rPr>
      </w:pPr>
      <w:r>
        <w:rPr>
          <w:rFonts w:ascii="Arial" w:cs="Arial" w:eastAsia="Arial" w:hAnsi="Arial"/>
          <w:sz w:val="18"/>
          <w:szCs w:val="18"/>
          <w:color w:val="auto"/>
        </w:rPr>
        <w:t>All People Covered by this Code who may find themselves in a conflict of interest situation regarding a specific transaction should disclose this to the Compliance Officer.</w:t>
      </w:r>
    </w:p>
    <w:p>
      <w:pPr>
        <w:spacing w:after="0" w:line="170" w:lineRule="exact"/>
        <w:rPr>
          <w:rFonts w:ascii="Arial" w:cs="Arial" w:eastAsia="Arial" w:hAnsi="Arial"/>
          <w:sz w:val="18"/>
          <w:szCs w:val="18"/>
          <w:color w:val="auto"/>
        </w:rPr>
      </w:pPr>
    </w:p>
    <w:p>
      <w:pPr>
        <w:ind w:left="660" w:hanging="328"/>
        <w:spacing w:after="0" w:line="342" w:lineRule="auto"/>
        <w:tabs>
          <w:tab w:leader="none" w:pos="660" w:val="left"/>
        </w:tabs>
        <w:numPr>
          <w:ilvl w:val="0"/>
          <w:numId w:val="223"/>
        </w:numPr>
        <w:rPr>
          <w:rFonts w:ascii="Arial" w:cs="Arial" w:eastAsia="Arial" w:hAnsi="Arial"/>
          <w:sz w:val="16"/>
          <w:szCs w:val="16"/>
          <w:color w:val="auto"/>
        </w:rPr>
      </w:pPr>
      <w:r>
        <w:rPr>
          <w:rFonts w:ascii="Arial" w:cs="Arial" w:eastAsia="Arial" w:hAnsi="Arial"/>
          <w:sz w:val="16"/>
          <w:szCs w:val="16"/>
          <w:color w:val="auto"/>
        </w:rPr>
        <w:t>All People Covered by this Code finding themselves in a conflict of interest situation regarding a specific transaction should abstain from any communications that could influence the people in charge of such transaction, regarding the issue that causes such conflict of interest situation.</w:t>
      </w:r>
    </w:p>
    <w:p>
      <w:pPr>
        <w:spacing w:after="0" w:line="123" w:lineRule="exact"/>
        <w:rPr>
          <w:rFonts w:ascii="Arial" w:cs="Arial" w:eastAsia="Arial" w:hAnsi="Arial"/>
          <w:sz w:val="16"/>
          <w:szCs w:val="16"/>
          <w:color w:val="auto"/>
        </w:rPr>
      </w:pPr>
    </w:p>
    <w:p>
      <w:pPr>
        <w:ind w:left="660" w:hanging="328"/>
        <w:spacing w:after="0" w:line="277" w:lineRule="auto"/>
        <w:tabs>
          <w:tab w:leader="none" w:pos="660" w:val="left"/>
        </w:tabs>
        <w:numPr>
          <w:ilvl w:val="0"/>
          <w:numId w:val="223"/>
        </w:numPr>
        <w:rPr>
          <w:rFonts w:ascii="Arial" w:cs="Arial" w:eastAsia="Arial" w:hAnsi="Arial"/>
          <w:sz w:val="18"/>
          <w:szCs w:val="18"/>
          <w:color w:val="auto"/>
        </w:rPr>
      </w:pPr>
      <w:r>
        <w:rPr>
          <w:rFonts w:ascii="Arial" w:cs="Arial" w:eastAsia="Arial" w:hAnsi="Arial"/>
          <w:sz w:val="18"/>
          <w:szCs w:val="18"/>
          <w:color w:val="auto"/>
        </w:rPr>
        <w:t>If a collegiate decision should be adopted about the transaction, then such decisions shall be made with the abstention of such People Covered by this Code who may have a conflict of interest.</w:t>
      </w:r>
    </w:p>
    <w:p>
      <w:pPr>
        <w:spacing w:after="0" w:line="166"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III.2.a.</w:t>
      </w:r>
      <w:r>
        <w:rPr>
          <w:sz w:val="20"/>
          <w:szCs w:val="20"/>
          <w:color w:val="auto"/>
        </w:rPr>
        <w:tab/>
      </w:r>
      <w:r>
        <w:rPr>
          <w:rFonts w:ascii="Arial" w:cs="Arial" w:eastAsia="Arial" w:hAnsi="Arial"/>
          <w:sz w:val="18"/>
          <w:szCs w:val="18"/>
          <w:b w:val="1"/>
          <w:bCs w:val="1"/>
          <w:color w:val="auto"/>
        </w:rPr>
        <w:t>Transactions with Related Parties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strictly adheres to the dispositions establishing limitations on transactions between natural and juridical persons that are being considered as “Related Parties”, as currently in force and applicable in the different jurisdictions where Bladex operates. Should there be any difference between different legislations, then Bladex shall, at all times, adopt the strictest and most conservative one.</w:t>
      </w:r>
    </w:p>
    <w:p>
      <w:pPr>
        <w:spacing w:after="0" w:line="18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Any transaction carried out with a Related Party must be assessed in the first instance by the Bank’s Legal Risk Department and the Compliance Department. This review is in order to determine if such transaction does not contravene the laws and regulations enacted by the Government of the Republic of Panama, by the US Securities and Exchange Commission (SEC), or any other existing legal disposition applicable to the Bank.</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32" w:name="page233"/>
    <w:bookmarkEnd w:id="232"/>
    <w:p>
      <w:pPr>
        <w:spacing w:after="0"/>
        <w:tabs>
          <w:tab w:leader="none" w:pos="800" w:val="left"/>
        </w:tabs>
        <w:rPr>
          <w:sz w:val="20"/>
          <w:szCs w:val="20"/>
          <w:color w:val="auto"/>
        </w:rPr>
      </w:pPr>
      <w:r>
        <w:rPr>
          <w:rFonts w:ascii="Arial" w:cs="Arial" w:eastAsia="Arial" w:hAnsi="Arial"/>
          <w:sz w:val="18"/>
          <w:szCs w:val="18"/>
          <w:b w:val="1"/>
          <w:bCs w:val="1"/>
          <w:color w:val="auto"/>
        </w:rPr>
        <w:t>III.2.b.</w:t>
      </w:r>
      <w:r>
        <w:rPr>
          <w:sz w:val="20"/>
          <w:szCs w:val="20"/>
          <w:color w:val="auto"/>
        </w:rPr>
        <w:tab/>
      </w:r>
      <w:r>
        <w:rPr>
          <w:rFonts w:ascii="Arial" w:cs="Arial" w:eastAsia="Arial" w:hAnsi="Arial"/>
          <w:sz w:val="18"/>
          <w:szCs w:val="18"/>
          <w:b w:val="1"/>
          <w:bCs w:val="1"/>
          <w:color w:val="auto"/>
        </w:rPr>
        <w:t>Invitations and Gifts</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None of the People Covered by this Code should request or accept any fees, commissions, gifts, remuneration or lucrative advantages form any third party, on account of any transaction, service or business carried out with the Institution and/or its affiliates.</w:t>
      </w:r>
    </w:p>
    <w:p>
      <w:pPr>
        <w:spacing w:after="0" w:line="170"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Any corporate or symbolic gifts, invitations to dinners or events because of work meetings are excepted from the above rule; provided however, that they do not, under any circumstance, imply a commitment, influence, or when they, because of their character, nature or frequency, could be interpreted as a deliberate intent to affect the independence, impartiality or criteria of any person. Notwithstanding the above, People Covered by this Code should not accept any gifts or invitations as described in this section, the value whereof exceeds $ 200. In case of doubt whether it would be appropriate or not appropriate to accept a gift or an invitation, the Compliance Officer should be consulted before accepting either.</w:t>
      </w:r>
    </w:p>
    <w:p>
      <w:pPr>
        <w:spacing w:after="0" w:line="17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If the situation makes it inconvenient to refuse a gift, then this should be reported in writing to the Compliance Officer, who could order the disposal of the gift and the donation of the money collected to a non-profit organization.</w:t>
      </w:r>
    </w:p>
    <w:p>
      <w:pPr>
        <w:spacing w:after="0" w:line="166"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III.2.c.</w:t>
      </w:r>
      <w:r>
        <w:rPr>
          <w:sz w:val="20"/>
          <w:szCs w:val="20"/>
          <w:color w:val="auto"/>
        </w:rPr>
        <w:tab/>
      </w:r>
      <w:r>
        <w:rPr>
          <w:rFonts w:ascii="Arial" w:cs="Arial" w:eastAsia="Arial" w:hAnsi="Arial"/>
          <w:sz w:val="18"/>
          <w:szCs w:val="18"/>
          <w:b w:val="1"/>
          <w:bCs w:val="1"/>
          <w:color w:val="auto"/>
        </w:rPr>
        <w:t>Delivering Corporate Gifts and Hand-Outs</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According to the Bank’s marketing strategies and policies, corporate gifts and hand-outs may be delivered to its Customers on the Bank’s behalf, provided that those do adequately represent the Institution’s corporate image and are exclusively furnished to Customers.</w:t>
      </w:r>
    </w:p>
    <w:p>
      <w:pPr>
        <w:spacing w:after="0" w:line="170"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Neither the Bank, nor the People Covered by this Code – on its behalf – shall make any payments, donations or give any gifts to people, political parties, ministries, public entities or third parties in general, with the purpose in mind of securing a deal or obtaining influence in their decisions.</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We will also not offer or extend any compensation, benefit or gift to any external entity or person in order to influence or support the result of a deal, even when this could have positive effects for the Bank.</w:t>
      </w:r>
    </w:p>
    <w:p>
      <w:pPr>
        <w:spacing w:after="0" w:line="166"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III.2.d.</w:t>
      </w:r>
      <w:r>
        <w:rPr>
          <w:sz w:val="20"/>
          <w:szCs w:val="20"/>
          <w:color w:val="auto"/>
        </w:rPr>
        <w:tab/>
      </w:r>
      <w:r>
        <w:rPr>
          <w:rFonts w:ascii="Arial" w:cs="Arial" w:eastAsia="Arial" w:hAnsi="Arial"/>
          <w:sz w:val="18"/>
          <w:szCs w:val="18"/>
          <w:b w:val="1"/>
          <w:bCs w:val="1"/>
          <w:color w:val="auto"/>
        </w:rPr>
        <w:t>Relationships with Vendors, Suppliers and Providers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relationship between the People Covered by this Code and vendors, suppliers and providers (Providers) should remain strictly independent and according to corporate interests, in faithful compliance with the dispositions hereof, where parameters of profits, quality and budget of the Institution should always prevail.</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far s the outside auditors are concerned, the Bank should also observe, apart from the above, the dispositions of the SEC ISB Norm Nº 1 and those of the Sarbanes-Oxley Act, regarding the rules for independence that prohibit hiring any staff from the outside audit firm that were part of the team that audited the Bank’s financial statements and those of its subsidiaries over the past two years.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33" w:name="page234"/>
    <w:bookmarkEnd w:id="233"/>
    <w:p>
      <w:pPr>
        <w:spacing w:after="0"/>
        <w:tabs>
          <w:tab w:leader="none" w:pos="800" w:val="left"/>
        </w:tabs>
        <w:rPr>
          <w:sz w:val="20"/>
          <w:szCs w:val="20"/>
          <w:color w:val="auto"/>
        </w:rPr>
      </w:pPr>
      <w:r>
        <w:rPr>
          <w:rFonts w:ascii="Arial" w:cs="Arial" w:eastAsia="Arial" w:hAnsi="Arial"/>
          <w:sz w:val="18"/>
          <w:szCs w:val="18"/>
          <w:b w:val="1"/>
          <w:bCs w:val="1"/>
          <w:color w:val="auto"/>
        </w:rPr>
        <w:t>III.2.e.</w:t>
      </w:r>
      <w:r>
        <w:rPr>
          <w:sz w:val="20"/>
          <w:szCs w:val="20"/>
          <w:color w:val="auto"/>
        </w:rPr>
        <w:tab/>
      </w:r>
      <w:r>
        <w:rPr>
          <w:rFonts w:ascii="Arial" w:cs="Arial" w:eastAsia="Arial" w:hAnsi="Arial"/>
          <w:sz w:val="18"/>
          <w:szCs w:val="18"/>
          <w:b w:val="1"/>
          <w:bCs w:val="1"/>
          <w:color w:val="auto"/>
        </w:rPr>
        <w:t>Travel Per-Diem and Expenses to be Reported</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funds provided by the Institution to its Employees for doing their job are its property, so that they should be used for the purpose they were assigned, maintaining the strictest transparency and filing the required reports pursuant to such guidelines as the Bank may establish thereto.</w:t>
      </w:r>
    </w:p>
    <w:p>
      <w:pPr>
        <w:spacing w:after="0" w:line="166"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III.2.f.</w:t>
      </w:r>
      <w:r>
        <w:rPr>
          <w:sz w:val="20"/>
          <w:szCs w:val="20"/>
          <w:color w:val="auto"/>
        </w:rPr>
        <w:tab/>
      </w:r>
      <w:r>
        <w:rPr>
          <w:rFonts w:ascii="Arial" w:cs="Arial" w:eastAsia="Arial" w:hAnsi="Arial"/>
          <w:sz w:val="18"/>
          <w:szCs w:val="18"/>
          <w:b w:val="1"/>
          <w:bCs w:val="1"/>
          <w:color w:val="auto"/>
        </w:rPr>
        <w:t>Using Insider Information and other Related Aspects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All People Covered by this Code should abstain, when going about their personal investments, from using such information as they may have become aware of because of their position and work for their own benefit or that of any other person. Those who do have access to any inside or confidential information of Bladex or its securities, should abstain from trading in those instruments. In turn, those who are aware of the investment policies and strategies, plans, studies or negotiations, should not use such information, neither directly nor indirectly, for obtaining any advantage in any operations, neither for their own benefit nor for that of any third party.</w:t>
      </w:r>
    </w:p>
    <w:p>
      <w:pPr>
        <w:spacing w:after="0" w:line="188"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None of the People Covered by this Code may make use of any insider information for carrying out any transactions with securities issued by any of the companies belonging to their customer portfolio, nor with those from any other issuer about which they may have such kind of information.</w:t>
      </w:r>
    </w:p>
    <w:p>
      <w:pPr>
        <w:spacing w:after="0" w:line="14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Also subjected to these norms regarding the use of insider information are all modalities of currency hedging, rate hedging or similar that may exist on the financial markets (derivatives), as well as simultaneous operations and selling short.</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Each and every acquisition or transfer of title referring to publicly trading securities made by any Employee of the Bank who, because of his or her job, has access or may have access to inside information should be reported, in writing, to the Compliance Officer.</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Without prejudice to the above, it is recommendable that the Institution’s Employees make their personal deals for investment purposes and not for speculation.</w:t>
      </w:r>
    </w:p>
    <w:p>
      <w:pPr>
        <w:spacing w:after="0" w:line="166" w:lineRule="exact"/>
        <w:rPr>
          <w:sz w:val="20"/>
          <w:szCs w:val="20"/>
          <w:color w:val="auto"/>
        </w:rPr>
      </w:pPr>
    </w:p>
    <w:p>
      <w:pPr>
        <w:ind w:left="980"/>
        <w:spacing w:after="0"/>
        <w:tabs>
          <w:tab w:leader="none" w:pos="1940" w:val="left"/>
        </w:tabs>
        <w:rPr>
          <w:sz w:val="20"/>
          <w:szCs w:val="20"/>
          <w:color w:val="auto"/>
        </w:rPr>
      </w:pPr>
      <w:r>
        <w:rPr>
          <w:rFonts w:ascii="Arial" w:cs="Arial" w:eastAsia="Arial" w:hAnsi="Arial"/>
          <w:sz w:val="18"/>
          <w:szCs w:val="18"/>
          <w:b w:val="1"/>
          <w:bCs w:val="1"/>
          <w:color w:val="auto"/>
        </w:rPr>
        <w:t>III.2.f.1.</w:t>
      </w:r>
      <w:r>
        <w:rPr>
          <w:sz w:val="20"/>
          <w:szCs w:val="20"/>
          <w:color w:val="auto"/>
        </w:rPr>
        <w:tab/>
      </w:r>
      <w:r>
        <w:rPr>
          <w:rFonts w:ascii="Arial" w:cs="Arial" w:eastAsia="Arial" w:hAnsi="Arial"/>
          <w:sz w:val="18"/>
          <w:szCs w:val="18"/>
          <w:b w:val="1"/>
          <w:bCs w:val="1"/>
          <w:color w:val="auto"/>
        </w:rPr>
        <w:t>Open Period (Window Period) and Restricted Period (Black-Out Period)</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A Window period is the time interval during which the People Covered by this Code are permitted to freely trade in the Bank’s stock.</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Generally, unless there is any reason for the Bank to close this Window Period, this period shall begin three (3) business days following the issue of the press release on the Bank’s financial results with a duration of forty-five (45) calendar days subsequent to the issue of the corresponding press release.</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period that begins after the forty-five (45) calendar days of the Window Period and ends after the three (3) business days following the next press release about the Bank’s financial results is referred to as the Blackout Period.</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34" w:name="page235"/>
    <w:bookmarkEnd w:id="234"/>
    <w:p>
      <w:pPr>
        <w:spacing w:after="0"/>
        <w:rPr>
          <w:sz w:val="20"/>
          <w:szCs w:val="20"/>
          <w:color w:val="auto"/>
        </w:rPr>
      </w:pPr>
      <w:r>
        <w:rPr>
          <w:rFonts w:ascii="Arial" w:cs="Arial" w:eastAsia="Arial" w:hAnsi="Arial"/>
          <w:sz w:val="18"/>
          <w:szCs w:val="18"/>
          <w:color w:val="auto"/>
        </w:rPr>
        <w:t>Bladex shall retain the right to increase the length of the Blackout Period or restrict the window period at its entire discretion.</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People Covered by this Code shall submit written notification using the form provided by the Bank thereto of any type of trades of Bladex shares carried out, immediately upon their execution, to the following persons designated thereto:</w:t>
      </w:r>
    </w:p>
    <w:p>
      <w:pPr>
        <w:spacing w:after="0" w:line="170" w:lineRule="exact"/>
        <w:rPr>
          <w:sz w:val="20"/>
          <w:szCs w:val="20"/>
          <w:color w:val="auto"/>
        </w:rPr>
      </w:pPr>
    </w:p>
    <w:p>
      <w:pPr>
        <w:ind w:left="980" w:right="20" w:hanging="324"/>
        <w:spacing w:after="0" w:line="277" w:lineRule="auto"/>
        <w:tabs>
          <w:tab w:leader="none" w:pos="980" w:val="left"/>
        </w:tabs>
        <w:numPr>
          <w:ilvl w:val="0"/>
          <w:numId w:val="224"/>
        </w:numPr>
        <w:rPr>
          <w:rFonts w:ascii="Arial" w:cs="Arial" w:eastAsia="Arial" w:hAnsi="Arial"/>
          <w:sz w:val="18"/>
          <w:szCs w:val="18"/>
          <w:color w:val="auto"/>
        </w:rPr>
      </w:pPr>
      <w:r>
        <w:rPr>
          <w:rFonts w:ascii="Arial" w:cs="Arial" w:eastAsia="Arial" w:hAnsi="Arial"/>
          <w:sz w:val="18"/>
          <w:szCs w:val="18"/>
          <w:color w:val="auto"/>
        </w:rPr>
        <w:t>For Bank Directors or Officers, including the CEO, notification should be made to the Chairman of the Board of Directors of the Bank with a copy to the Shareholder Relations Department.</w:t>
      </w:r>
    </w:p>
    <w:p>
      <w:pPr>
        <w:spacing w:after="0" w:line="170" w:lineRule="exact"/>
        <w:rPr>
          <w:rFonts w:ascii="Arial" w:cs="Arial" w:eastAsia="Arial" w:hAnsi="Arial"/>
          <w:sz w:val="18"/>
          <w:szCs w:val="18"/>
          <w:color w:val="auto"/>
        </w:rPr>
      </w:pPr>
    </w:p>
    <w:p>
      <w:pPr>
        <w:ind w:left="980" w:hanging="324"/>
        <w:spacing w:after="0" w:line="277" w:lineRule="auto"/>
        <w:tabs>
          <w:tab w:leader="none" w:pos="980" w:val="left"/>
        </w:tabs>
        <w:numPr>
          <w:ilvl w:val="0"/>
          <w:numId w:val="224"/>
        </w:numPr>
        <w:rPr>
          <w:rFonts w:ascii="Arial" w:cs="Arial" w:eastAsia="Arial" w:hAnsi="Arial"/>
          <w:sz w:val="18"/>
          <w:szCs w:val="18"/>
          <w:color w:val="auto"/>
        </w:rPr>
      </w:pPr>
      <w:r>
        <w:rPr>
          <w:rFonts w:ascii="Arial" w:cs="Arial" w:eastAsia="Arial" w:hAnsi="Arial"/>
          <w:sz w:val="18"/>
          <w:szCs w:val="18"/>
          <w:color w:val="auto"/>
        </w:rPr>
        <w:t>For the Chairman of the Board of Directors of the Bank, notification should be made to the Chairman of the Audit and Compliance Committee of the Bank with a copy to the Shareholder Relations Department.</w:t>
      </w:r>
    </w:p>
    <w:p>
      <w:pPr>
        <w:spacing w:after="0" w:line="170" w:lineRule="exact"/>
        <w:rPr>
          <w:rFonts w:ascii="Arial" w:cs="Arial" w:eastAsia="Arial" w:hAnsi="Arial"/>
          <w:sz w:val="18"/>
          <w:szCs w:val="18"/>
          <w:color w:val="auto"/>
        </w:rPr>
      </w:pPr>
    </w:p>
    <w:p>
      <w:pPr>
        <w:ind w:left="980" w:right="20" w:hanging="324"/>
        <w:spacing w:after="0" w:line="277" w:lineRule="auto"/>
        <w:tabs>
          <w:tab w:leader="none" w:pos="980" w:val="left"/>
        </w:tabs>
        <w:numPr>
          <w:ilvl w:val="0"/>
          <w:numId w:val="224"/>
        </w:numPr>
        <w:rPr>
          <w:rFonts w:ascii="Arial" w:cs="Arial" w:eastAsia="Arial" w:hAnsi="Arial"/>
          <w:sz w:val="18"/>
          <w:szCs w:val="18"/>
          <w:color w:val="auto"/>
        </w:rPr>
      </w:pPr>
      <w:r>
        <w:rPr>
          <w:rFonts w:ascii="Arial" w:cs="Arial" w:eastAsia="Arial" w:hAnsi="Arial"/>
          <w:sz w:val="18"/>
          <w:szCs w:val="18"/>
          <w:color w:val="auto"/>
        </w:rPr>
        <w:t>For Bank Employees, notification should be made to the CEO with a copy to the Human Resources and the Shareholders Relations Departments.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above designated persons shall send copies of the completed notification forms received to the Bank’s Shareholders Relations Department in case of Directors and Officers.</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Notification forms for reporting any fact foreseen in this section are available through the Bank’s Intranet or from Shareholders Relations Department. A copy of the completed and signed form, either an original or copy received by fax or in PDF format, shall be filed in the employee records of the corresponding Director, Officer or Employee kept in the Bank’s Shareholders Relations and Human Resources Departments.</w:t>
      </w:r>
    </w:p>
    <w:p>
      <w:pPr>
        <w:spacing w:after="0" w:line="166" w:lineRule="exact"/>
        <w:rPr>
          <w:sz w:val="20"/>
          <w:szCs w:val="20"/>
          <w:color w:val="auto"/>
        </w:rPr>
      </w:pPr>
    </w:p>
    <w:p>
      <w:pPr>
        <w:jc w:val="both"/>
        <w:ind w:right="20"/>
        <w:spacing w:after="0" w:line="342" w:lineRule="auto"/>
        <w:rPr>
          <w:sz w:val="20"/>
          <w:szCs w:val="20"/>
          <w:color w:val="auto"/>
        </w:rPr>
      </w:pPr>
      <w:r>
        <w:rPr>
          <w:rFonts w:ascii="Arial" w:cs="Arial" w:eastAsia="Arial" w:hAnsi="Arial"/>
          <w:sz w:val="16"/>
          <w:szCs w:val="16"/>
          <w:color w:val="auto"/>
        </w:rPr>
        <w:t>The procedures established herein are applicable to any type of purchase, sale or trade of Bladex shares (including shares obtained by exercising stock options), carried out on their own account or through another party, either an individual or legal entity, including family members, friends or coworkers.</w:t>
      </w:r>
    </w:p>
    <w:p>
      <w:pPr>
        <w:spacing w:after="0" w:line="124"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Notwithstanding the above, the People Covered by this Code shall abstain from carrying out trades in Bladex shares, even if within the “Window Period” set forth in this section, if they become aware of any confidential or insider information of material importance related to Bladex and its business that has not been disclosed to the market by Bladex.</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Any of the above mentioned individuals to whom this policy is applicable who does not comply with the dispositions contained herein and carries out a transaction of selling/buying shares during the Black Out Period, shall reverse said transaction within two (2) weeks. Any profits obtained from this reversion shall be handed to the Bank and any loss shall be assumed by the individual.</w:t>
      </w:r>
    </w:p>
    <w:p>
      <w:pPr>
        <w:spacing w:after="0" w:line="18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Audit and Compliance Committee of the Board of Directors shall determine the severity of the infringement and shall apply such disciplinary measures as it may deem to be appropriate.</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235" w:name="page236"/>
    <w:bookmarkEnd w:id="235"/>
    <w:p>
      <w:pPr>
        <w:ind w:left="980"/>
        <w:spacing w:after="0"/>
        <w:tabs>
          <w:tab w:leader="none" w:pos="1940" w:val="left"/>
        </w:tabs>
        <w:rPr>
          <w:sz w:val="20"/>
          <w:szCs w:val="20"/>
          <w:color w:val="auto"/>
        </w:rPr>
      </w:pPr>
      <w:r>
        <w:rPr>
          <w:rFonts w:ascii="Arial" w:cs="Arial" w:eastAsia="Arial" w:hAnsi="Arial"/>
          <w:sz w:val="18"/>
          <w:szCs w:val="18"/>
          <w:b w:val="1"/>
          <w:bCs w:val="1"/>
          <w:color w:val="auto"/>
        </w:rPr>
        <w:t>III.2.f.2.</w:t>
      </w:r>
      <w:r>
        <w:rPr>
          <w:sz w:val="20"/>
          <w:szCs w:val="20"/>
          <w:color w:val="auto"/>
        </w:rPr>
        <w:tab/>
      </w:r>
      <w:r>
        <w:rPr>
          <w:rFonts w:ascii="Arial" w:cs="Arial" w:eastAsia="Arial" w:hAnsi="Arial"/>
          <w:sz w:val="18"/>
          <w:szCs w:val="18"/>
          <w:b w:val="1"/>
          <w:bCs w:val="1"/>
          <w:color w:val="auto"/>
        </w:rPr>
        <w:t>The Securities and Exchange Commission (SEC) Rule 10b5-1</w:t>
      </w:r>
    </w:p>
    <w:p>
      <w:pPr>
        <w:spacing w:after="0" w:line="229"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Any of the People Covered by this Code has the option of adopting a pre-arranged stock trading plan, instruction or agreement in accordance with Rule 10b5-1 of the U.S. Securities Exchange Act of 1934, that allows the buying and/or selling of the Bank’s shares during Black-Out periods.</w:t>
      </w:r>
    </w:p>
    <w:p>
      <w:pPr>
        <w:spacing w:after="0" w:line="14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Such pre-arranged plan, instruction or agreement for buying and selling shares being adopted with the respective broker may only be implemented during a Window Period and should specify the quantity of shares to be sold or bought as well as the price and the date of selling or buying them. As an alternative to the above, some written formula or algorithm or computer program may be included as shall operate for determining the quantity, price and data for selling or buying the stock.</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Such pre-arranged plan, instruction or agreement as mentioned hereinabove shall prohibit that the interested party may modify or alter the quantity, price and date for selling or buying the shares later on, unless such modification is made during a Window Period, when the interested party does not have any knowledge of any confidential or insider information.</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pre-arranged plan, instruction or agreement for buying and selling shares that one wishes to use should first be approved in writing, before becoming valid, by the following authorities:</w:t>
      </w:r>
    </w:p>
    <w:p>
      <w:pPr>
        <w:spacing w:after="0" w:line="170" w:lineRule="exact"/>
        <w:rPr>
          <w:sz w:val="20"/>
          <w:szCs w:val="20"/>
          <w:color w:val="auto"/>
        </w:rPr>
      </w:pPr>
    </w:p>
    <w:p>
      <w:pPr>
        <w:ind w:left="660" w:hanging="328"/>
        <w:spacing w:after="0" w:line="277" w:lineRule="auto"/>
        <w:tabs>
          <w:tab w:leader="none" w:pos="660" w:val="left"/>
        </w:tabs>
        <w:numPr>
          <w:ilvl w:val="0"/>
          <w:numId w:val="225"/>
        </w:numPr>
        <w:rPr>
          <w:rFonts w:ascii="Arial" w:cs="Arial" w:eastAsia="Arial" w:hAnsi="Arial"/>
          <w:sz w:val="18"/>
          <w:szCs w:val="18"/>
          <w:color w:val="auto"/>
        </w:rPr>
      </w:pPr>
      <w:r>
        <w:rPr>
          <w:rFonts w:ascii="Arial" w:cs="Arial" w:eastAsia="Arial" w:hAnsi="Arial"/>
          <w:sz w:val="18"/>
          <w:szCs w:val="18"/>
          <w:color w:val="auto"/>
        </w:rPr>
        <w:t>If the pre-arranged plan, agreement or instruction for buying and selling shares is for a Director or Officer of the Bank, including the CEO, then it must be approved by the Bank’s Chairman of the Board.</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225"/>
        </w:numPr>
        <w:rPr>
          <w:rFonts w:ascii="Arial" w:cs="Arial" w:eastAsia="Arial" w:hAnsi="Arial"/>
          <w:sz w:val="18"/>
          <w:szCs w:val="18"/>
          <w:color w:val="auto"/>
        </w:rPr>
      </w:pPr>
      <w:r>
        <w:rPr>
          <w:rFonts w:ascii="Arial" w:cs="Arial" w:eastAsia="Arial" w:hAnsi="Arial"/>
          <w:sz w:val="18"/>
          <w:szCs w:val="18"/>
          <w:color w:val="auto"/>
        </w:rPr>
        <w:t>If the pre-arranged plan, agreement or instruction for buying and selling shares is for the Bank’s Chairman of the Board, then it must be approved by the Chairman of the Bank’s Audit and Compliance Committee.</w:t>
      </w:r>
    </w:p>
    <w:p>
      <w:pPr>
        <w:spacing w:after="0" w:line="170"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225"/>
        </w:numPr>
        <w:rPr>
          <w:rFonts w:ascii="Arial" w:cs="Arial" w:eastAsia="Arial" w:hAnsi="Arial"/>
          <w:sz w:val="18"/>
          <w:szCs w:val="18"/>
          <w:color w:val="auto"/>
        </w:rPr>
      </w:pPr>
      <w:r>
        <w:rPr>
          <w:rFonts w:ascii="Arial" w:cs="Arial" w:eastAsia="Arial" w:hAnsi="Arial"/>
          <w:sz w:val="18"/>
          <w:szCs w:val="18"/>
          <w:color w:val="auto"/>
        </w:rPr>
        <w:t>If the pre-arranged plan, agreement or instruction for buying and selling shares is for an Employee of the Bank, then it must be approved by the Bank’s CEO.</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Apart from that, for Directors, Officers and the Chairman of the Board of Directors of the Bank, a copy of the pre-arranged plan, agreement or instruction for selling and buying shares should be sent to the Shareholder Relations Department and, for the Bank’s Employees, this copy should be sent to the Human Resources Department.</w:t>
      </w:r>
    </w:p>
    <w:p>
      <w:pPr>
        <w:spacing w:after="0" w:line="177" w:lineRule="exact"/>
        <w:rPr>
          <w:sz w:val="20"/>
          <w:szCs w:val="20"/>
          <w:color w:val="auto"/>
        </w:rPr>
      </w:pPr>
    </w:p>
    <w:p>
      <w:pPr>
        <w:ind w:left="980"/>
        <w:spacing w:after="0"/>
        <w:tabs>
          <w:tab w:leader="none" w:pos="1960" w:val="left"/>
        </w:tabs>
        <w:rPr>
          <w:sz w:val="20"/>
          <w:szCs w:val="20"/>
          <w:color w:val="auto"/>
        </w:rPr>
      </w:pPr>
      <w:r>
        <w:rPr>
          <w:rFonts w:ascii="Arial" w:cs="Arial" w:eastAsia="Arial" w:hAnsi="Arial"/>
          <w:sz w:val="18"/>
          <w:szCs w:val="18"/>
          <w:b w:val="1"/>
          <w:bCs w:val="1"/>
          <w:color w:val="auto"/>
        </w:rPr>
        <w:t>III.2.f.3.</w:t>
      </w:r>
      <w:r>
        <w:rPr>
          <w:sz w:val="20"/>
          <w:szCs w:val="20"/>
          <w:color w:val="auto"/>
        </w:rPr>
        <w:tab/>
      </w:r>
      <w:r>
        <w:rPr>
          <w:rFonts w:ascii="Arial" w:cs="Arial" w:eastAsia="Arial" w:hAnsi="Arial"/>
          <w:sz w:val="18"/>
          <w:szCs w:val="18"/>
          <w:b w:val="1"/>
          <w:bCs w:val="1"/>
          <w:color w:val="auto"/>
        </w:rPr>
        <w:t>Revoking and Modifying Pre-Arranged Plans, Agreements or Instructions for Buying and Selling Shares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Director, Officer and Employee of the Bank may revoke their pre-arranged plan, agreement or instruction during a Window Period by notifying their broker in writing.</w:t>
      </w:r>
    </w:p>
    <w:p>
      <w:pPr>
        <w:spacing w:after="0" w:line="170"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Under certain circumstances, a Pre-Arranged Plan, Agreement or Instruction for buying or selling shares should be revoked. This includes such circumstances as the announcement of a merger or any event that would cause such transaction to be in violation of the law or to have an adverse effect on the Bank.</w:t>
      </w:r>
    </w:p>
    <w:p>
      <w:pPr>
        <w:spacing w:after="0" w:line="12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such circumstances, the Shareholder Relations Department is authorized to notify the Broker of the owner of the Pre-Arranged Plan, Agreement or Instruction thereof.</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36" w:name="page237"/>
    <w:bookmarkEnd w:id="236"/>
    <w:p>
      <w:pPr>
        <w:spacing w:after="0"/>
        <w:tabs>
          <w:tab w:leader="none" w:pos="800" w:val="left"/>
        </w:tabs>
        <w:rPr>
          <w:sz w:val="20"/>
          <w:szCs w:val="20"/>
          <w:color w:val="auto"/>
        </w:rPr>
      </w:pPr>
      <w:r>
        <w:rPr>
          <w:rFonts w:ascii="Arial" w:cs="Arial" w:eastAsia="Arial" w:hAnsi="Arial"/>
          <w:sz w:val="18"/>
          <w:szCs w:val="18"/>
          <w:b w:val="1"/>
          <w:bCs w:val="1"/>
          <w:color w:val="auto"/>
        </w:rPr>
        <w:t>III.2.g.</w:t>
      </w:r>
      <w:r>
        <w:rPr>
          <w:sz w:val="20"/>
          <w:szCs w:val="20"/>
          <w:color w:val="auto"/>
        </w:rPr>
        <w:tab/>
      </w:r>
      <w:r>
        <w:rPr>
          <w:rFonts w:ascii="Arial" w:cs="Arial" w:eastAsia="Arial" w:hAnsi="Arial"/>
          <w:sz w:val="18"/>
          <w:szCs w:val="18"/>
          <w:b w:val="1"/>
          <w:bCs w:val="1"/>
          <w:color w:val="auto"/>
        </w:rPr>
        <w:t>Personal Relationship with Candidates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far as the selection and hiring of personnel is concerned, no candidate may receive any preferential treatment vis-à-vis any other candidate on account of any personal or family relationship, nor may they be the object of any type of discrimination.</w:t>
      </w:r>
    </w:p>
    <w:p>
      <w:pPr>
        <w:spacing w:after="0" w:line="166"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III.3.</w:t>
      </w:r>
      <w:r>
        <w:rPr>
          <w:sz w:val="20"/>
          <w:szCs w:val="20"/>
          <w:color w:val="auto"/>
        </w:rPr>
        <w:tab/>
      </w:r>
      <w:r>
        <w:rPr>
          <w:rFonts w:ascii="Arial" w:cs="Arial" w:eastAsia="Arial" w:hAnsi="Arial"/>
          <w:sz w:val="18"/>
          <w:szCs w:val="18"/>
          <w:b w:val="1"/>
          <w:bCs w:val="1"/>
          <w:color w:val="auto"/>
        </w:rPr>
        <w:t>Managing Confidential Information</w:t>
      </w:r>
    </w:p>
    <w:p>
      <w:pPr>
        <w:spacing w:after="0" w:line="225"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III.3.a.</w:t>
      </w:r>
      <w:r>
        <w:rPr>
          <w:sz w:val="20"/>
          <w:szCs w:val="20"/>
          <w:color w:val="auto"/>
        </w:rPr>
        <w:tab/>
      </w:r>
      <w:r>
        <w:rPr>
          <w:rFonts w:ascii="Arial" w:cs="Arial" w:eastAsia="Arial" w:hAnsi="Arial"/>
          <w:sz w:val="18"/>
          <w:szCs w:val="18"/>
          <w:b w:val="1"/>
          <w:bCs w:val="1"/>
          <w:color w:val="auto"/>
        </w:rPr>
        <w:t>Safeguarding Information</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information about the operations of the Institution and its Customers is confidential, so that the use, preservation and custody of the respective documents should be done in strict adherence to the internal rules and regulations thereto.</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Hence, it is a responsibility of each Employee to keep each and every document and/or security title for which they are responsible with due security, as well as all of the information that is the property of the Institution and its Customers.</w:t>
      </w:r>
    </w:p>
    <w:p>
      <w:pPr>
        <w:spacing w:after="0" w:line="166"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III.3.b.</w:t>
      </w:r>
      <w:r>
        <w:rPr>
          <w:sz w:val="20"/>
          <w:szCs w:val="20"/>
          <w:color w:val="auto"/>
        </w:rPr>
        <w:tab/>
      </w:r>
      <w:r>
        <w:rPr>
          <w:rFonts w:ascii="Arial" w:cs="Arial" w:eastAsia="Arial" w:hAnsi="Arial"/>
          <w:sz w:val="18"/>
          <w:szCs w:val="18"/>
          <w:b w:val="1"/>
          <w:bCs w:val="1"/>
          <w:color w:val="auto"/>
        </w:rPr>
        <w:t>Restrictions on the Flow of Information</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All confidential information about publicly traded securities issuers, their financial instruments or transactions in which they are involved, should be kept under the strictest confidentiality. This prohibits any disclosure or communication of such information to third parties, even when they would be people at the Institution itself and the ethical-professional principle of banking confidentiality does apply.</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If, for work related reasons in the Institution it might become necessary to communicate confidential material to a third party, then the following procedures should be followed:</w:t>
      </w:r>
    </w:p>
    <w:p>
      <w:pPr>
        <w:spacing w:after="0" w:line="170" w:lineRule="exact"/>
        <w:rPr>
          <w:sz w:val="20"/>
          <w:szCs w:val="20"/>
          <w:color w:val="auto"/>
        </w:rPr>
      </w:pPr>
    </w:p>
    <w:p>
      <w:pPr>
        <w:ind w:left="660" w:hanging="328"/>
        <w:spacing w:after="0"/>
        <w:tabs>
          <w:tab w:leader="none" w:pos="660" w:val="left"/>
        </w:tabs>
        <w:numPr>
          <w:ilvl w:val="0"/>
          <w:numId w:val="226"/>
        </w:numPr>
        <w:rPr>
          <w:rFonts w:ascii="Arial" w:cs="Arial" w:eastAsia="Arial" w:hAnsi="Arial"/>
          <w:sz w:val="18"/>
          <w:szCs w:val="18"/>
          <w:color w:val="auto"/>
        </w:rPr>
      </w:pPr>
      <w:r>
        <w:rPr>
          <w:rFonts w:ascii="Arial" w:cs="Arial" w:eastAsia="Arial" w:hAnsi="Arial"/>
          <w:sz w:val="18"/>
          <w:szCs w:val="18"/>
          <w:color w:val="auto"/>
        </w:rPr>
        <w:t>Clearly establish that the information is confidential.</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226"/>
        </w:numPr>
        <w:rPr>
          <w:rFonts w:ascii="Arial" w:cs="Arial" w:eastAsia="Arial" w:hAnsi="Arial"/>
          <w:sz w:val="18"/>
          <w:szCs w:val="18"/>
          <w:color w:val="auto"/>
        </w:rPr>
      </w:pPr>
      <w:r>
        <w:rPr>
          <w:rFonts w:ascii="Arial" w:cs="Arial" w:eastAsia="Arial" w:hAnsi="Arial"/>
          <w:sz w:val="18"/>
          <w:szCs w:val="18"/>
          <w:color w:val="auto"/>
        </w:rPr>
        <w:t>Make the restrictions about disclosing such information known.</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226"/>
        </w:numPr>
        <w:rPr>
          <w:rFonts w:ascii="Arial" w:cs="Arial" w:eastAsia="Arial" w:hAnsi="Arial"/>
          <w:sz w:val="18"/>
          <w:szCs w:val="18"/>
          <w:color w:val="auto"/>
        </w:rPr>
      </w:pPr>
      <w:r>
        <w:rPr>
          <w:rFonts w:ascii="Arial" w:cs="Arial" w:eastAsia="Arial" w:hAnsi="Arial"/>
          <w:sz w:val="18"/>
          <w:szCs w:val="18"/>
          <w:color w:val="auto"/>
        </w:rPr>
        <w:t>Make the prohibition to engage in any financial transactions based on such information known.</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It is prohibited to communicate, reproduce or transmit, verbally or in writing o by electronic means, any of the Bank’s information about its business strategy, data bases, Customer segmentation or any other information about the Institution’s or its Customers’ business or operations to any third party, even when the Employee has not been directly involved.</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People Covered by this Code should abstain from responding to any questions asked about such operations or about any other business that could generate a liability or prejudice for the Bank or its Customers, without first consulting the Compliance Officer or Human Resources.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 responsible care and management of stock market information is extremely important, both in dealing with Customers as well as in a correct personal administration.</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37" w:name="page238"/>
    <w:bookmarkEnd w:id="237"/>
    <w:p>
      <w:pPr>
        <w:jc w:val="both"/>
        <w:spacing w:after="0" w:line="264" w:lineRule="auto"/>
        <w:rPr>
          <w:sz w:val="20"/>
          <w:szCs w:val="20"/>
          <w:color w:val="auto"/>
        </w:rPr>
      </w:pPr>
      <w:r>
        <w:rPr>
          <w:rFonts w:ascii="Arial" w:cs="Arial" w:eastAsia="Arial" w:hAnsi="Arial"/>
          <w:sz w:val="18"/>
          <w:szCs w:val="18"/>
          <w:color w:val="auto"/>
        </w:rPr>
        <w:t>Likewise, any People Covered by this Code that participate in preparing the reports and documents that Bladex will have to file and/or submit to the respective supervising authorities should undergo a reasonable, complete, secure, timely and comprehensible disclosure. The same conduct should be observed when preparing any other public communication made by the Bank.</w:t>
      </w:r>
    </w:p>
    <w:p>
      <w:pPr>
        <w:spacing w:after="0" w:line="177" w:lineRule="exact"/>
        <w:rPr>
          <w:sz w:val="20"/>
          <w:szCs w:val="20"/>
          <w:color w:val="auto"/>
        </w:rPr>
      </w:pPr>
    </w:p>
    <w:p>
      <w:pPr>
        <w:ind w:left="20"/>
        <w:spacing w:after="0"/>
        <w:rPr>
          <w:sz w:val="20"/>
          <w:szCs w:val="20"/>
          <w:color w:val="auto"/>
        </w:rPr>
      </w:pPr>
      <w:r>
        <w:rPr>
          <w:rFonts w:ascii="Arial" w:cs="Arial" w:eastAsia="Arial" w:hAnsi="Arial"/>
          <w:sz w:val="18"/>
          <w:szCs w:val="18"/>
          <w:b w:val="1"/>
          <w:bCs w:val="1"/>
          <w:color w:val="auto"/>
        </w:rPr>
        <w:t>III.4.Acting in the Name of the Bank</w:t>
      </w:r>
    </w:p>
    <w:p>
      <w:pPr>
        <w:spacing w:after="0" w:line="225"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III.4.a.</w:t>
      </w:r>
      <w:r>
        <w:rPr>
          <w:sz w:val="20"/>
          <w:szCs w:val="20"/>
          <w:color w:val="auto"/>
        </w:rPr>
        <w:tab/>
      </w:r>
      <w:r>
        <w:rPr>
          <w:rFonts w:ascii="Arial" w:cs="Arial" w:eastAsia="Arial" w:hAnsi="Arial"/>
          <w:sz w:val="18"/>
          <w:szCs w:val="18"/>
          <w:b w:val="1"/>
          <w:bCs w:val="1"/>
          <w:color w:val="auto"/>
        </w:rPr>
        <w:t>Individual Responsibility</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an integral part of the Institution, its Employees assume an individual responsibility for their acts and behavior, which includes a compulsory awareness of and compliance with the dispositions set forth in the Internal Procedures, Manuals, Guidelines, Rules and Regulations.</w:t>
      </w:r>
    </w:p>
    <w:p>
      <w:pPr>
        <w:spacing w:after="0" w:line="170"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Employees shall neither engage in any unlawful act nor adopt such behavior as may be harmful to the prestige, interests or assets of the Institution or those of its Employees. If a sub-ordinate Employee should receive any instructions that are incompatible with the internal norms, policies and values, then he or she should inform the upper echelons of the Human Resources Department thereof, in order to adopt such measures and safeguards as may be necessary.</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use of the resources made available by the Bank to the Employees is for business purposes only and exclusively for performing the functions assigned to them as well as possible. The use of the Institutional E-mail should not compromise the Bank’s image or prestige.</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Everyone should be completely loyal to the Institution in all aspects and not use its name for personal purposes. Neither should any type of information negatively affecting the dignity of the Institution or of its Employees be published.</w:t>
      </w:r>
    </w:p>
    <w:p>
      <w:pPr>
        <w:spacing w:after="0" w:line="166"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III.4.b.</w:t>
      </w:r>
      <w:r>
        <w:rPr>
          <w:sz w:val="20"/>
          <w:szCs w:val="20"/>
          <w:color w:val="auto"/>
        </w:rPr>
        <w:tab/>
      </w:r>
      <w:r>
        <w:rPr>
          <w:rFonts w:ascii="Arial" w:cs="Arial" w:eastAsia="Arial" w:hAnsi="Arial"/>
          <w:sz w:val="18"/>
          <w:szCs w:val="18"/>
          <w:b w:val="1"/>
          <w:bCs w:val="1"/>
          <w:color w:val="auto"/>
        </w:rPr>
        <w:t>Work Responsibility</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Each and every Employee should fully dedicate his or her time and capabilities to serving the Institution during work hours. Consequently, they may neither use the offices not any other assets of the Institution for non-work-related activities.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Regarding any outside commitments or other activities, Employees should not assume any responsibility or functions that could denote some kind of conflict of interest with the Bank’s management. If there is no such contra-indication, the acceptance of any external work, representation of consulting for which some payment is received must be reported in writing to the Compliance Officer and duly authorized by Human Resources. Anyhow, those activities should not interfere with the typical obligations and performance of the Employee himself or herself, nor should they dedicate so many hours that their physical or mental capacity would be affected.</w:t>
      </w:r>
    </w:p>
    <w:p>
      <w:pPr>
        <w:spacing w:after="0" w:line="188"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The Bank’s Employees are forbidden to provide services of any kind to other banks or financial institutions, or to any companies that belong to are related to any of the Bank’s Customers, which would cause a conflict of interest and/or where an unfair competition for Bladex could be assumed.</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238" w:name="page239"/>
    <w:bookmarkEnd w:id="238"/>
    <w:p>
      <w:pPr>
        <w:spacing w:after="0"/>
        <w:rPr>
          <w:sz w:val="20"/>
          <w:szCs w:val="20"/>
          <w:color w:val="auto"/>
        </w:rPr>
      </w:pPr>
      <w:r>
        <w:rPr>
          <w:rFonts w:ascii="Arial" w:cs="Arial" w:eastAsia="Arial" w:hAnsi="Arial"/>
          <w:sz w:val="18"/>
          <w:szCs w:val="18"/>
          <w:color w:val="auto"/>
        </w:rPr>
        <w:t>Bladex Employees teaching college should do that outside their regular office hours.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Participation in non-remunerated activities that are unrelated to the Institution is allowed, as long as they do not interfere with the moral conduct and performance of the person in the Bank and is known and duly authorized by the respective Supervisor.</w:t>
      </w:r>
    </w:p>
    <w:p>
      <w:pPr>
        <w:spacing w:after="0" w:line="170" w:lineRule="exact"/>
        <w:rPr>
          <w:sz w:val="20"/>
          <w:szCs w:val="20"/>
          <w:color w:val="auto"/>
        </w:rPr>
      </w:pPr>
    </w:p>
    <w:p>
      <w:pPr>
        <w:spacing w:after="0"/>
        <w:rPr>
          <w:sz w:val="20"/>
          <w:szCs w:val="20"/>
          <w:color w:val="auto"/>
        </w:rPr>
      </w:pPr>
      <w:r>
        <w:rPr>
          <w:rFonts w:ascii="Arial" w:cs="Arial" w:eastAsia="Arial" w:hAnsi="Arial"/>
          <w:sz w:val="16"/>
          <w:szCs w:val="16"/>
          <w:color w:val="auto"/>
        </w:rPr>
        <w:t>Concerning non-profit organizations the Institution authorizes and encourages the participation of its Employees in charitable and social assistance activities.</w:t>
      </w:r>
    </w:p>
    <w:p>
      <w:pPr>
        <w:spacing w:after="0" w:line="244"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III.4.c.</w:t>
      </w:r>
      <w:r>
        <w:rPr>
          <w:sz w:val="20"/>
          <w:szCs w:val="20"/>
          <w:color w:val="auto"/>
        </w:rPr>
        <w:tab/>
      </w:r>
      <w:r>
        <w:rPr>
          <w:rFonts w:ascii="Arial" w:cs="Arial" w:eastAsia="Arial" w:hAnsi="Arial"/>
          <w:sz w:val="18"/>
          <w:szCs w:val="18"/>
          <w:b w:val="1"/>
          <w:bCs w:val="1"/>
          <w:color w:val="auto"/>
        </w:rPr>
        <w:t>Public Presentations and Publications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All People Covered by this Code that have to represent the Bank in speeches, conferences, seminars or external meetings of a similar nature should first report the contents of their presentation to and obtain prior authorization from their corresponding Supervisor.</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All requirements of information made by the media regarding Bladex should be remitted to and approved first by the Marketing Area, with the People Covered by this Code abstaining from providing background or granting interviews to any of the media, prior to validating that with the Marketing Area or obtaining their approval thereto.</w:t>
      </w:r>
    </w:p>
    <w:p>
      <w:pPr>
        <w:spacing w:after="0" w:line="18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Institution’s products and services are its exclusive property as well as any contribution that any of the People Covered by this Code could make for their development and implementation. These conditions shall remain unalterable, even when the person has already left the Bank.</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Any personal communications, whether written or verbally, must be done in their own name and not involve the Bank under any circumstances.</w:t>
      </w:r>
    </w:p>
    <w:p>
      <w:pPr>
        <w:spacing w:after="0" w:line="221"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III.4.d.</w:t>
      </w:r>
      <w:r>
        <w:rPr>
          <w:sz w:val="20"/>
          <w:szCs w:val="20"/>
          <w:color w:val="auto"/>
        </w:rPr>
        <w:tab/>
      </w:r>
      <w:r>
        <w:rPr>
          <w:rFonts w:ascii="Arial" w:cs="Arial" w:eastAsia="Arial" w:hAnsi="Arial"/>
          <w:sz w:val="18"/>
          <w:szCs w:val="18"/>
          <w:b w:val="1"/>
          <w:bCs w:val="1"/>
          <w:color w:val="auto"/>
        </w:rPr>
        <w:t>Appointment to Public office and other Appointments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Public Office appointment or functions are not compatible with the performance as a member of the Institution, whether such office is municipal, governmental or of any other appointed or elected public connotation. However, such functions as are deriving from unavoidable civic duties are exempted from the above consideration such as being called up for jury duty, in accordance with applicable law.</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 any event, any of the People Covered by this Code may request authorization from the Compliance Officer for holding an office with public connotations that is neither municipal nor governmental, as long as there are no legal incompatibilities with their work at the Bank and the exercise of such functions does not put the Institution’s reputation at risk.</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239" w:name="page240"/>
    <w:bookmarkEnd w:id="239"/>
    <w:p>
      <w:pPr>
        <w:spacing w:after="0"/>
        <w:tabs>
          <w:tab w:leader="none" w:pos="800" w:val="left"/>
        </w:tabs>
        <w:rPr>
          <w:sz w:val="20"/>
          <w:szCs w:val="20"/>
          <w:color w:val="auto"/>
        </w:rPr>
      </w:pPr>
      <w:r>
        <w:rPr>
          <w:rFonts w:ascii="Arial" w:cs="Arial" w:eastAsia="Arial" w:hAnsi="Arial"/>
          <w:sz w:val="18"/>
          <w:szCs w:val="18"/>
          <w:b w:val="1"/>
          <w:bCs w:val="1"/>
          <w:color w:val="auto"/>
        </w:rPr>
        <w:t>III.4.e.</w:t>
      </w:r>
      <w:r>
        <w:rPr>
          <w:sz w:val="20"/>
          <w:szCs w:val="20"/>
          <w:color w:val="auto"/>
        </w:rPr>
        <w:tab/>
      </w:r>
      <w:r>
        <w:rPr>
          <w:rFonts w:ascii="Arial" w:cs="Arial" w:eastAsia="Arial" w:hAnsi="Arial"/>
          <w:sz w:val="18"/>
          <w:szCs w:val="18"/>
          <w:b w:val="1"/>
          <w:bCs w:val="1"/>
          <w:color w:val="auto"/>
        </w:rPr>
        <w:t>Exercising Powers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Employees may only sign documents, represent or exercise authority on behalf of the Bank, if they do have specific powers of attorney or authorization pursuant to the office they hold and functions they perform. Any document accrediting a commitment, agreement or contract by the Institution must be signed pursuant to the Delegation of Powers as issued by the Board of Directors from time to time.</w:t>
      </w:r>
    </w:p>
    <w:p>
      <w:pPr>
        <w:spacing w:after="0" w:line="177"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III.5.</w:t>
      </w:r>
      <w:r>
        <w:rPr>
          <w:sz w:val="20"/>
          <w:szCs w:val="20"/>
          <w:color w:val="auto"/>
        </w:rPr>
        <w:tab/>
      </w:r>
      <w:r>
        <w:rPr>
          <w:rFonts w:ascii="Arial" w:cs="Arial" w:eastAsia="Arial" w:hAnsi="Arial"/>
          <w:sz w:val="18"/>
          <w:szCs w:val="18"/>
          <w:b w:val="1"/>
          <w:bCs w:val="1"/>
          <w:color w:val="auto"/>
        </w:rPr>
        <w:t>Unlawful Business and the Prevention of Money Laundering</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Institution shall only partake of legitimate business and according to current laws in force. It shall uphold high service, price and quality standards, always acting within a framework of fair, legitimate and open competition. As unlawful business is considered such business as is not allowed by law, as well as those that do not respect and safeguard the Bank’s internal rules and regulations.</w:t>
      </w:r>
    </w:p>
    <w:p>
      <w:pPr>
        <w:spacing w:after="0" w:line="18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Any intent to “launder money” will be considered as a threat to the Institution’s trust and reputation and the Bank shall do everything in its power to prevent that it is used for such purposes.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Employees must comply with the policy and norms defined thereto and when they find themselves in the presence of a suspicious or unusual transaction, they should report it directly and obligatorily to the Compliance officer.</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shall not enter into any relationship with natural or juridical persons, whether as customers, investors or providers if there is a suspicion that the money or the services offered by them are the product of unlawful or illegitimate activities.</w:t>
      </w:r>
    </w:p>
    <w:p>
      <w:pPr>
        <w:spacing w:after="0" w:line="166"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III.6.</w:t>
      </w:r>
      <w:r>
        <w:rPr>
          <w:sz w:val="20"/>
          <w:szCs w:val="20"/>
          <w:color w:val="auto"/>
        </w:rPr>
        <w:tab/>
      </w:r>
      <w:r>
        <w:rPr>
          <w:rFonts w:ascii="Arial" w:cs="Arial" w:eastAsia="Arial" w:hAnsi="Arial"/>
          <w:sz w:val="18"/>
          <w:szCs w:val="18"/>
          <w:b w:val="1"/>
          <w:bCs w:val="1"/>
          <w:color w:val="auto"/>
        </w:rPr>
        <w:t>Personal Integrity</w:t>
      </w:r>
    </w:p>
    <w:p>
      <w:pPr>
        <w:spacing w:after="0" w:line="229" w:lineRule="exact"/>
        <w:rPr>
          <w:sz w:val="20"/>
          <w:szCs w:val="20"/>
          <w:color w:val="auto"/>
        </w:rPr>
      </w:pPr>
    </w:p>
    <w:p>
      <w:pPr>
        <w:spacing w:after="0"/>
        <w:rPr>
          <w:sz w:val="20"/>
          <w:szCs w:val="20"/>
          <w:color w:val="auto"/>
        </w:rPr>
      </w:pPr>
      <w:r>
        <w:rPr>
          <w:rFonts w:ascii="Arial" w:cs="Arial" w:eastAsia="Arial" w:hAnsi="Arial"/>
          <w:sz w:val="16"/>
          <w:szCs w:val="16"/>
          <w:color w:val="auto"/>
        </w:rPr>
        <w:t>The People Covered by this Code should, at all times, within and without the Institution, adopt such behavior as will reflect the Values promoted by the Bank.</w:t>
      </w:r>
    </w:p>
    <w:p>
      <w:pPr>
        <w:spacing w:after="0" w:line="46" w:lineRule="exact"/>
        <w:rPr>
          <w:sz w:val="20"/>
          <w:szCs w:val="20"/>
          <w:color w:val="auto"/>
        </w:rPr>
      </w:pPr>
    </w:p>
    <w:p>
      <w:pPr>
        <w:spacing w:after="0"/>
        <w:rPr>
          <w:sz w:val="20"/>
          <w:szCs w:val="20"/>
          <w:color w:val="auto"/>
        </w:rPr>
      </w:pPr>
      <w:r>
        <w:rPr>
          <w:rFonts w:ascii="Arial" w:cs="Arial" w:eastAsia="Arial" w:hAnsi="Arial"/>
          <w:sz w:val="16"/>
          <w:szCs w:val="16"/>
          <w:color w:val="auto"/>
        </w:rPr>
        <w:t>The Institution requires respect for the dignity of its Employees and from those it expects am honest and responsible conduct in all of their daily undertakings.</w:t>
      </w:r>
    </w:p>
    <w:p>
      <w:pPr>
        <w:spacing w:after="0" w:line="23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prohibition for People Covered by this Code to show or exercise any kind of harassment, by whatever means, which could harm the labor situation or job opportunities of any person, should be given a special consideration in relation to the personal integrity.</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Arbitrary discrimination for any reason, whether race, sex, religion, disability or other are practices that are not accepted in the ethical framework defined by Bladex, as we are a workplace where respect, professionalism and dignity should reign.</w:t>
      </w:r>
    </w:p>
    <w:p>
      <w:pPr>
        <w:spacing w:after="0" w:line="170"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Likewise, it is established that Bladex will encourage for the people to develop a quality of life associated to concepts such as the promotion of health and a healthy recreation. Along those lines, the consumption, possession or sale of drugs, alcohol or narcotics inside the company is totally forbidden.</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40" w:name="page241"/>
    <w:bookmarkEnd w:id="240"/>
    <w:p>
      <w:pPr>
        <w:spacing w:after="0"/>
        <w:tabs>
          <w:tab w:leader="none" w:pos="800" w:val="left"/>
        </w:tabs>
        <w:rPr>
          <w:sz w:val="20"/>
          <w:szCs w:val="20"/>
          <w:color w:val="auto"/>
        </w:rPr>
      </w:pPr>
      <w:r>
        <w:rPr>
          <w:rFonts w:ascii="Arial" w:cs="Arial" w:eastAsia="Arial" w:hAnsi="Arial"/>
          <w:sz w:val="18"/>
          <w:szCs w:val="18"/>
          <w:b w:val="1"/>
          <w:bCs w:val="1"/>
          <w:color w:val="auto"/>
        </w:rPr>
        <w:t>III.7.</w:t>
      </w:r>
      <w:r>
        <w:rPr>
          <w:sz w:val="20"/>
          <w:szCs w:val="20"/>
          <w:color w:val="auto"/>
        </w:rPr>
        <w:tab/>
      </w:r>
      <w:r>
        <w:rPr>
          <w:rFonts w:ascii="Arial" w:cs="Arial" w:eastAsia="Arial" w:hAnsi="Arial"/>
          <w:sz w:val="18"/>
          <w:szCs w:val="18"/>
          <w:b w:val="1"/>
          <w:bCs w:val="1"/>
          <w:color w:val="auto"/>
        </w:rPr>
        <w:t>Investigations</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All staff have a duty to fully cooperate with any duly authorized internal or external investigation, including, among others, those related to problems of an ethical character or legal actions of any kind.</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To make false or misleading statements to the internal or outside auditors, the Legal or Compliance Departments, or to representatives of the entities that regulate Bladex, may be sufficient cause for dismissal or the cessation of any relationship with Bladex. One should never sit on or refrain from communicating any information related to ethical problems that, because of that reason, should be brought to the consideration of the corresponding management levels.</w:t>
      </w:r>
    </w:p>
    <w:p>
      <w:pPr>
        <w:spacing w:after="0" w:line="183"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III.8.</w:t>
      </w:r>
      <w:r>
        <w:rPr>
          <w:sz w:val="20"/>
          <w:szCs w:val="20"/>
          <w:color w:val="auto"/>
        </w:rPr>
        <w:tab/>
      </w:r>
      <w:r>
        <w:rPr>
          <w:rFonts w:ascii="Arial" w:cs="Arial" w:eastAsia="Arial" w:hAnsi="Arial"/>
          <w:sz w:val="18"/>
          <w:szCs w:val="18"/>
          <w:b w:val="1"/>
          <w:bCs w:val="1"/>
          <w:color w:val="auto"/>
        </w:rPr>
        <w:t>A High-Level Culture of Honesty and Ethics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Sarbanes-Oxley Act of 2002, enacted in the United States of America, establishes the obligation to ensure adequate internal controls at the Organization in order to:</w:t>
      </w:r>
    </w:p>
    <w:p>
      <w:pPr>
        <w:spacing w:after="0" w:line="170" w:lineRule="exact"/>
        <w:rPr>
          <w:sz w:val="20"/>
          <w:szCs w:val="20"/>
          <w:color w:val="auto"/>
        </w:rPr>
      </w:pPr>
    </w:p>
    <w:p>
      <w:pPr>
        <w:ind w:left="660" w:hanging="328"/>
        <w:spacing w:after="0" w:line="277" w:lineRule="auto"/>
        <w:tabs>
          <w:tab w:leader="none" w:pos="660" w:val="left"/>
        </w:tabs>
        <w:numPr>
          <w:ilvl w:val="0"/>
          <w:numId w:val="227"/>
        </w:numPr>
        <w:rPr>
          <w:rFonts w:ascii="Arial" w:cs="Arial" w:eastAsia="Arial" w:hAnsi="Arial"/>
          <w:sz w:val="18"/>
          <w:szCs w:val="18"/>
          <w:color w:val="auto"/>
        </w:rPr>
      </w:pPr>
      <w:r>
        <w:rPr>
          <w:rFonts w:ascii="Arial" w:cs="Arial" w:eastAsia="Arial" w:hAnsi="Arial"/>
          <w:sz w:val="18"/>
          <w:szCs w:val="18"/>
          <w:color w:val="auto"/>
        </w:rPr>
        <w:t>Be reasonably sure that transactions are duly recorded and that they are being carried out only according to authorizations from the Board of Directors.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227"/>
        </w:numPr>
        <w:rPr>
          <w:rFonts w:ascii="Arial" w:cs="Arial" w:eastAsia="Arial" w:hAnsi="Arial"/>
          <w:sz w:val="17"/>
          <w:szCs w:val="17"/>
          <w:color w:val="auto"/>
        </w:rPr>
      </w:pPr>
      <w:r>
        <w:rPr>
          <w:rFonts w:ascii="Arial" w:cs="Arial" w:eastAsia="Arial" w:hAnsi="Arial"/>
          <w:sz w:val="17"/>
          <w:szCs w:val="17"/>
          <w:color w:val="auto"/>
        </w:rPr>
        <w:t>Design effective internal controls to ensure that significant information about the Company and its consolidating subsidiaries is being disclosed.</w:t>
      </w:r>
    </w:p>
    <w:p>
      <w:pPr>
        <w:spacing w:after="0" w:line="236" w:lineRule="exact"/>
        <w:rPr>
          <w:rFonts w:ascii="Arial" w:cs="Arial" w:eastAsia="Arial" w:hAnsi="Arial"/>
          <w:sz w:val="17"/>
          <w:szCs w:val="17"/>
          <w:color w:val="auto"/>
        </w:rPr>
      </w:pPr>
    </w:p>
    <w:p>
      <w:pPr>
        <w:ind w:left="660" w:hanging="328"/>
        <w:spacing w:after="0"/>
        <w:tabs>
          <w:tab w:leader="none" w:pos="660" w:val="left"/>
        </w:tabs>
        <w:numPr>
          <w:ilvl w:val="0"/>
          <w:numId w:val="227"/>
        </w:numPr>
        <w:rPr>
          <w:rFonts w:ascii="Arial" w:cs="Arial" w:eastAsia="Arial" w:hAnsi="Arial"/>
          <w:sz w:val="18"/>
          <w:szCs w:val="18"/>
          <w:color w:val="auto"/>
        </w:rPr>
      </w:pPr>
      <w:r>
        <w:rPr>
          <w:rFonts w:ascii="Arial" w:cs="Arial" w:eastAsia="Arial" w:hAnsi="Arial"/>
          <w:sz w:val="18"/>
          <w:szCs w:val="18"/>
          <w:color w:val="auto"/>
        </w:rPr>
        <w:t>Implement measures for avoiding, dissuading and detecting fraud.</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implementation of such measures should be evidenced by a separate document drawn up by the Bank’s Management, in accordance with generally accepted international standards about that matter.</w:t>
      </w:r>
    </w:p>
    <w:p>
      <w:pPr>
        <w:spacing w:after="0" w:line="170"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The Bank requires keeping information related to such operational risk incidents and events as may arise. It is an obligation of all members of the Bladex work team to timely disclose and report all operational risk incidents and events coming up in the processes, both to those responsible for each of the Areas as well as to the Operational Risk Management Area.</w:t>
      </w:r>
    </w:p>
    <w:p>
      <w:pPr>
        <w:spacing w:after="0" w:line="177"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III.9.</w:t>
      </w:r>
      <w:r>
        <w:rPr>
          <w:sz w:val="20"/>
          <w:szCs w:val="20"/>
          <w:color w:val="auto"/>
        </w:rPr>
        <w:tab/>
      </w:r>
      <w:r>
        <w:rPr>
          <w:rFonts w:ascii="Arial" w:cs="Arial" w:eastAsia="Arial" w:hAnsi="Arial"/>
          <w:sz w:val="18"/>
          <w:szCs w:val="18"/>
          <w:b w:val="1"/>
          <w:bCs w:val="1"/>
          <w:color w:val="auto"/>
        </w:rPr>
        <w:t>Relations with the Public Sector and Regulatory Entities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Deference and courtesy by Bladex and its representatives towards members of the public sector and regulatory entities should be an organizational trait. Those relationships should never be used for personal advantage by people who work at Bladex. High moral and civic standards and respect for the law should be observed at all times.</w:t>
      </w:r>
    </w:p>
    <w:p>
      <w:pPr>
        <w:spacing w:after="0" w:line="18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as a multinational bank, is subject to a series of laws and regulations for its operations in the different countries where it has a presence or operations. Any non-compliance with those laws and regulations could be the object of sanctions. It is a responsibility of each and every person to know and understand the legal aspects that apply to the performance of the tasks assigned to them, the activity of the Departments they belong to, as well as of the Bank as a whole, in order to avoid any legal problems that could be caused for the Bank.</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41" w:name="page242"/>
    <w:bookmarkEnd w:id="241"/>
    <w:p>
      <w:pPr>
        <w:jc w:val="both"/>
        <w:spacing w:after="0" w:line="259" w:lineRule="auto"/>
        <w:rPr>
          <w:sz w:val="20"/>
          <w:szCs w:val="20"/>
          <w:color w:val="auto"/>
        </w:rPr>
      </w:pPr>
      <w:r>
        <w:rPr>
          <w:rFonts w:ascii="Arial" w:cs="Arial" w:eastAsia="Arial" w:hAnsi="Arial"/>
          <w:sz w:val="18"/>
          <w:szCs w:val="18"/>
          <w:color w:val="auto"/>
        </w:rPr>
        <w:t>Each and every Employee should inform the Preventive and Regulatory Compliance Department if they have a direct or indirect relationship with a public official or a Politically Exposed Person. For the effects of this norm, as direct relations of an Employee are considered the spouses, parents, children, siblings, grandparents, grandchildren and in-laws, as well as such persons as with whom they may have an intimate or living relationship, with indirect referring to those acting a in public or association character.</w:t>
      </w:r>
    </w:p>
    <w:p>
      <w:pPr>
        <w:spacing w:after="0" w:line="183"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III.10.</w:t>
      </w:r>
      <w:r>
        <w:rPr>
          <w:sz w:val="20"/>
          <w:szCs w:val="20"/>
          <w:color w:val="auto"/>
        </w:rPr>
        <w:tab/>
      </w:r>
      <w:r>
        <w:rPr>
          <w:rFonts w:ascii="Arial" w:cs="Arial" w:eastAsia="Arial" w:hAnsi="Arial"/>
          <w:sz w:val="18"/>
          <w:szCs w:val="18"/>
          <w:b w:val="1"/>
          <w:bCs w:val="1"/>
          <w:color w:val="auto"/>
        </w:rPr>
        <w:t>Presence on Social Networks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All People Covered by this Code must apply the norms established by the Bank about the behavior in social networks, acting with respect, using good judgment and common sense and being careful with any information they might share. They should abstain from publishing confidential information about Bladex, its Customers or Employees or opinions that could be attributed to Bladex.</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Whenever publishing any information or opinion in their own name, the People Covered by this Code should avoid making any reference to their condition as a Bladex Employee, or any other comments that could attribute the published contents to Bladex.</w:t>
      </w:r>
    </w:p>
    <w:p>
      <w:pPr>
        <w:spacing w:after="0" w:line="166" w:lineRule="exact"/>
        <w:rPr>
          <w:sz w:val="20"/>
          <w:szCs w:val="20"/>
          <w:color w:val="auto"/>
        </w:rPr>
      </w:pPr>
    </w:p>
    <w:p>
      <w:pPr>
        <w:spacing w:after="0"/>
        <w:tabs>
          <w:tab w:leader="none" w:pos="800" w:val="left"/>
        </w:tabs>
        <w:rPr>
          <w:sz w:val="20"/>
          <w:szCs w:val="20"/>
          <w:color w:val="auto"/>
        </w:rPr>
      </w:pPr>
      <w:r>
        <w:rPr>
          <w:rFonts w:ascii="Arial" w:cs="Arial" w:eastAsia="Arial" w:hAnsi="Arial"/>
          <w:sz w:val="18"/>
          <w:szCs w:val="18"/>
          <w:b w:val="1"/>
          <w:bCs w:val="1"/>
          <w:color w:val="auto"/>
        </w:rPr>
        <w:t>III.11.</w:t>
      </w:r>
      <w:r>
        <w:rPr>
          <w:sz w:val="20"/>
          <w:szCs w:val="20"/>
          <w:color w:val="auto"/>
        </w:rPr>
        <w:tab/>
      </w:r>
      <w:r>
        <w:rPr>
          <w:rFonts w:ascii="Arial" w:cs="Arial" w:eastAsia="Arial" w:hAnsi="Arial"/>
          <w:sz w:val="18"/>
          <w:szCs w:val="18"/>
          <w:b w:val="1"/>
          <w:bCs w:val="1"/>
          <w:color w:val="auto"/>
        </w:rPr>
        <w:t>Environmental Protection</w:t>
      </w:r>
    </w:p>
    <w:p>
      <w:pPr>
        <w:spacing w:after="0" w:line="229"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The Bank recognizes that protecting the environment is vital for society’s survival. Therefore, the Bank favors, in its business dealings, such measures as may seek to protect the environment. Likewise, the Bank shall promote an efficient use of natural resources and recycling among others.</w:t>
      </w:r>
    </w:p>
    <w:p>
      <w:pPr>
        <w:spacing w:after="0" w:line="143" w:lineRule="exact"/>
        <w:rPr>
          <w:sz w:val="20"/>
          <w:szCs w:val="20"/>
          <w:color w:val="auto"/>
        </w:rPr>
      </w:pPr>
    </w:p>
    <w:p>
      <w:pPr>
        <w:spacing w:after="0"/>
        <w:tabs>
          <w:tab w:leader="none" w:pos="480" w:val="left"/>
        </w:tabs>
        <w:rPr>
          <w:sz w:val="20"/>
          <w:szCs w:val="20"/>
          <w:color w:val="auto"/>
        </w:rPr>
      </w:pPr>
      <w:r>
        <w:rPr>
          <w:rFonts w:ascii="Arial" w:cs="Arial" w:eastAsia="Arial" w:hAnsi="Arial"/>
          <w:sz w:val="18"/>
          <w:szCs w:val="18"/>
          <w:b w:val="1"/>
          <w:bCs w:val="1"/>
          <w:color w:val="auto"/>
        </w:rPr>
        <w:t>IV.</w:t>
      </w:r>
      <w:r>
        <w:rPr>
          <w:sz w:val="20"/>
          <w:szCs w:val="20"/>
          <w:color w:val="auto"/>
        </w:rPr>
        <w:tab/>
      </w:r>
      <w:r>
        <w:rPr>
          <w:rFonts w:ascii="Arial" w:cs="Arial" w:eastAsia="Arial" w:hAnsi="Arial"/>
          <w:sz w:val="18"/>
          <w:szCs w:val="18"/>
          <w:b w:val="1"/>
          <w:bCs w:val="1"/>
          <w:color w:val="auto"/>
        </w:rPr>
        <w:t>ETHICS COMMITTEE</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Ethics Committee shall be responsible for ongoing evaluation and updating of this Code and review and implement the necessary mechanisms needed for disclosing and encouraging the highest standards of conduct at the Institution and shall be made up as established from time to time in its Charter, ensuring, as a minimum, the participation as a voting member of one Director and of the Executive Vice-President Auditing, who may be heard be is not entitled to vote, in order to evaluate and oversee compliance with the Code of Ethics.</w:t>
      </w:r>
    </w:p>
    <w:p>
      <w:pPr>
        <w:spacing w:after="0" w:line="183" w:lineRule="exact"/>
        <w:rPr>
          <w:sz w:val="20"/>
          <w:szCs w:val="20"/>
          <w:color w:val="auto"/>
        </w:rPr>
      </w:pPr>
    </w:p>
    <w:p>
      <w:pPr>
        <w:ind w:left="500" w:hanging="492"/>
        <w:spacing w:after="0"/>
        <w:tabs>
          <w:tab w:leader="none" w:pos="500" w:val="left"/>
        </w:tabs>
        <w:numPr>
          <w:ilvl w:val="0"/>
          <w:numId w:val="228"/>
        </w:numPr>
        <w:rPr>
          <w:rFonts w:ascii="Arial" w:cs="Arial" w:eastAsia="Arial" w:hAnsi="Arial"/>
          <w:sz w:val="18"/>
          <w:szCs w:val="18"/>
          <w:b w:val="1"/>
          <w:bCs w:val="1"/>
          <w:color w:val="auto"/>
        </w:rPr>
      </w:pPr>
      <w:r>
        <w:rPr>
          <w:rFonts w:ascii="Arial" w:cs="Arial" w:eastAsia="Arial" w:hAnsi="Arial"/>
          <w:sz w:val="18"/>
          <w:szCs w:val="18"/>
          <w:b w:val="1"/>
          <w:bCs w:val="1"/>
          <w:color w:val="auto"/>
        </w:rPr>
        <w:t>COMPLIANCE NORMS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Code of Ethics must be strictly adhered to by all People Covered by this Code. These dispositions are being complemented for the Employees in a general framework, with dispositions set forth in the Labor Agreement, the Employee Handbook, legal norms, banking regulations and internal procedure rules as well guidelines that are currently in force or may be enacted in future.</w:t>
      </w:r>
    </w:p>
    <w:p>
      <w:pPr>
        <w:spacing w:after="0" w:line="181"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Bladex will sanction the People Covered by this Code for incurring in any conduct that strays from or violates the norms set forth in this Code of Ethics, without prejudice to the fact that such conduct may, at the same time, amount to a violation of the Internal Rules and Regulations set forth in the Employee Handbook and/or the Labor Agreement, in which case also such sanctions may be applied as are set forth in that Handbook and/or in the law.</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 should deliver and/or make available a copy of this Code of Ethics to each and every one of the People Covered by this Code at the moment they join the Bank.</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42" w:name="page243"/>
    <w:bookmarkEnd w:id="242"/>
    <w:p>
      <w:pPr>
        <w:spacing w:after="0"/>
        <w:rPr>
          <w:sz w:val="20"/>
          <w:szCs w:val="20"/>
          <w:color w:val="auto"/>
        </w:rPr>
      </w:pPr>
      <w:r>
        <w:rPr>
          <w:rFonts w:ascii="Arial" w:cs="Arial" w:eastAsia="Arial" w:hAnsi="Arial"/>
          <w:sz w:val="18"/>
          <w:szCs w:val="18"/>
          <w:b w:val="1"/>
          <w:bCs w:val="1"/>
          <w:color w:val="auto"/>
        </w:rPr>
        <w:t>BANCO LATINOAMERICANO DE COMERCIO EXTERIOR, S.A. (“Bladex”)</w:t>
      </w:r>
    </w:p>
    <w:p>
      <w:pPr>
        <w:spacing w:after="0" w:line="225" w:lineRule="exact"/>
        <w:rPr>
          <w:sz w:val="20"/>
          <w:szCs w:val="20"/>
          <w:color w:val="auto"/>
        </w:rPr>
      </w:pPr>
    </w:p>
    <w:p>
      <w:pPr>
        <w:spacing w:after="0" w:line="282" w:lineRule="auto"/>
        <w:rPr>
          <w:sz w:val="20"/>
          <w:szCs w:val="20"/>
          <w:color w:val="auto"/>
        </w:rPr>
      </w:pPr>
      <w:r>
        <w:rPr>
          <w:rFonts w:ascii="Arial" w:cs="Arial" w:eastAsia="Arial" w:hAnsi="Arial"/>
          <w:sz w:val="18"/>
          <w:szCs w:val="18"/>
          <w:b w:val="1"/>
          <w:bCs w:val="1"/>
          <w:color w:val="auto"/>
        </w:rPr>
        <w:t>SPECIAL STATEMENT TO BE MADE BY SENIOR FINANCIAL EXECUTIVES IN RELATION TO THE BLADEX CODE OF ETHICS (THE “CODE”)</w:t>
      </w:r>
    </w:p>
    <w:p>
      <w:pPr>
        <w:spacing w:after="0" w:line="166" w:lineRule="exact"/>
        <w:rPr>
          <w:sz w:val="20"/>
          <w:szCs w:val="20"/>
          <w:color w:val="auto"/>
        </w:rPr>
      </w:pPr>
    </w:p>
    <w:p>
      <w:pPr>
        <w:spacing w:after="0" w:line="342" w:lineRule="auto"/>
        <w:rPr>
          <w:sz w:val="20"/>
          <w:szCs w:val="20"/>
          <w:color w:val="auto"/>
        </w:rPr>
      </w:pPr>
      <w:r>
        <w:rPr>
          <w:rFonts w:ascii="Arial" w:cs="Arial" w:eastAsia="Arial" w:hAnsi="Arial"/>
          <w:sz w:val="16"/>
          <w:szCs w:val="16"/>
          <w:color w:val="auto"/>
        </w:rPr>
        <w:t>The Chief Executive Officer, the Executive Vice President - Finance and the Senior Vice President – Accounting, as Bladex senior executives (The “Senior Executives”), herewith and hereby accept the contents of the Bladex Code of Ethics and agree to be bound by the additional dispositions contained herein.</w:t>
      </w:r>
    </w:p>
    <w:p>
      <w:pPr>
        <w:spacing w:after="0" w:line="12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 This Special Declaration by Bladex Senior Executives has the Purpose of Encouraging:</w:t>
      </w:r>
    </w:p>
    <w:p>
      <w:pPr>
        <w:spacing w:after="0" w:line="229" w:lineRule="exact"/>
        <w:rPr>
          <w:sz w:val="20"/>
          <w:szCs w:val="20"/>
          <w:color w:val="auto"/>
        </w:rPr>
      </w:pPr>
    </w:p>
    <w:p>
      <w:pPr>
        <w:ind w:left="660" w:hanging="328"/>
        <w:spacing w:after="0" w:line="277" w:lineRule="auto"/>
        <w:tabs>
          <w:tab w:leader="none" w:pos="660" w:val="left"/>
        </w:tabs>
        <w:numPr>
          <w:ilvl w:val="0"/>
          <w:numId w:val="229"/>
        </w:numPr>
        <w:rPr>
          <w:rFonts w:ascii="Arial" w:cs="Arial" w:eastAsia="Arial" w:hAnsi="Arial"/>
          <w:sz w:val="18"/>
          <w:szCs w:val="18"/>
          <w:color w:val="auto"/>
        </w:rPr>
      </w:pPr>
      <w:r>
        <w:rPr>
          <w:rFonts w:ascii="Arial" w:cs="Arial" w:eastAsia="Arial" w:hAnsi="Arial"/>
          <w:sz w:val="18"/>
          <w:szCs w:val="18"/>
          <w:color w:val="auto"/>
        </w:rPr>
        <w:t>An honest and ethical conduct, including ethical management of actual or apparent conflict of interest between their personal and professional relationships;</w:t>
      </w:r>
    </w:p>
    <w:p>
      <w:pPr>
        <w:spacing w:after="0" w:line="170"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229"/>
        </w:numPr>
        <w:rPr>
          <w:rFonts w:ascii="Arial" w:cs="Arial" w:eastAsia="Arial" w:hAnsi="Arial"/>
          <w:sz w:val="18"/>
          <w:szCs w:val="18"/>
          <w:color w:val="auto"/>
        </w:rPr>
      </w:pPr>
      <w:r>
        <w:rPr>
          <w:rFonts w:ascii="Arial" w:cs="Arial" w:eastAsia="Arial" w:hAnsi="Arial"/>
          <w:sz w:val="18"/>
          <w:szCs w:val="18"/>
          <w:color w:val="auto"/>
        </w:rPr>
        <w:t>A complete, fair, precise, timely and understandable disclosure in the reports and documents that Bladex issues or files with the Securities and Exchange Commission (“SEC”), as well as in other public communications made by Bladex.;</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229"/>
        </w:numPr>
        <w:rPr>
          <w:rFonts w:ascii="Arial" w:cs="Arial" w:eastAsia="Arial" w:hAnsi="Arial"/>
          <w:sz w:val="18"/>
          <w:szCs w:val="18"/>
          <w:color w:val="auto"/>
        </w:rPr>
      </w:pPr>
      <w:r>
        <w:rPr>
          <w:rFonts w:ascii="Arial" w:cs="Arial" w:eastAsia="Arial" w:hAnsi="Arial"/>
          <w:sz w:val="18"/>
          <w:szCs w:val="18"/>
          <w:color w:val="auto"/>
        </w:rPr>
        <w:t>Compliance with applicable laws and governmental rules and regulations: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229"/>
        </w:numPr>
        <w:rPr>
          <w:rFonts w:ascii="Arial" w:cs="Arial" w:eastAsia="Arial" w:hAnsi="Arial"/>
          <w:sz w:val="18"/>
          <w:szCs w:val="18"/>
          <w:color w:val="auto"/>
        </w:rPr>
      </w:pPr>
      <w:r>
        <w:rPr>
          <w:rFonts w:ascii="Arial" w:cs="Arial" w:eastAsia="Arial" w:hAnsi="Arial"/>
          <w:sz w:val="18"/>
          <w:szCs w:val="18"/>
          <w:color w:val="auto"/>
        </w:rPr>
        <w:t>Timely internal reports about violations of the Code to an appropriate person or to the persons identified in the Code; and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229"/>
        </w:numPr>
        <w:rPr>
          <w:rFonts w:ascii="Arial" w:cs="Arial" w:eastAsia="Arial" w:hAnsi="Arial"/>
          <w:sz w:val="18"/>
          <w:szCs w:val="18"/>
          <w:color w:val="auto"/>
        </w:rPr>
      </w:pPr>
      <w:r>
        <w:rPr>
          <w:rFonts w:ascii="Arial" w:cs="Arial" w:eastAsia="Arial" w:hAnsi="Arial"/>
          <w:sz w:val="18"/>
          <w:szCs w:val="18"/>
          <w:color w:val="auto"/>
        </w:rPr>
        <w:t>Responsibility for adhering to the Code.</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All Senior Executives shall adhere to high ethical business standards and should be sensitive about situations that could result in actual or apparent conflicts of interest. Bladex expects that its Senior Executives comply at all times with the principles of this Code. Any violation of this Code shall be cause for disciplinary actions, including dismissal and possible legal action. Any consultations about the application of this Code should be referred to the Bladex Board of Directors’ Audit and Compliance Committee.</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 Senior Executives should Ethically Manage Actual or Apparent Conflicts of Interests.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 “Conflict of Interest” occurs when a Senior Executive’s private interest interferes with the interest of, or his or her service at, Bladex. For example, a Senior Executive’s conflict of interest could arise if a Senior Executive or a member of his or her family would receive improper personal benefits as a result of his or her position at Bladex.</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All Senior Executives must ensure they strictly follow the guidelines for Handling Conflicts of Interest, described in Clause III.2 of the Code of Ethics and particularly avoid the situations depicted there.</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 situations involving a Senior Executive, where the appearance or the potential of a conflict of interests is involved, but where the Senior Executive does not believe that a significant conflict of interests exists, the Senior Executive should obtain approval from the Audit and Compliance Committee before getting involved in that situation. No such approval shall be considered as a waiver of this Code.</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43" w:name="page244"/>
    <w:bookmarkEnd w:id="243"/>
    <w:p>
      <w:pPr>
        <w:ind w:left="300" w:hanging="292"/>
        <w:spacing w:after="0"/>
        <w:tabs>
          <w:tab w:leader="none" w:pos="300" w:val="left"/>
        </w:tabs>
        <w:numPr>
          <w:ilvl w:val="0"/>
          <w:numId w:val="230"/>
        </w:numPr>
        <w:rPr>
          <w:rFonts w:ascii="Arial" w:cs="Arial" w:eastAsia="Arial" w:hAnsi="Arial"/>
          <w:sz w:val="18"/>
          <w:szCs w:val="18"/>
          <w:b w:val="1"/>
          <w:bCs w:val="1"/>
          <w:color w:val="auto"/>
        </w:rPr>
      </w:pPr>
      <w:r>
        <w:rPr>
          <w:rFonts w:ascii="Arial" w:cs="Arial" w:eastAsia="Arial" w:hAnsi="Arial"/>
          <w:sz w:val="18"/>
          <w:szCs w:val="18"/>
          <w:b w:val="1"/>
          <w:bCs w:val="1"/>
          <w:color w:val="auto"/>
        </w:rPr>
        <w:t>Disclosure and Compliance</w:t>
      </w:r>
    </w:p>
    <w:p>
      <w:pPr>
        <w:spacing w:after="0" w:line="229" w:lineRule="exact"/>
        <w:rPr>
          <w:rFonts w:ascii="Arial" w:cs="Arial" w:eastAsia="Arial" w:hAnsi="Arial"/>
          <w:sz w:val="18"/>
          <w:szCs w:val="18"/>
          <w:b w:val="1"/>
          <w:bCs w:val="1"/>
          <w:color w:val="auto"/>
        </w:rPr>
      </w:pPr>
    </w:p>
    <w:p>
      <w:pPr>
        <w:ind w:left="660" w:hanging="328"/>
        <w:spacing w:after="0"/>
        <w:tabs>
          <w:tab w:leader="none" w:pos="660" w:val="left"/>
        </w:tabs>
        <w:numPr>
          <w:ilvl w:val="1"/>
          <w:numId w:val="230"/>
        </w:numPr>
        <w:rPr>
          <w:rFonts w:ascii="Arial" w:cs="Arial" w:eastAsia="Arial" w:hAnsi="Arial"/>
          <w:sz w:val="18"/>
          <w:szCs w:val="18"/>
          <w:color w:val="auto"/>
        </w:rPr>
      </w:pPr>
      <w:r>
        <w:rPr>
          <w:rFonts w:ascii="Arial" w:cs="Arial" w:eastAsia="Arial" w:hAnsi="Arial"/>
          <w:sz w:val="18"/>
          <w:szCs w:val="18"/>
          <w:color w:val="auto"/>
        </w:rPr>
        <w:t>All Senior Executives should get acquainted with the disclosure and compliance requirements that are generally applicable to Bladex;</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1"/>
          <w:numId w:val="230"/>
        </w:numPr>
        <w:rPr>
          <w:rFonts w:ascii="Arial" w:cs="Arial" w:eastAsia="Arial" w:hAnsi="Arial"/>
          <w:sz w:val="18"/>
          <w:szCs w:val="18"/>
          <w:color w:val="auto"/>
        </w:rPr>
      </w:pPr>
      <w:r>
        <w:rPr>
          <w:rFonts w:ascii="Arial" w:cs="Arial" w:eastAsia="Arial" w:hAnsi="Arial"/>
          <w:sz w:val="18"/>
          <w:szCs w:val="18"/>
          <w:color w:val="auto"/>
        </w:rPr>
        <w:t>All Senior Executives should not distort, or cause others to distort, facts about Bladex, whether within or without Bladex, including Bladex Directors and Officers, as well as the Auditors, or to government regulators and autonomous organizations;</w:t>
      </w:r>
    </w:p>
    <w:p>
      <w:pPr>
        <w:spacing w:after="0" w:line="170"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1"/>
          <w:numId w:val="230"/>
        </w:numPr>
        <w:rPr>
          <w:rFonts w:ascii="Arial" w:cs="Arial" w:eastAsia="Arial" w:hAnsi="Arial"/>
          <w:sz w:val="18"/>
          <w:szCs w:val="18"/>
          <w:color w:val="auto"/>
        </w:rPr>
      </w:pPr>
      <w:r>
        <w:rPr>
          <w:rFonts w:ascii="Arial" w:cs="Arial" w:eastAsia="Arial" w:hAnsi="Arial"/>
          <w:sz w:val="18"/>
          <w:szCs w:val="18"/>
          <w:color w:val="auto"/>
        </w:rPr>
        <w:t>All Senior Executives must, as far as appropriate in their area of responsibility, consult with other Bladex Executives and Employees in order to promote full, fair, precise, timely and understandable disclosure in reports issued by Bladex or filed with the SEC, as well as in other public communications made by Bladex; and</w:t>
      </w:r>
    </w:p>
    <w:p>
      <w:pPr>
        <w:spacing w:after="0" w:line="181" w:lineRule="exact"/>
        <w:rPr>
          <w:rFonts w:ascii="Arial" w:cs="Arial" w:eastAsia="Arial" w:hAnsi="Arial"/>
          <w:sz w:val="18"/>
          <w:szCs w:val="18"/>
          <w:color w:val="auto"/>
        </w:rPr>
      </w:pPr>
    </w:p>
    <w:p>
      <w:pPr>
        <w:ind w:left="660" w:hanging="328"/>
        <w:spacing w:after="0" w:line="277" w:lineRule="auto"/>
        <w:tabs>
          <w:tab w:leader="none" w:pos="660" w:val="left"/>
        </w:tabs>
        <w:numPr>
          <w:ilvl w:val="1"/>
          <w:numId w:val="230"/>
        </w:numPr>
        <w:rPr>
          <w:rFonts w:ascii="Arial" w:cs="Arial" w:eastAsia="Arial" w:hAnsi="Arial"/>
          <w:sz w:val="18"/>
          <w:szCs w:val="18"/>
          <w:color w:val="auto"/>
        </w:rPr>
      </w:pPr>
      <w:r>
        <w:rPr>
          <w:rFonts w:ascii="Arial" w:cs="Arial" w:eastAsia="Arial" w:hAnsi="Arial"/>
          <w:sz w:val="18"/>
          <w:szCs w:val="18"/>
          <w:color w:val="auto"/>
        </w:rPr>
        <w:t>It is a responsibility of all Senior Executives to encourage compliance with the standards and restrictions imposed by applicable laws, rules and regulations.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IV. Reports and Responsibilities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All Senior Executives shall:</w:t>
      </w:r>
    </w:p>
    <w:p>
      <w:pPr>
        <w:spacing w:after="0" w:line="225" w:lineRule="exact"/>
        <w:rPr>
          <w:sz w:val="20"/>
          <w:szCs w:val="20"/>
          <w:color w:val="auto"/>
        </w:rPr>
      </w:pPr>
    </w:p>
    <w:p>
      <w:pPr>
        <w:ind w:left="660" w:right="20" w:hanging="328"/>
        <w:spacing w:after="0" w:line="277" w:lineRule="auto"/>
        <w:tabs>
          <w:tab w:leader="none" w:pos="660" w:val="left"/>
        </w:tabs>
        <w:numPr>
          <w:ilvl w:val="0"/>
          <w:numId w:val="231"/>
        </w:numPr>
        <w:rPr>
          <w:rFonts w:ascii="Arial" w:cs="Arial" w:eastAsia="Arial" w:hAnsi="Arial"/>
          <w:sz w:val="18"/>
          <w:szCs w:val="18"/>
          <w:color w:val="auto"/>
        </w:rPr>
      </w:pPr>
      <w:r>
        <w:rPr>
          <w:rFonts w:ascii="Arial" w:cs="Arial" w:eastAsia="Arial" w:hAnsi="Arial"/>
          <w:sz w:val="18"/>
          <w:szCs w:val="18"/>
          <w:color w:val="auto"/>
        </w:rPr>
        <w:t>Once this Code has been adopted (or if applicable later on, upon becoming a Senior Executive), file a written statement with the Board of Directors that they have received, read and understood this Code;</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231"/>
        </w:numPr>
        <w:rPr>
          <w:rFonts w:ascii="Arial" w:cs="Arial" w:eastAsia="Arial" w:hAnsi="Arial"/>
          <w:sz w:val="18"/>
          <w:szCs w:val="18"/>
          <w:color w:val="auto"/>
        </w:rPr>
      </w:pPr>
      <w:r>
        <w:rPr>
          <w:rFonts w:ascii="Arial" w:cs="Arial" w:eastAsia="Arial" w:hAnsi="Arial"/>
          <w:sz w:val="18"/>
          <w:szCs w:val="18"/>
          <w:color w:val="auto"/>
        </w:rPr>
        <w:t>Not take any retributive actions against any other Bladex Senior Executive or Employee or their family members for reports about potential violations that were made in good faith;</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231"/>
        </w:numPr>
        <w:rPr>
          <w:rFonts w:ascii="Arial" w:cs="Arial" w:eastAsia="Arial" w:hAnsi="Arial"/>
          <w:sz w:val="18"/>
          <w:szCs w:val="18"/>
          <w:color w:val="auto"/>
        </w:rPr>
      </w:pPr>
      <w:r>
        <w:rPr>
          <w:rFonts w:ascii="Arial" w:cs="Arial" w:eastAsia="Arial" w:hAnsi="Arial"/>
          <w:sz w:val="18"/>
          <w:szCs w:val="18"/>
          <w:color w:val="auto"/>
        </w:rPr>
        <w:t>Promptly notify the Audit and Compliance Committee if they are aware of any violation to this Code. To omit any such notification shall be considered as a violation of this Code.</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Audit and Compliance Committee is responsible for applying this Code in specific situations where there could be some doubt, and they have the authority to construe this Code for any particular situation. Any exception for a Senior Executive should be considered by the Audit and Compliance Committee.</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Bladex shall follow the following procedures when investigating compliance with this Code:</w:t>
      </w:r>
    </w:p>
    <w:p>
      <w:pPr>
        <w:spacing w:after="0" w:line="225" w:lineRule="exact"/>
        <w:rPr>
          <w:sz w:val="20"/>
          <w:szCs w:val="20"/>
          <w:color w:val="auto"/>
        </w:rPr>
      </w:pPr>
    </w:p>
    <w:p>
      <w:pPr>
        <w:ind w:left="660" w:right="20" w:hanging="328"/>
        <w:spacing w:after="0" w:line="277" w:lineRule="auto"/>
        <w:tabs>
          <w:tab w:leader="none" w:pos="660" w:val="left"/>
        </w:tabs>
        <w:numPr>
          <w:ilvl w:val="0"/>
          <w:numId w:val="232"/>
        </w:numPr>
        <w:rPr>
          <w:rFonts w:ascii="Arial" w:cs="Arial" w:eastAsia="Arial" w:hAnsi="Arial"/>
          <w:sz w:val="18"/>
          <w:szCs w:val="18"/>
          <w:color w:val="auto"/>
        </w:rPr>
      </w:pPr>
      <w:r>
        <w:rPr>
          <w:rFonts w:ascii="Arial" w:cs="Arial" w:eastAsia="Arial" w:hAnsi="Arial"/>
          <w:sz w:val="18"/>
          <w:szCs w:val="18"/>
          <w:color w:val="auto"/>
        </w:rPr>
        <w:t>The Audit and Compliance Committee shall take all appropriate actions necessary for investigating any potential violation that may have been reported to them;</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232"/>
        </w:numPr>
        <w:rPr>
          <w:rFonts w:ascii="Arial" w:cs="Arial" w:eastAsia="Arial" w:hAnsi="Arial"/>
          <w:sz w:val="18"/>
          <w:szCs w:val="18"/>
          <w:color w:val="auto"/>
        </w:rPr>
      </w:pPr>
      <w:r>
        <w:rPr>
          <w:rFonts w:ascii="Arial" w:cs="Arial" w:eastAsia="Arial" w:hAnsi="Arial"/>
          <w:sz w:val="18"/>
          <w:szCs w:val="18"/>
          <w:color w:val="auto"/>
        </w:rPr>
        <w:t>If, after investigating, the Audit and Compliance Committee believes that no violation has occurred, then it is not required for the Audit and Compliance Committee to take any further action;</w:t>
      </w:r>
    </w:p>
    <w:p>
      <w:pPr>
        <w:spacing w:after="0" w:line="170" w:lineRule="exact"/>
        <w:rPr>
          <w:rFonts w:ascii="Arial" w:cs="Arial" w:eastAsia="Arial" w:hAnsi="Arial"/>
          <w:sz w:val="18"/>
          <w:szCs w:val="18"/>
          <w:color w:val="auto"/>
        </w:rPr>
      </w:pPr>
    </w:p>
    <w:p>
      <w:pPr>
        <w:ind w:left="660" w:right="20" w:hanging="328"/>
        <w:spacing w:after="0" w:line="308" w:lineRule="auto"/>
        <w:tabs>
          <w:tab w:leader="none" w:pos="660" w:val="left"/>
        </w:tabs>
        <w:numPr>
          <w:ilvl w:val="0"/>
          <w:numId w:val="232"/>
        </w:numPr>
        <w:rPr>
          <w:rFonts w:ascii="Arial" w:cs="Arial" w:eastAsia="Arial" w:hAnsi="Arial"/>
          <w:sz w:val="17"/>
          <w:szCs w:val="17"/>
          <w:color w:val="auto"/>
        </w:rPr>
      </w:pPr>
      <w:r>
        <w:rPr>
          <w:rFonts w:ascii="Arial" w:cs="Arial" w:eastAsia="Arial" w:hAnsi="Arial"/>
          <w:sz w:val="17"/>
          <w:szCs w:val="17"/>
          <w:color w:val="auto"/>
        </w:rPr>
        <w:t>If the Audit and Compliance Committee should determine that there has been a violation, then they shall consider the appropriate measures that could include a review of, or revision to, the applicable policies and procedures, or a recommendation for dismissing the Senior Executive;</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44" w:name="page245"/>
    <w:bookmarkEnd w:id="244"/>
    <w:p>
      <w:pPr>
        <w:spacing w:after="0"/>
        <w:rPr>
          <w:sz w:val="20"/>
          <w:szCs w:val="20"/>
          <w:color w:val="auto"/>
        </w:rPr>
      </w:pPr>
      <w:r>
        <w:rPr>
          <w:rFonts w:ascii="Arial" w:cs="Arial" w:eastAsia="Arial" w:hAnsi="Arial"/>
          <w:sz w:val="18"/>
          <w:szCs w:val="18"/>
          <w:b w:val="1"/>
          <w:bCs w:val="1"/>
          <w:color w:val="auto"/>
        </w:rPr>
        <w:t>V. Changes or Exceptions to the Code</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Audit and Compliance Committee shall be responsible for granting any exceptions to complying with this Code, as may be appropriate.</w:t>
      </w:r>
    </w:p>
    <w:p>
      <w:pPr>
        <w:spacing w:after="0" w:line="225"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Any and all exceptions stipulated in this Code shall be reported to and filed with the SEC and shall be reported to Bladex Shareholders within the timeframe required by SEC Regulations and any applicable laws from any banking regulators or the regulators of securities and stock markets where Bladex is listed.</w:t>
      </w:r>
    </w:p>
    <w:p>
      <w:pPr>
        <w:spacing w:after="0" w:line="12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VI. Other Policies and Procedures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This Code shall be the only Ethics Code adopted by Bladex, concerning the “Sarbanes-Oxley Act” of 2002 and the rules and forms applying to companies listed therein.</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VII. Amendments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amendment to this Code must be approved by the Nominating and Compensation Committee and ratified by a majority vote of the Board of Directors’ Audit and Compliance Committee.</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VIII. Confidentiality</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All reports and records drawn up or kept pursuant to this Code shall be considered as confidential and shall be kept and protected as such. Except where required by Law or by this Code, such matters shall not be disclosed to anybody outside the Audit and Compliance Committee and the Board of Directors of Bladex.</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IX. Internal Use</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This Code is exclusively for the internal use of Bladex and does not represent any admission, by or on behalf of, Bladex, of any fact, circumstance or legal conclusion.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 have read and understood the terms of the Code. I recognize the responsibilities and obligations incurred by me as a result of being subject to this Code. I herewith express my agreement to comply with this Code.</w: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spacing w:after="0"/>
        <w:rPr>
          <w:sz w:val="20"/>
          <w:szCs w:val="20"/>
          <w:color w:val="auto"/>
        </w:rPr>
      </w:pPr>
      <w:r>
        <w:rPr>
          <w:rFonts w:ascii="Arial" w:cs="Arial" w:eastAsia="Arial" w:hAnsi="Arial"/>
          <w:sz w:val="18"/>
          <w:szCs w:val="18"/>
          <w:color w:val="auto"/>
        </w:rPr>
        <w:t>President &amp; Chief Executive Officer</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tabs>
          <w:tab w:leader="none" w:pos="6840" w:val="left"/>
        </w:tabs>
        <w:rPr>
          <w:sz w:val="20"/>
          <w:szCs w:val="20"/>
          <w:color w:val="auto"/>
        </w:rPr>
      </w:pPr>
      <w:r>
        <w:rPr>
          <w:rFonts w:ascii="Arial" w:cs="Arial" w:eastAsia="Arial" w:hAnsi="Arial"/>
          <w:sz w:val="18"/>
          <w:szCs w:val="18"/>
          <w:color w:val="auto"/>
        </w:rPr>
        <w:t>Executive Vice President – Finance</w:t>
      </w:r>
      <w:r>
        <w:rPr>
          <w:sz w:val="20"/>
          <w:szCs w:val="20"/>
          <w:color w:val="auto"/>
        </w:rPr>
        <w:tab/>
      </w:r>
      <w:r>
        <w:rPr>
          <w:rFonts w:ascii="Arial" w:cs="Arial" w:eastAsia="Arial" w:hAnsi="Arial"/>
          <w:sz w:val="16"/>
          <w:szCs w:val="16"/>
          <w:color w:val="auto"/>
        </w:rPr>
        <w:t>Senior Vice President – Accounting</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45" w:name="page246"/>
    <w:bookmarkEnd w:id="245"/>
    <w:p>
      <w:pPr>
        <w:jc w:val="right"/>
        <w:spacing w:after="0"/>
        <w:rPr>
          <w:sz w:val="20"/>
          <w:szCs w:val="20"/>
          <w:color w:val="auto"/>
        </w:rPr>
      </w:pPr>
      <w:r>
        <w:rPr>
          <w:rFonts w:ascii="Arial" w:cs="Arial" w:eastAsia="Arial" w:hAnsi="Arial"/>
          <w:sz w:val="22"/>
          <w:szCs w:val="22"/>
          <w:b w:val="1"/>
          <w:bCs w:val="1"/>
          <w:color w:val="auto"/>
        </w:rPr>
        <w:t>Exhibit 12.1</w:t>
      </w:r>
    </w:p>
    <w:p>
      <w:pPr>
        <w:spacing w:after="0" w:line="21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I, Rubens V. Amaral Jr., certify that:</w:t>
      </w:r>
    </w:p>
    <w:p>
      <w:pPr>
        <w:spacing w:after="0" w:line="225" w:lineRule="exact"/>
        <w:rPr>
          <w:sz w:val="20"/>
          <w:szCs w:val="20"/>
          <w:color w:val="auto"/>
        </w:rPr>
      </w:pPr>
    </w:p>
    <w:p>
      <w:pPr>
        <w:ind w:left="660" w:hanging="652"/>
        <w:spacing w:after="0"/>
        <w:tabs>
          <w:tab w:leader="none" w:pos="660" w:val="left"/>
        </w:tabs>
        <w:numPr>
          <w:ilvl w:val="0"/>
          <w:numId w:val="233"/>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Banco Latinoamericano de Comercio Exterior, S.A.;</w:t>
      </w:r>
    </w:p>
    <w:p>
      <w:pPr>
        <w:spacing w:after="0" w:line="225" w:lineRule="exact"/>
        <w:rPr>
          <w:rFonts w:ascii="Arial" w:cs="Arial" w:eastAsia="Arial" w:hAnsi="Arial"/>
          <w:sz w:val="18"/>
          <w:szCs w:val="18"/>
          <w:color w:val="auto"/>
        </w:rPr>
      </w:pPr>
    </w:p>
    <w:p>
      <w:pPr>
        <w:jc w:val="both"/>
        <w:ind w:left="660" w:hanging="652"/>
        <w:spacing w:after="0" w:line="264" w:lineRule="auto"/>
        <w:tabs>
          <w:tab w:leader="none" w:pos="660" w:val="left"/>
        </w:tabs>
        <w:numPr>
          <w:ilvl w:val="0"/>
          <w:numId w:val="233"/>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81" w:lineRule="exact"/>
        <w:rPr>
          <w:rFonts w:ascii="Arial" w:cs="Arial" w:eastAsia="Arial" w:hAnsi="Arial"/>
          <w:sz w:val="18"/>
          <w:szCs w:val="18"/>
          <w:color w:val="auto"/>
        </w:rPr>
      </w:pPr>
    </w:p>
    <w:p>
      <w:pPr>
        <w:ind w:left="660" w:hanging="652"/>
        <w:spacing w:after="0" w:line="277" w:lineRule="auto"/>
        <w:tabs>
          <w:tab w:leader="none" w:pos="660" w:val="left"/>
        </w:tabs>
        <w:numPr>
          <w:ilvl w:val="0"/>
          <w:numId w:val="233"/>
        </w:numPr>
        <w:rPr>
          <w:rFonts w:ascii="Arial" w:cs="Arial" w:eastAsia="Arial" w:hAnsi="Arial"/>
          <w:sz w:val="18"/>
          <w:szCs w:val="18"/>
          <w:color w:val="auto"/>
        </w:rPr>
      </w:pPr>
      <w:r>
        <w:rPr>
          <w:rFonts w:ascii="Arial" w:cs="Arial" w:eastAsia="Arial" w:hAnsi="Arial"/>
          <w:sz w:val="18"/>
          <w:szCs w:val="18"/>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70" w:lineRule="exact"/>
        <w:rPr>
          <w:rFonts w:ascii="Arial" w:cs="Arial" w:eastAsia="Arial" w:hAnsi="Arial"/>
          <w:sz w:val="18"/>
          <w:szCs w:val="18"/>
          <w:color w:val="auto"/>
        </w:rPr>
      </w:pPr>
    </w:p>
    <w:p>
      <w:pPr>
        <w:jc w:val="both"/>
        <w:ind w:left="660" w:hanging="652"/>
        <w:spacing w:after="0" w:line="264" w:lineRule="auto"/>
        <w:tabs>
          <w:tab w:leader="none" w:pos="660" w:val="left"/>
        </w:tabs>
        <w:numPr>
          <w:ilvl w:val="0"/>
          <w:numId w:val="233"/>
        </w:numPr>
        <w:rPr>
          <w:rFonts w:ascii="Arial" w:cs="Arial" w:eastAsia="Arial" w:hAnsi="Arial"/>
          <w:sz w:val="18"/>
          <w:szCs w:val="18"/>
          <w:color w:val="auto"/>
        </w:rPr>
      </w:pPr>
      <w:r>
        <w:rPr>
          <w:rFonts w:ascii="Arial" w:cs="Arial" w:eastAsia="Arial" w:hAnsi="Arial"/>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81" w:lineRule="exact"/>
        <w:rPr>
          <w:rFonts w:ascii="Arial" w:cs="Arial" w:eastAsia="Arial" w:hAnsi="Arial"/>
          <w:sz w:val="18"/>
          <w:szCs w:val="18"/>
          <w:color w:val="auto"/>
        </w:rPr>
      </w:pPr>
    </w:p>
    <w:p>
      <w:pPr>
        <w:jc w:val="both"/>
        <w:ind w:left="980" w:hanging="324"/>
        <w:spacing w:after="0" w:line="264" w:lineRule="auto"/>
        <w:tabs>
          <w:tab w:leader="none" w:pos="980" w:val="left"/>
        </w:tabs>
        <w:numPr>
          <w:ilvl w:val="1"/>
          <w:numId w:val="233"/>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81" w:lineRule="exact"/>
        <w:rPr>
          <w:rFonts w:ascii="Arial" w:cs="Arial" w:eastAsia="Arial" w:hAnsi="Arial"/>
          <w:sz w:val="18"/>
          <w:szCs w:val="18"/>
          <w:color w:val="auto"/>
        </w:rPr>
      </w:pPr>
    </w:p>
    <w:p>
      <w:pPr>
        <w:jc w:val="both"/>
        <w:ind w:left="980" w:hanging="324"/>
        <w:spacing w:after="0" w:line="264" w:lineRule="auto"/>
        <w:tabs>
          <w:tab w:leader="none" w:pos="980" w:val="left"/>
        </w:tabs>
        <w:numPr>
          <w:ilvl w:val="1"/>
          <w:numId w:val="233"/>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81" w:lineRule="exact"/>
        <w:rPr>
          <w:rFonts w:ascii="Arial" w:cs="Arial" w:eastAsia="Arial" w:hAnsi="Arial"/>
          <w:sz w:val="18"/>
          <w:szCs w:val="18"/>
          <w:color w:val="auto"/>
        </w:rPr>
      </w:pPr>
    </w:p>
    <w:p>
      <w:pPr>
        <w:ind w:left="980" w:right="20" w:hanging="324"/>
        <w:spacing w:after="0" w:line="308" w:lineRule="auto"/>
        <w:tabs>
          <w:tab w:leader="none" w:pos="980" w:val="left"/>
        </w:tabs>
        <w:numPr>
          <w:ilvl w:val="1"/>
          <w:numId w:val="233"/>
        </w:numPr>
        <w:rPr>
          <w:rFonts w:ascii="Arial" w:cs="Arial" w:eastAsia="Arial" w:hAnsi="Arial"/>
          <w:sz w:val="17"/>
          <w:szCs w:val="17"/>
          <w:color w:val="auto"/>
        </w:rPr>
      </w:pPr>
      <w:r>
        <w:rPr>
          <w:rFonts w:ascii="Arial" w:cs="Arial" w:eastAsia="Arial" w:hAnsi="Arial"/>
          <w:sz w:val="17"/>
          <w:szCs w:val="17"/>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46" w:lineRule="exact"/>
        <w:rPr>
          <w:rFonts w:ascii="Arial" w:cs="Arial" w:eastAsia="Arial" w:hAnsi="Arial"/>
          <w:sz w:val="17"/>
          <w:szCs w:val="17"/>
          <w:color w:val="auto"/>
        </w:rPr>
      </w:pPr>
    </w:p>
    <w:p>
      <w:pPr>
        <w:jc w:val="both"/>
        <w:ind w:left="980" w:hanging="324"/>
        <w:spacing w:after="0" w:line="342" w:lineRule="auto"/>
        <w:tabs>
          <w:tab w:leader="none" w:pos="980" w:val="left"/>
        </w:tabs>
        <w:numPr>
          <w:ilvl w:val="1"/>
          <w:numId w:val="233"/>
        </w:numPr>
        <w:rPr>
          <w:rFonts w:ascii="Arial" w:cs="Arial" w:eastAsia="Arial" w:hAnsi="Arial"/>
          <w:sz w:val="16"/>
          <w:szCs w:val="16"/>
          <w:color w:val="auto"/>
        </w:rPr>
      </w:pPr>
      <w:r>
        <w:rPr>
          <w:rFonts w:ascii="Arial" w:cs="Arial" w:eastAsia="Arial" w:hAnsi="Arial"/>
          <w:sz w:val="16"/>
          <w:szCs w:val="16"/>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3" w:lineRule="exact"/>
        <w:rPr>
          <w:rFonts w:ascii="Arial" w:cs="Arial" w:eastAsia="Arial" w:hAnsi="Arial"/>
          <w:sz w:val="16"/>
          <w:szCs w:val="16"/>
          <w:color w:val="auto"/>
        </w:rPr>
      </w:pPr>
    </w:p>
    <w:p>
      <w:pPr>
        <w:ind w:left="660" w:right="20" w:hanging="652"/>
        <w:spacing w:after="0" w:line="308" w:lineRule="auto"/>
        <w:tabs>
          <w:tab w:leader="none" w:pos="660" w:val="left"/>
        </w:tabs>
        <w:numPr>
          <w:ilvl w:val="0"/>
          <w:numId w:val="233"/>
        </w:numPr>
        <w:rPr>
          <w:rFonts w:ascii="Arial" w:cs="Arial" w:eastAsia="Arial" w:hAnsi="Arial"/>
          <w:sz w:val="17"/>
          <w:szCs w:val="17"/>
          <w:color w:val="auto"/>
        </w:rPr>
      </w:pPr>
      <w:r>
        <w:rPr>
          <w:rFonts w:ascii="Arial" w:cs="Arial" w:eastAsia="Arial" w:hAnsi="Arial"/>
          <w:sz w:val="17"/>
          <w:szCs w:val="17"/>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146" w:lineRule="exact"/>
        <w:rPr>
          <w:rFonts w:ascii="Arial" w:cs="Arial" w:eastAsia="Arial" w:hAnsi="Arial"/>
          <w:sz w:val="17"/>
          <w:szCs w:val="17"/>
          <w:color w:val="auto"/>
        </w:rPr>
      </w:pPr>
    </w:p>
    <w:p>
      <w:pPr>
        <w:ind w:left="1040" w:hanging="384"/>
        <w:spacing w:after="0" w:line="277" w:lineRule="auto"/>
        <w:tabs>
          <w:tab w:leader="none" w:pos="1040" w:val="left"/>
        </w:tabs>
        <w:numPr>
          <w:ilvl w:val="1"/>
          <w:numId w:val="233"/>
        </w:numPr>
        <w:rPr>
          <w:rFonts w:ascii="Arial" w:cs="Arial" w:eastAsia="Arial" w:hAnsi="Arial"/>
          <w:sz w:val="18"/>
          <w:szCs w:val="18"/>
          <w:color w:val="auto"/>
        </w:rPr>
      </w:pPr>
      <w:r>
        <w:rPr>
          <w:rFonts w:ascii="Arial" w:cs="Arial" w:eastAsia="Arial" w:hAnsi="Arial"/>
          <w:sz w:val="18"/>
          <w:szCs w:val="18"/>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70" w:lineRule="exact"/>
        <w:rPr>
          <w:rFonts w:ascii="Arial" w:cs="Arial" w:eastAsia="Arial" w:hAnsi="Arial"/>
          <w:sz w:val="18"/>
          <w:szCs w:val="18"/>
          <w:color w:val="auto"/>
        </w:rPr>
      </w:pPr>
    </w:p>
    <w:p>
      <w:pPr>
        <w:ind w:left="1060" w:right="20" w:hanging="404"/>
        <w:spacing w:after="0" w:line="277" w:lineRule="auto"/>
        <w:tabs>
          <w:tab w:leader="none" w:pos="1060" w:val="left"/>
        </w:tabs>
        <w:numPr>
          <w:ilvl w:val="1"/>
          <w:numId w:val="233"/>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30, 2018</w:t>
      </w:r>
    </w:p>
    <w:p>
      <w:pPr>
        <w:spacing w:after="0" w:line="225" w:lineRule="exact"/>
        <w:rPr>
          <w:sz w:val="20"/>
          <w:szCs w:val="20"/>
          <w:color w:val="auto"/>
        </w:rPr>
      </w:pPr>
    </w:p>
    <w:p>
      <w:pPr>
        <w:jc w:val="both"/>
        <w:spacing w:after="0"/>
        <w:tabs>
          <w:tab w:leader="none" w:pos="440" w:val="left"/>
        </w:tabs>
        <w:rPr>
          <w:sz w:val="20"/>
          <w:szCs w:val="20"/>
          <w:color w:val="auto"/>
        </w:rPr>
      </w:pPr>
      <w:r>
        <w:rPr>
          <w:rFonts w:ascii="Arial" w:cs="Arial" w:eastAsia="Arial" w:hAnsi="Arial"/>
          <w:sz w:val="18"/>
          <w:szCs w:val="18"/>
          <w:color w:val="auto"/>
        </w:rPr>
        <w:t>By:</w:t>
        <w:tab/>
        <w:t>/s/ Rubens V. Amaral Jr.</w:t>
      </w:r>
    </w:p>
    <w:p>
      <w:pPr>
        <w:spacing w:after="0" w:line="23" w:lineRule="exact"/>
        <w:rPr>
          <w:sz w:val="20"/>
          <w:szCs w:val="20"/>
          <w:color w:val="auto"/>
        </w:rPr>
      </w:pPr>
    </w:p>
    <w:p>
      <w:pPr>
        <w:jc w:val="right"/>
        <w:ind w:right="9260"/>
        <w:spacing w:after="0"/>
        <w:rPr>
          <w:sz w:val="20"/>
          <w:szCs w:val="20"/>
          <w:color w:val="auto"/>
        </w:rPr>
      </w:pPr>
      <w:r>
        <w:rPr>
          <w:rFonts w:ascii="Arial" w:cs="Arial" w:eastAsia="Arial" w:hAnsi="Arial"/>
          <w:sz w:val="18"/>
          <w:szCs w:val="18"/>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-130810</wp:posOffset>
            </wp:positionV>
            <wp:extent cx="3336290" cy="889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23">
                      <a:extLst>
                        <a:ext uri="{28A0092B-C50C-407E-A947-70E740481C1C}"/>
                      </a:extLst>
                    </a:blip>
                    <a:srcRect/>
                    <a:stretch>
                      <a:fillRect/>
                    </a:stretch>
                  </pic:blipFill>
                  <pic:spPr bwMode="auto">
                    <a:xfrm>
                      <a:off x="0" y="0"/>
                      <a:ext cx="333629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443230</wp:posOffset>
            </wp:positionV>
            <wp:extent cx="7246620" cy="889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55" w:right="239" w:bottom="1440" w:gutter="0" w:footer="0" w:header="0"/>
        </w:sectPr>
      </w:pPr>
    </w:p>
    <w:bookmarkStart w:id="246" w:name="page247"/>
    <w:bookmarkEnd w:id="246"/>
    <w:p>
      <w:pPr>
        <w:jc w:val="right"/>
        <w:spacing w:after="0"/>
        <w:rPr>
          <w:sz w:val="20"/>
          <w:szCs w:val="20"/>
          <w:color w:val="auto"/>
        </w:rPr>
      </w:pPr>
      <w:r>
        <w:rPr>
          <w:rFonts w:ascii="Arial" w:cs="Arial" w:eastAsia="Arial" w:hAnsi="Arial"/>
          <w:sz w:val="18"/>
          <w:szCs w:val="18"/>
          <w:b w:val="1"/>
          <w:bCs w:val="1"/>
          <w:color w:val="auto"/>
        </w:rPr>
        <w:t>Exhibit 12.2</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I, Ana Graciela de Méndez, certify that:</w:t>
      </w:r>
    </w:p>
    <w:p>
      <w:pPr>
        <w:spacing w:after="0" w:line="225" w:lineRule="exact"/>
        <w:rPr>
          <w:sz w:val="20"/>
          <w:szCs w:val="20"/>
          <w:color w:val="auto"/>
        </w:rPr>
      </w:pPr>
    </w:p>
    <w:p>
      <w:pPr>
        <w:ind w:left="660" w:hanging="652"/>
        <w:spacing w:after="0"/>
        <w:tabs>
          <w:tab w:leader="none" w:pos="660" w:val="left"/>
        </w:tabs>
        <w:numPr>
          <w:ilvl w:val="0"/>
          <w:numId w:val="234"/>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Banco Latinoamericano de Comercio Exterior, S.A.;</w:t>
      </w:r>
    </w:p>
    <w:p>
      <w:pPr>
        <w:spacing w:after="0" w:line="225" w:lineRule="exact"/>
        <w:rPr>
          <w:rFonts w:ascii="Arial" w:cs="Arial" w:eastAsia="Arial" w:hAnsi="Arial"/>
          <w:sz w:val="18"/>
          <w:szCs w:val="18"/>
          <w:color w:val="auto"/>
        </w:rPr>
      </w:pPr>
    </w:p>
    <w:p>
      <w:pPr>
        <w:jc w:val="both"/>
        <w:ind w:left="660" w:hanging="652"/>
        <w:spacing w:after="0" w:line="264" w:lineRule="auto"/>
        <w:tabs>
          <w:tab w:leader="none" w:pos="660" w:val="left"/>
        </w:tabs>
        <w:numPr>
          <w:ilvl w:val="0"/>
          <w:numId w:val="234"/>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81" w:lineRule="exact"/>
        <w:rPr>
          <w:rFonts w:ascii="Arial" w:cs="Arial" w:eastAsia="Arial" w:hAnsi="Arial"/>
          <w:sz w:val="18"/>
          <w:szCs w:val="18"/>
          <w:color w:val="auto"/>
        </w:rPr>
      </w:pPr>
    </w:p>
    <w:p>
      <w:pPr>
        <w:ind w:left="660" w:hanging="652"/>
        <w:spacing w:after="0" w:line="277" w:lineRule="auto"/>
        <w:tabs>
          <w:tab w:leader="none" w:pos="660" w:val="left"/>
        </w:tabs>
        <w:numPr>
          <w:ilvl w:val="0"/>
          <w:numId w:val="234"/>
        </w:numPr>
        <w:rPr>
          <w:rFonts w:ascii="Arial" w:cs="Arial" w:eastAsia="Arial" w:hAnsi="Arial"/>
          <w:sz w:val="18"/>
          <w:szCs w:val="18"/>
          <w:color w:val="auto"/>
        </w:rPr>
      </w:pPr>
      <w:r>
        <w:rPr>
          <w:rFonts w:ascii="Arial" w:cs="Arial" w:eastAsia="Arial" w:hAnsi="Arial"/>
          <w:sz w:val="18"/>
          <w:szCs w:val="18"/>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70" w:lineRule="exact"/>
        <w:rPr>
          <w:rFonts w:ascii="Arial" w:cs="Arial" w:eastAsia="Arial" w:hAnsi="Arial"/>
          <w:sz w:val="18"/>
          <w:szCs w:val="18"/>
          <w:color w:val="auto"/>
        </w:rPr>
      </w:pPr>
    </w:p>
    <w:p>
      <w:pPr>
        <w:jc w:val="both"/>
        <w:ind w:left="660" w:hanging="652"/>
        <w:spacing w:after="0" w:line="264" w:lineRule="auto"/>
        <w:tabs>
          <w:tab w:leader="none" w:pos="660" w:val="left"/>
        </w:tabs>
        <w:numPr>
          <w:ilvl w:val="0"/>
          <w:numId w:val="234"/>
        </w:numPr>
        <w:rPr>
          <w:rFonts w:ascii="Arial" w:cs="Arial" w:eastAsia="Arial" w:hAnsi="Arial"/>
          <w:sz w:val="18"/>
          <w:szCs w:val="18"/>
          <w:color w:val="auto"/>
        </w:rPr>
      </w:pPr>
      <w:r>
        <w:rPr>
          <w:rFonts w:ascii="Arial" w:cs="Arial" w:eastAsia="Arial" w:hAnsi="Arial"/>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81" w:lineRule="exact"/>
        <w:rPr>
          <w:rFonts w:ascii="Arial" w:cs="Arial" w:eastAsia="Arial" w:hAnsi="Arial"/>
          <w:sz w:val="18"/>
          <w:szCs w:val="18"/>
          <w:color w:val="auto"/>
        </w:rPr>
      </w:pPr>
    </w:p>
    <w:p>
      <w:pPr>
        <w:jc w:val="both"/>
        <w:ind w:left="980" w:hanging="324"/>
        <w:spacing w:after="0" w:line="264" w:lineRule="auto"/>
        <w:tabs>
          <w:tab w:leader="none" w:pos="980" w:val="left"/>
        </w:tabs>
        <w:numPr>
          <w:ilvl w:val="1"/>
          <w:numId w:val="234"/>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81" w:lineRule="exact"/>
        <w:rPr>
          <w:rFonts w:ascii="Arial" w:cs="Arial" w:eastAsia="Arial" w:hAnsi="Arial"/>
          <w:sz w:val="18"/>
          <w:szCs w:val="18"/>
          <w:color w:val="auto"/>
        </w:rPr>
      </w:pPr>
    </w:p>
    <w:p>
      <w:pPr>
        <w:jc w:val="both"/>
        <w:ind w:left="980" w:hanging="324"/>
        <w:spacing w:after="0" w:line="264" w:lineRule="auto"/>
        <w:tabs>
          <w:tab w:leader="none" w:pos="980" w:val="left"/>
        </w:tabs>
        <w:numPr>
          <w:ilvl w:val="1"/>
          <w:numId w:val="234"/>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81" w:lineRule="exact"/>
        <w:rPr>
          <w:rFonts w:ascii="Arial" w:cs="Arial" w:eastAsia="Arial" w:hAnsi="Arial"/>
          <w:sz w:val="18"/>
          <w:szCs w:val="18"/>
          <w:color w:val="auto"/>
        </w:rPr>
      </w:pPr>
    </w:p>
    <w:p>
      <w:pPr>
        <w:ind w:left="980" w:right="20" w:hanging="324"/>
        <w:spacing w:after="0" w:line="308" w:lineRule="auto"/>
        <w:tabs>
          <w:tab w:leader="none" w:pos="980" w:val="left"/>
        </w:tabs>
        <w:numPr>
          <w:ilvl w:val="1"/>
          <w:numId w:val="234"/>
        </w:numPr>
        <w:rPr>
          <w:rFonts w:ascii="Arial" w:cs="Arial" w:eastAsia="Arial" w:hAnsi="Arial"/>
          <w:sz w:val="17"/>
          <w:szCs w:val="17"/>
          <w:color w:val="auto"/>
        </w:rPr>
      </w:pPr>
      <w:r>
        <w:rPr>
          <w:rFonts w:ascii="Arial" w:cs="Arial" w:eastAsia="Arial" w:hAnsi="Arial"/>
          <w:sz w:val="17"/>
          <w:szCs w:val="17"/>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46" w:lineRule="exact"/>
        <w:rPr>
          <w:rFonts w:ascii="Arial" w:cs="Arial" w:eastAsia="Arial" w:hAnsi="Arial"/>
          <w:sz w:val="17"/>
          <w:szCs w:val="17"/>
          <w:color w:val="auto"/>
        </w:rPr>
      </w:pPr>
    </w:p>
    <w:p>
      <w:pPr>
        <w:jc w:val="both"/>
        <w:ind w:left="980" w:hanging="324"/>
        <w:spacing w:after="0" w:line="342" w:lineRule="auto"/>
        <w:tabs>
          <w:tab w:leader="none" w:pos="980" w:val="left"/>
        </w:tabs>
        <w:numPr>
          <w:ilvl w:val="1"/>
          <w:numId w:val="234"/>
        </w:numPr>
        <w:rPr>
          <w:rFonts w:ascii="Arial" w:cs="Arial" w:eastAsia="Arial" w:hAnsi="Arial"/>
          <w:sz w:val="16"/>
          <w:szCs w:val="16"/>
          <w:color w:val="auto"/>
        </w:rPr>
      </w:pPr>
      <w:r>
        <w:rPr>
          <w:rFonts w:ascii="Arial" w:cs="Arial" w:eastAsia="Arial" w:hAnsi="Arial"/>
          <w:sz w:val="16"/>
          <w:szCs w:val="16"/>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3" w:lineRule="exact"/>
        <w:rPr>
          <w:rFonts w:ascii="Arial" w:cs="Arial" w:eastAsia="Arial" w:hAnsi="Arial"/>
          <w:sz w:val="16"/>
          <w:szCs w:val="16"/>
          <w:color w:val="auto"/>
        </w:rPr>
      </w:pPr>
    </w:p>
    <w:p>
      <w:pPr>
        <w:ind w:left="660" w:right="20" w:hanging="652"/>
        <w:spacing w:after="0" w:line="308" w:lineRule="auto"/>
        <w:tabs>
          <w:tab w:leader="none" w:pos="660" w:val="left"/>
        </w:tabs>
        <w:numPr>
          <w:ilvl w:val="0"/>
          <w:numId w:val="234"/>
        </w:numPr>
        <w:rPr>
          <w:rFonts w:ascii="Arial" w:cs="Arial" w:eastAsia="Arial" w:hAnsi="Arial"/>
          <w:sz w:val="17"/>
          <w:szCs w:val="17"/>
          <w:color w:val="auto"/>
        </w:rPr>
      </w:pPr>
      <w:r>
        <w:rPr>
          <w:rFonts w:ascii="Arial" w:cs="Arial" w:eastAsia="Arial" w:hAnsi="Arial"/>
          <w:sz w:val="17"/>
          <w:szCs w:val="17"/>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146" w:lineRule="exact"/>
        <w:rPr>
          <w:rFonts w:ascii="Arial" w:cs="Arial" w:eastAsia="Arial" w:hAnsi="Arial"/>
          <w:sz w:val="17"/>
          <w:szCs w:val="17"/>
          <w:color w:val="auto"/>
        </w:rPr>
      </w:pPr>
    </w:p>
    <w:p>
      <w:pPr>
        <w:ind w:left="1060" w:hanging="404"/>
        <w:spacing w:after="0" w:line="277" w:lineRule="auto"/>
        <w:tabs>
          <w:tab w:leader="none" w:pos="1060" w:val="left"/>
        </w:tabs>
        <w:numPr>
          <w:ilvl w:val="1"/>
          <w:numId w:val="234"/>
        </w:numPr>
        <w:rPr>
          <w:rFonts w:ascii="Arial" w:cs="Arial" w:eastAsia="Arial" w:hAnsi="Arial"/>
          <w:sz w:val="18"/>
          <w:szCs w:val="18"/>
          <w:color w:val="auto"/>
        </w:rPr>
      </w:pPr>
      <w:r>
        <w:rPr>
          <w:rFonts w:ascii="Arial" w:cs="Arial" w:eastAsia="Arial" w:hAnsi="Arial"/>
          <w:sz w:val="18"/>
          <w:szCs w:val="18"/>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70" w:lineRule="exact"/>
        <w:rPr>
          <w:rFonts w:ascii="Arial" w:cs="Arial" w:eastAsia="Arial" w:hAnsi="Arial"/>
          <w:sz w:val="18"/>
          <w:szCs w:val="18"/>
          <w:color w:val="auto"/>
        </w:rPr>
      </w:pPr>
    </w:p>
    <w:p>
      <w:pPr>
        <w:ind w:left="1060" w:right="20" w:hanging="404"/>
        <w:spacing w:after="0" w:line="277" w:lineRule="auto"/>
        <w:tabs>
          <w:tab w:leader="none" w:pos="1060" w:val="left"/>
        </w:tabs>
        <w:numPr>
          <w:ilvl w:val="1"/>
          <w:numId w:val="234"/>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30, 2018</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By: /s/ Ana Graciela de Méndez</w:t>
      </w:r>
    </w:p>
    <w:p>
      <w:pPr>
        <w:spacing w:after="0" w:line="23" w:lineRule="exact"/>
        <w:rPr>
          <w:sz w:val="20"/>
          <w:szCs w:val="20"/>
          <w:color w:val="auto"/>
        </w:rPr>
      </w:pPr>
    </w:p>
    <w:p>
      <w:pPr>
        <w:ind w:left="380"/>
        <w:spacing w:after="0"/>
        <w:rPr>
          <w:sz w:val="20"/>
          <w:szCs w:val="20"/>
          <w:color w:val="auto"/>
        </w:rPr>
      </w:pPr>
      <w:r>
        <w:rPr>
          <w:rFonts w:ascii="Arial" w:cs="Arial" w:eastAsia="Arial" w:hAnsi="Arial"/>
          <w:sz w:val="18"/>
          <w:szCs w:val="18"/>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236855</wp:posOffset>
            </wp:positionH>
            <wp:positionV relativeFrom="paragraph">
              <wp:posOffset>-130810</wp:posOffset>
            </wp:positionV>
            <wp:extent cx="3327400" cy="8890"/>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25">
                      <a:extLst>
                        <a:ext uri="{28A0092B-C50C-407E-A947-70E740481C1C}"/>
                      </a:extLst>
                    </a:blip>
                    <a:srcRect/>
                    <a:stretch>
                      <a:fillRect/>
                    </a:stretch>
                  </pic:blipFill>
                  <pic:spPr bwMode="auto">
                    <a:xfrm>
                      <a:off x="0" y="0"/>
                      <a:ext cx="332740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288925</wp:posOffset>
            </wp:positionV>
            <wp:extent cx="7246620" cy="8890"/>
            <wp:wrapNone/>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37" w:right="239" w:bottom="1440" w:gutter="0" w:footer="0" w:header="0"/>
        </w:sectPr>
      </w:pPr>
    </w:p>
    <w:bookmarkStart w:id="247" w:name="page248"/>
    <w:bookmarkEnd w:id="247"/>
    <w:p>
      <w:pPr>
        <w:jc w:val="right"/>
        <w:spacing w:after="0"/>
        <w:rPr>
          <w:sz w:val="20"/>
          <w:szCs w:val="20"/>
          <w:color w:val="auto"/>
        </w:rPr>
      </w:pPr>
      <w:r>
        <w:rPr>
          <w:rFonts w:ascii="Arial" w:cs="Arial" w:eastAsia="Arial" w:hAnsi="Arial"/>
          <w:sz w:val="18"/>
          <w:szCs w:val="18"/>
          <w:b w:val="1"/>
          <w:bCs w:val="1"/>
          <w:color w:val="auto"/>
        </w:rPr>
        <w:t>Exhibit 13.1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This certification is provided pursuant to Section 906 of the Sarbanes-Oxley Act of 2002, and accompanies the Annual Report on Form 20-F (the “Report”) for the period ended December 31, 2017 of Banco Latinoamericano de Comercio Exterior, S.A.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I, Rubens V. Amaral Jr. Chief Executive Officer of the Company, certify that:</w:t>
      </w:r>
    </w:p>
    <w:p>
      <w:pPr>
        <w:spacing w:after="0" w:line="225" w:lineRule="exact"/>
        <w:rPr>
          <w:sz w:val="20"/>
          <w:szCs w:val="20"/>
          <w:color w:val="auto"/>
        </w:rPr>
      </w:pPr>
    </w:p>
    <w:p>
      <w:pPr>
        <w:ind w:left="1040" w:hanging="384"/>
        <w:spacing w:after="0"/>
        <w:tabs>
          <w:tab w:leader="none" w:pos="1040" w:val="left"/>
        </w:tabs>
        <w:numPr>
          <w:ilvl w:val="0"/>
          <w:numId w:val="235"/>
        </w:numPr>
        <w:rPr>
          <w:rFonts w:ascii="Arial" w:cs="Arial" w:eastAsia="Arial" w:hAnsi="Arial"/>
          <w:sz w:val="16"/>
          <w:szCs w:val="16"/>
          <w:color w:val="auto"/>
        </w:rPr>
      </w:pPr>
      <w:r>
        <w:rPr>
          <w:rFonts w:ascii="Arial" w:cs="Arial" w:eastAsia="Arial" w:hAnsi="Arial"/>
          <w:sz w:val="16"/>
          <w:szCs w:val="16"/>
          <w:color w:val="auto"/>
        </w:rPr>
        <w:t>The Report fully complies with the requirements of Section 13(a) or Section 15(d) of the Securities Exchange Act of 1934, as amended; and</w:t>
      </w:r>
    </w:p>
    <w:p>
      <w:pPr>
        <w:spacing w:after="0" w:line="248" w:lineRule="exact"/>
        <w:rPr>
          <w:rFonts w:ascii="Arial" w:cs="Arial" w:eastAsia="Arial" w:hAnsi="Arial"/>
          <w:sz w:val="16"/>
          <w:szCs w:val="16"/>
          <w:color w:val="auto"/>
        </w:rPr>
      </w:pPr>
    </w:p>
    <w:p>
      <w:pPr>
        <w:ind w:left="1060" w:hanging="404"/>
        <w:spacing w:after="0" w:line="277" w:lineRule="auto"/>
        <w:tabs>
          <w:tab w:leader="none" w:pos="1060" w:val="left"/>
        </w:tabs>
        <w:numPr>
          <w:ilvl w:val="0"/>
          <w:numId w:val="235"/>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30, 2018</w:t>
      </w:r>
    </w:p>
    <w:p>
      <w:pPr>
        <w:spacing w:after="0" w:line="225" w:lineRule="exact"/>
        <w:rPr>
          <w:sz w:val="20"/>
          <w:szCs w:val="20"/>
          <w:color w:val="auto"/>
        </w:rPr>
      </w:pPr>
    </w:p>
    <w:p>
      <w:pPr>
        <w:jc w:val="both"/>
        <w:spacing w:after="0"/>
        <w:tabs>
          <w:tab w:leader="none" w:pos="440" w:val="left"/>
        </w:tabs>
        <w:rPr>
          <w:sz w:val="20"/>
          <w:szCs w:val="20"/>
          <w:color w:val="auto"/>
        </w:rPr>
      </w:pPr>
      <w:r>
        <w:rPr>
          <w:rFonts w:ascii="Arial" w:cs="Arial" w:eastAsia="Arial" w:hAnsi="Arial"/>
          <w:sz w:val="18"/>
          <w:szCs w:val="18"/>
          <w:color w:val="auto"/>
        </w:rPr>
        <w:t>By:</w:t>
        <w:tab/>
        <w:t>/s/ Rubens V. Amaral Jr.</w:t>
      </w:r>
    </w:p>
    <w:p>
      <w:pPr>
        <w:spacing w:after="0" w:line="23" w:lineRule="exact"/>
        <w:rPr>
          <w:sz w:val="20"/>
          <w:szCs w:val="20"/>
          <w:color w:val="auto"/>
        </w:rPr>
      </w:pPr>
    </w:p>
    <w:p>
      <w:pPr>
        <w:jc w:val="right"/>
        <w:ind w:right="9260"/>
        <w:spacing w:after="0"/>
        <w:rPr>
          <w:sz w:val="20"/>
          <w:szCs w:val="20"/>
          <w:color w:val="auto"/>
        </w:rPr>
      </w:pPr>
      <w:r>
        <w:rPr>
          <w:rFonts w:ascii="Arial" w:cs="Arial" w:eastAsia="Arial" w:hAnsi="Arial"/>
          <w:sz w:val="18"/>
          <w:szCs w:val="18"/>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-130810</wp:posOffset>
            </wp:positionV>
            <wp:extent cx="3336290" cy="889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27">
                      <a:extLst>
                        <a:ext uri="{28A0092B-C50C-407E-A947-70E740481C1C}"/>
                      </a:extLst>
                    </a:blip>
                    <a:srcRect/>
                    <a:stretch>
                      <a:fillRect/>
                    </a:stretch>
                  </pic:blipFill>
                  <pic:spPr bwMode="auto">
                    <a:xfrm>
                      <a:off x="0" y="0"/>
                      <a:ext cx="333629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443230</wp:posOffset>
            </wp:positionV>
            <wp:extent cx="7246620" cy="8890"/>
            <wp:wrapNone/>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38" w:right="239" w:bottom="1440" w:gutter="0" w:footer="0" w:header="0"/>
        </w:sectPr>
      </w:pPr>
    </w:p>
    <w:bookmarkStart w:id="248" w:name="page249"/>
    <w:bookmarkEnd w:id="248"/>
    <w:p>
      <w:pPr>
        <w:jc w:val="right"/>
        <w:spacing w:after="0"/>
        <w:rPr>
          <w:sz w:val="20"/>
          <w:szCs w:val="20"/>
          <w:color w:val="auto"/>
        </w:rPr>
      </w:pPr>
      <w:r>
        <w:rPr>
          <w:rFonts w:ascii="Arial" w:cs="Arial" w:eastAsia="Arial" w:hAnsi="Arial"/>
          <w:sz w:val="18"/>
          <w:szCs w:val="18"/>
          <w:b w:val="1"/>
          <w:bCs w:val="1"/>
          <w:color w:val="auto"/>
        </w:rPr>
        <w:t>Exhibit 13.2</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This certification is provided pursuant to Section 906 of the Sarbanes-Oxley Act of 2002, and accompanies the Annual Report on Form 20-F (the “Report”) for the period ended December 31, 2017 of Banco Latinoamericano de Comercio Exterior, S.A.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I, Ana Graciela de Méndez, the Chief Financial Officer of the Company, certify that:</w:t>
      </w:r>
    </w:p>
    <w:p>
      <w:pPr>
        <w:spacing w:after="0" w:line="225" w:lineRule="exact"/>
        <w:rPr>
          <w:sz w:val="20"/>
          <w:szCs w:val="20"/>
          <w:color w:val="auto"/>
        </w:rPr>
      </w:pPr>
    </w:p>
    <w:p>
      <w:pPr>
        <w:ind w:left="1040" w:hanging="384"/>
        <w:spacing w:after="0"/>
        <w:tabs>
          <w:tab w:leader="none" w:pos="1040" w:val="left"/>
        </w:tabs>
        <w:numPr>
          <w:ilvl w:val="0"/>
          <w:numId w:val="236"/>
        </w:numPr>
        <w:rPr>
          <w:rFonts w:ascii="Arial" w:cs="Arial" w:eastAsia="Arial" w:hAnsi="Arial"/>
          <w:sz w:val="16"/>
          <w:szCs w:val="16"/>
          <w:color w:val="auto"/>
        </w:rPr>
      </w:pPr>
      <w:r>
        <w:rPr>
          <w:rFonts w:ascii="Arial" w:cs="Arial" w:eastAsia="Arial" w:hAnsi="Arial"/>
          <w:sz w:val="16"/>
          <w:szCs w:val="16"/>
          <w:color w:val="auto"/>
        </w:rPr>
        <w:t>The Report fully complies with the requirements of Section 13(a) or Section 15(d) of the Securities Exchange Act of 1934, as amended; and</w:t>
      </w:r>
    </w:p>
    <w:p>
      <w:pPr>
        <w:spacing w:after="0" w:line="248" w:lineRule="exact"/>
        <w:rPr>
          <w:rFonts w:ascii="Arial" w:cs="Arial" w:eastAsia="Arial" w:hAnsi="Arial"/>
          <w:sz w:val="16"/>
          <w:szCs w:val="16"/>
          <w:color w:val="auto"/>
        </w:rPr>
      </w:pPr>
    </w:p>
    <w:p>
      <w:pPr>
        <w:ind w:left="1060" w:hanging="404"/>
        <w:spacing w:after="0" w:line="277" w:lineRule="auto"/>
        <w:tabs>
          <w:tab w:leader="none" w:pos="1060" w:val="left"/>
        </w:tabs>
        <w:numPr>
          <w:ilvl w:val="0"/>
          <w:numId w:val="236"/>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30, 2018</w:t>
      </w:r>
    </w:p>
    <w:p>
      <w:pPr>
        <w:spacing w:after="0" w:line="225" w:lineRule="exact"/>
        <w:rPr>
          <w:sz w:val="20"/>
          <w:szCs w:val="20"/>
          <w:color w:val="auto"/>
        </w:rPr>
      </w:pPr>
    </w:p>
    <w:p>
      <w:pPr>
        <w:spacing w:after="0"/>
        <w:tabs>
          <w:tab w:leader="none" w:pos="440" w:val="left"/>
        </w:tabs>
        <w:rPr>
          <w:sz w:val="20"/>
          <w:szCs w:val="20"/>
          <w:color w:val="auto"/>
        </w:rPr>
      </w:pPr>
      <w:r>
        <w:rPr>
          <w:rFonts w:ascii="Arial" w:cs="Arial" w:eastAsia="Arial" w:hAnsi="Arial"/>
          <w:sz w:val="18"/>
          <w:szCs w:val="18"/>
          <w:color w:val="auto"/>
        </w:rPr>
        <w:t>By:</w:t>
        <w:tab/>
        <w:t>/s/ Ana Graciela de Méndez</w:t>
      </w:r>
    </w:p>
    <w:p>
      <w:pPr>
        <w:spacing w:after="0" w:line="23" w:lineRule="exact"/>
        <w:rPr>
          <w:sz w:val="20"/>
          <w:szCs w:val="20"/>
          <w:color w:val="auto"/>
        </w:rPr>
      </w:pPr>
    </w:p>
    <w:p>
      <w:pPr>
        <w:ind w:left="460"/>
        <w:spacing w:after="0"/>
        <w:rPr>
          <w:sz w:val="20"/>
          <w:szCs w:val="20"/>
          <w:color w:val="auto"/>
        </w:rPr>
      </w:pPr>
      <w:r>
        <w:rPr>
          <w:rFonts w:ascii="Arial" w:cs="Arial" w:eastAsia="Arial" w:hAnsi="Arial"/>
          <w:sz w:val="18"/>
          <w:szCs w:val="18"/>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-130810</wp:posOffset>
            </wp:positionV>
            <wp:extent cx="3336290" cy="8890"/>
            <wp:wrapNone/>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29">
                      <a:extLst>
                        <a:ext uri="{28A0092B-C50C-407E-A947-70E740481C1C}"/>
                      </a:extLst>
                    </a:blip>
                    <a:srcRect/>
                    <a:stretch>
                      <a:fillRect/>
                    </a:stretch>
                  </pic:blipFill>
                  <pic:spPr bwMode="auto">
                    <a:xfrm>
                      <a:off x="0" y="0"/>
                      <a:ext cx="333629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443230</wp:posOffset>
            </wp:positionV>
            <wp:extent cx="7246620" cy="8890"/>
            <wp:wrapNone/>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37" w:right="239" w:bottom="1440" w:gutter="0" w:footer="0" w:header="0"/>
        </w:sectPr>
      </w:pPr>
    </w:p>
    <w:bookmarkStart w:id="249" w:name="page250"/>
    <w:bookmarkEnd w:id="249"/>
    <w:p>
      <w:pPr>
        <w:jc w:val="right"/>
        <w:spacing w:after="0"/>
        <w:rPr>
          <w:sz w:val="20"/>
          <w:szCs w:val="20"/>
          <w:color w:val="auto"/>
        </w:rPr>
      </w:pPr>
      <w:r>
        <w:rPr>
          <w:rFonts w:ascii="Arial" w:cs="Arial" w:eastAsia="Arial" w:hAnsi="Arial"/>
          <w:sz w:val="22"/>
          <w:szCs w:val="22"/>
          <w:b w:val="1"/>
          <w:bCs w:val="1"/>
          <w:color w:val="auto"/>
        </w:rPr>
        <w:t>Exhibit 15.1</w:t>
      </w:r>
    </w:p>
    <w:p>
      <w:pPr>
        <w:spacing w:after="0" w:line="242" w:lineRule="exact"/>
        <w:rPr>
          <w:sz w:val="20"/>
          <w:szCs w:val="20"/>
          <w:color w:val="auto"/>
        </w:rPr>
      </w:pPr>
    </w:p>
    <w:p>
      <w:pPr>
        <w:ind w:left="8240"/>
        <w:spacing w:after="0"/>
        <w:rPr>
          <w:sz w:val="20"/>
          <w:szCs w:val="20"/>
          <w:color w:val="auto"/>
        </w:rPr>
      </w:pPr>
      <w:r>
        <w:rPr>
          <w:rFonts w:ascii="Arial" w:cs="Arial" w:eastAsia="Arial" w:hAnsi="Arial"/>
          <w:sz w:val="18"/>
          <w:szCs w:val="18"/>
          <w:b w:val="1"/>
          <w:bCs w:val="1"/>
          <w:color w:val="auto"/>
        </w:rPr>
        <w:t>Deloitte, lnc.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-118745</wp:posOffset>
            </wp:positionV>
            <wp:extent cx="1500505" cy="291465"/>
            <wp:wrapNone/>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31">
                      <a:extLst>
                        <a:ext uri="{28A0092B-C50C-407E-A947-70E740481C1C}"/>
                      </a:extLst>
                    </a:blip>
                    <a:srcRect/>
                    <a:stretch>
                      <a:fillRect/>
                    </a:stretch>
                  </pic:blipFill>
                  <pic:spPr bwMode="auto">
                    <a:xfrm>
                      <a:off x="0" y="0"/>
                      <a:ext cx="1500505" cy="291465"/>
                    </a:xfrm>
                    <a:prstGeom prst="rect">
                      <a:avLst/>
                    </a:prstGeom>
                    <a:noFill/>
                  </pic:spPr>
                </pic:pic>
              </a:graphicData>
            </a:graphic>
          </wp:anchor>
        </w:drawing>
      </w:r>
    </w:p>
    <w:p>
      <w:pPr>
        <w:spacing w:after="0" w:line="7"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Contadores Públicos Autorizados</w:t>
      </w:r>
    </w:p>
    <w:p>
      <w:pPr>
        <w:spacing w:after="0" w:line="9"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RUC 16292-152-155203 D.V. 65</w:t>
      </w:r>
    </w:p>
    <w:p>
      <w:pPr>
        <w:spacing w:after="0" w:line="9"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Torre Banco Panamá, piso 12</w:t>
      </w:r>
    </w:p>
    <w:p>
      <w:pPr>
        <w:spacing w:after="0" w:line="9"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Avenida Boulevard y la Rotonda</w:t>
      </w:r>
    </w:p>
    <w:p>
      <w:pPr>
        <w:spacing w:after="0" w:line="9"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Costa del Este, Panamá</w:t>
      </w:r>
    </w:p>
    <w:p>
      <w:pPr>
        <w:spacing w:after="0" w:line="9"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Apartado 0816-01558</w:t>
      </w:r>
    </w:p>
    <w:p>
      <w:pPr>
        <w:spacing w:after="0" w:line="9"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Panamá, Rep. de Panamá</w:t>
      </w:r>
    </w:p>
    <w:p>
      <w:pPr>
        <w:spacing w:after="0" w:line="211"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Teléfono: (507) 303-4100</w:t>
      </w:r>
    </w:p>
    <w:p>
      <w:pPr>
        <w:spacing w:after="0" w:line="23"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Fax: (507) 269-2386</w:t>
      </w:r>
    </w:p>
    <w:p>
      <w:pPr>
        <w:spacing w:after="0" w:line="9"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infopanama@deloitte.com</w:t>
      </w:r>
    </w:p>
    <w:p>
      <w:pPr>
        <w:spacing w:after="0" w:line="9" w:lineRule="exact"/>
        <w:rPr>
          <w:sz w:val="20"/>
          <w:szCs w:val="20"/>
          <w:color w:val="auto"/>
        </w:rPr>
      </w:pPr>
    </w:p>
    <w:p>
      <w:pPr>
        <w:ind w:left="8240"/>
        <w:spacing w:after="0"/>
        <w:rPr>
          <w:sz w:val="20"/>
          <w:szCs w:val="20"/>
          <w:color w:val="auto"/>
        </w:rPr>
      </w:pPr>
      <w:r>
        <w:rPr>
          <w:rFonts w:ascii="Arial" w:cs="Arial" w:eastAsia="Arial" w:hAnsi="Arial"/>
          <w:sz w:val="18"/>
          <w:szCs w:val="18"/>
          <w:color w:val="auto"/>
        </w:rPr>
        <w:t>www.deloitte.com/pa</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April 30, 2018</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Securities and Exchange Commission</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100 F Street, NE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Washington, D.C. 20549</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Dear Sirs:</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We have read Item 16F of Banco Latinoamericano de Comercio Exterior, S.A.’s Annual Report on Form 20-F dated April 30, 2018 (the “Annual Report”), for the year ended December 31, 2017, and have the following comments:</w:t>
      </w:r>
    </w:p>
    <w:p>
      <w:pPr>
        <w:spacing w:after="0" w:line="170" w:lineRule="exact"/>
        <w:rPr>
          <w:sz w:val="20"/>
          <w:szCs w:val="20"/>
          <w:color w:val="auto"/>
        </w:rPr>
      </w:pPr>
    </w:p>
    <w:p>
      <w:pPr>
        <w:ind w:left="340" w:hanging="332"/>
        <w:spacing w:after="0"/>
        <w:tabs>
          <w:tab w:leader="none" w:pos="340" w:val="left"/>
        </w:tabs>
        <w:numPr>
          <w:ilvl w:val="0"/>
          <w:numId w:val="237"/>
        </w:numPr>
        <w:rPr>
          <w:rFonts w:ascii="Arial" w:cs="Arial" w:eastAsia="Arial" w:hAnsi="Arial"/>
          <w:sz w:val="18"/>
          <w:szCs w:val="18"/>
          <w:color w:val="auto"/>
        </w:rPr>
      </w:pPr>
      <w:r>
        <w:rPr>
          <w:rFonts w:ascii="Arial" w:cs="Arial" w:eastAsia="Arial" w:hAnsi="Arial"/>
          <w:sz w:val="18"/>
          <w:szCs w:val="18"/>
          <w:color w:val="auto"/>
        </w:rPr>
        <w:t>We agree with the statements made in the first, third, fourth and fifth paragraphs of Item 16F of the Annual Report.</w:t>
      </w:r>
    </w:p>
    <w:p>
      <w:pPr>
        <w:spacing w:after="0" w:line="225" w:lineRule="exact"/>
        <w:rPr>
          <w:rFonts w:ascii="Arial" w:cs="Arial" w:eastAsia="Arial" w:hAnsi="Arial"/>
          <w:sz w:val="18"/>
          <w:szCs w:val="18"/>
          <w:color w:val="auto"/>
        </w:rPr>
      </w:pPr>
    </w:p>
    <w:p>
      <w:pPr>
        <w:ind w:left="340" w:hanging="332"/>
        <w:spacing w:after="0"/>
        <w:tabs>
          <w:tab w:leader="none" w:pos="340" w:val="left"/>
        </w:tabs>
        <w:numPr>
          <w:ilvl w:val="0"/>
          <w:numId w:val="237"/>
        </w:numPr>
        <w:rPr>
          <w:rFonts w:ascii="Arial" w:cs="Arial" w:eastAsia="Arial" w:hAnsi="Arial"/>
          <w:sz w:val="18"/>
          <w:szCs w:val="18"/>
          <w:color w:val="auto"/>
        </w:rPr>
      </w:pPr>
      <w:r>
        <w:rPr>
          <w:rFonts w:ascii="Arial" w:cs="Arial" w:eastAsia="Arial" w:hAnsi="Arial"/>
          <w:sz w:val="18"/>
          <w:szCs w:val="18"/>
          <w:color w:val="auto"/>
        </w:rPr>
        <w:t>We have no basis to agree or disagree with other statements of the registrant contained therein.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Very truly yours,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/s/ Deloitte, Inc.</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4" w:lineRule="exact"/>
        <w:rPr>
          <w:sz w:val="20"/>
          <w:szCs w:val="20"/>
          <w:color w:val="auto"/>
        </w:rPr>
      </w:pPr>
    </w:p>
    <w:p>
      <w:pPr>
        <w:ind w:left="8580"/>
        <w:spacing w:after="0"/>
        <w:rPr>
          <w:sz w:val="20"/>
          <w:szCs w:val="20"/>
          <w:color w:val="auto"/>
        </w:rPr>
      </w:pPr>
      <w:r>
        <w:rPr>
          <w:rFonts w:ascii="Arial" w:cs="Arial" w:eastAsia="Arial" w:hAnsi="Arial"/>
          <w:sz w:val="18"/>
          <w:szCs w:val="18"/>
          <w:color w:val="auto"/>
        </w:rPr>
        <w:t>Deloitte LATCO</w:t>
      </w:r>
    </w:p>
    <w:p>
      <w:pPr>
        <w:spacing w:after="0" w:line="23" w:lineRule="exact"/>
        <w:rPr>
          <w:sz w:val="20"/>
          <w:szCs w:val="20"/>
          <w:color w:val="auto"/>
        </w:rPr>
      </w:pPr>
    </w:p>
    <w:p>
      <w:pPr>
        <w:ind w:left="8580"/>
        <w:spacing w:after="0"/>
        <w:rPr>
          <w:sz w:val="20"/>
          <w:szCs w:val="20"/>
          <w:color w:val="auto"/>
        </w:rPr>
      </w:pPr>
      <w:r>
        <w:rPr>
          <w:rFonts w:ascii="Arial" w:cs="Arial" w:eastAsia="Arial" w:hAnsi="Arial"/>
          <w:sz w:val="18"/>
          <w:szCs w:val="18"/>
          <w:color w:val="auto"/>
        </w:rPr>
        <w:t>Firma miembro de</w:t>
      </w:r>
    </w:p>
    <w:p>
      <w:pPr>
        <w:spacing w:after="0" w:line="9" w:lineRule="exact"/>
        <w:rPr>
          <w:sz w:val="20"/>
          <w:szCs w:val="20"/>
          <w:color w:val="auto"/>
        </w:rPr>
      </w:pPr>
    </w:p>
    <w:p>
      <w:pPr>
        <w:ind w:left="8580"/>
        <w:spacing w:after="0"/>
        <w:rPr>
          <w:sz w:val="20"/>
          <w:szCs w:val="20"/>
          <w:color w:val="auto"/>
        </w:rPr>
      </w:pPr>
      <w:r>
        <w:rPr>
          <w:rFonts w:ascii="Arial" w:cs="Arial" w:eastAsia="Arial" w:hAnsi="Arial"/>
          <w:sz w:val="18"/>
          <w:szCs w:val="18"/>
          <w:color w:val="auto"/>
        </w:rPr>
        <w:t>Deloitte Touche Tohmatsu Limited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355"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4C9B0904"/>
    <w:multiLevelType w:val="hybridMultilevel"/>
    <w:lvl w:ilvl="0">
      <w:lvlJc w:val="left"/>
      <w:lvlText w:val="☐"/>
      <w:numFmt w:val="bullet"/>
      <w:start w:val="1"/>
    </w:lvl>
  </w:abstractNum>
  <w:abstractNum w:abstractNumId="1">
    <w:nsid w:val="6AA7B75C"/>
    <w:multiLevelType w:val="hybridMultilevel"/>
    <w:lvl w:ilvl="0">
      <w:lvlJc w:val="left"/>
      <w:lvlText w:val="☒"/>
      <w:numFmt w:val="bullet"/>
      <w:start w:val="1"/>
    </w:lvl>
  </w:abstractNum>
  <w:abstractNum w:abstractNumId="2">
    <w:nsid w:val="1DF029D3"/>
    <w:multiLevelType w:val="hybridMultilevel"/>
    <w:lvl w:ilvl="0">
      <w:lvlJc w:val="left"/>
      <w:lvlText w:val="☐"/>
      <w:numFmt w:val="bullet"/>
      <w:start w:val="1"/>
    </w:lvl>
  </w:abstractNum>
  <w:abstractNum w:abstractNumId="3">
    <w:nsid w:val="5675FF36"/>
    <w:multiLevelType w:val="hybridMultilevel"/>
    <w:lvl w:ilvl="0">
      <w:lvlJc w:val="left"/>
      <w:lvlText w:val="☐"/>
      <w:numFmt w:val="bullet"/>
      <w:start w:val="1"/>
    </w:lvl>
  </w:abstractNum>
  <w:abstractNum w:abstractNumId="4">
    <w:nsid w:val="3DD15094"/>
    <w:multiLevelType w:val="hybridMultilevel"/>
    <w:lvl w:ilvl="0">
      <w:lvlJc w:val="left"/>
      <w:lvlText w:val="0"/>
      <w:numFmt w:val="bullet"/>
      <w:start w:val="1"/>
    </w:lvl>
  </w:abstractNum>
  <w:abstractNum w:abstractNumId="5">
    <w:nsid w:val="3DB012B3"/>
    <w:multiLevelType w:val="hybridMultilevel"/>
    <w:lvl w:ilvl="0">
      <w:lvlJc w:val="left"/>
      <w:lvlText w:val="†"/>
      <w:numFmt w:val="bullet"/>
      <w:start w:val="1"/>
    </w:lvl>
  </w:abstractNum>
  <w:abstractNum w:abstractNumId="6">
    <w:nsid w:val="2708C9AF"/>
    <w:multiLevelType w:val="hybridMultilevel"/>
    <w:lvl w:ilvl="0">
      <w:lvlJc w:val="left"/>
      <w:lvlText w:val="·"/>
      <w:numFmt w:val="bullet"/>
      <w:start w:val="1"/>
    </w:lvl>
  </w:abstractNum>
  <w:abstractNum w:abstractNumId="7">
    <w:nsid w:val="5B25ACE2"/>
    <w:multiLevelType w:val="hybridMultilevel"/>
    <w:lvl w:ilvl="0">
      <w:lvlJc w:val="left"/>
      <w:lvlText w:val="·"/>
      <w:numFmt w:val="bullet"/>
      <w:start w:val="1"/>
    </w:lvl>
  </w:abstractNum>
  <w:abstractNum w:abstractNumId="8">
    <w:nsid w:val="175DFCF0"/>
    <w:multiLevelType w:val="hybridMultilevel"/>
    <w:lvl w:ilvl="0">
      <w:lvlJc w:val="left"/>
      <w:lvlText w:val="%1."/>
      <w:numFmt w:val="upperLetter"/>
      <w:start w:val="1"/>
    </w:lvl>
  </w:abstractNum>
  <w:abstractNum w:abstractNumId="9">
    <w:nsid w:val="4F97E3E4"/>
    <w:multiLevelType w:val="hybridMultilevel"/>
    <w:lvl w:ilvl="0">
      <w:lvlJc w:val="left"/>
      <w:lvlText w:val="(%1)"/>
      <w:numFmt w:val="decimal"/>
      <w:start w:val="1"/>
    </w:lvl>
  </w:abstractNum>
  <w:abstractNum w:abstractNumId="10">
    <w:nsid w:val="53B0A9E"/>
    <w:multiLevelType w:val="hybridMultilevel"/>
    <w:lvl w:ilvl="0">
      <w:lvlJc w:val="left"/>
      <w:lvlText w:val="(%1)"/>
      <w:numFmt w:val="decimal"/>
      <w:start w:val="6"/>
    </w:lvl>
  </w:abstractNum>
  <w:abstractNum w:abstractNumId="11">
    <w:nsid w:val="34FD6B4F"/>
    <w:multiLevelType w:val="hybridMultilevel"/>
    <w:lvl w:ilvl="0">
      <w:lvlJc w:val="left"/>
      <w:lvlText w:val="(%1)"/>
      <w:numFmt w:val="decimal"/>
      <w:start w:val="7"/>
    </w:lvl>
  </w:abstractNum>
  <w:abstractNum w:abstractNumId="12">
    <w:nsid w:val="5915FF32"/>
    <w:multiLevelType w:val="hybridMultilevel"/>
    <w:lvl w:ilvl="0">
      <w:lvlJc w:val="left"/>
      <w:lvlText w:val="%1."/>
      <w:numFmt w:val="upperLetter"/>
      <w:start w:val="2"/>
    </w:lvl>
  </w:abstractNum>
  <w:abstractNum w:abstractNumId="13">
    <w:nsid w:val="56438D15"/>
    <w:multiLevelType w:val="hybridMultilevel"/>
    <w:lvl w:ilvl="0">
      <w:lvlJc w:val="left"/>
      <w:lvlText w:val="·"/>
      <w:numFmt w:val="bullet"/>
      <w:start w:val="1"/>
    </w:lvl>
  </w:abstractNum>
  <w:abstractNum w:abstractNumId="14">
    <w:nsid w:val="519E3149"/>
    <w:multiLevelType w:val="hybridMultilevel"/>
    <w:lvl w:ilvl="0">
      <w:lvlJc w:val="left"/>
      <w:lvlText w:val="%1."/>
      <w:numFmt w:val="upperLetter"/>
      <w:start w:val="1"/>
    </w:lvl>
  </w:abstractNum>
  <w:abstractNum w:abstractNumId="15">
    <w:nsid w:val="2C6E4AFD"/>
    <w:multiLevelType w:val="hybridMultilevel"/>
    <w:lvl w:ilvl="0">
      <w:lvlJc w:val="left"/>
      <w:lvlText w:val="-"/>
      <w:numFmt w:val="bullet"/>
      <w:start w:val="1"/>
    </w:lvl>
  </w:abstractNum>
  <w:abstractNum w:abstractNumId="16">
    <w:nsid w:val="17A1B582"/>
    <w:multiLevelType w:val="hybridMultilevel"/>
    <w:lvl w:ilvl="0">
      <w:lvlJc w:val="left"/>
      <w:lvlText w:val="%1."/>
      <w:numFmt w:val="upperLetter"/>
      <w:start w:val="2"/>
    </w:lvl>
  </w:abstractNum>
  <w:abstractNum w:abstractNumId="17">
    <w:nsid w:val="4DF72E4E"/>
    <w:multiLevelType w:val="hybridMultilevel"/>
    <w:lvl w:ilvl="0">
      <w:lvlJc w:val="left"/>
      <w:lvlText w:val="(%1)"/>
      <w:numFmt w:val="decimal"/>
      <w:start w:val="1"/>
    </w:lvl>
  </w:abstractNum>
  <w:abstractNum w:abstractNumId="18">
    <w:nsid w:val="5046B5A9"/>
    <w:multiLevelType w:val="hybridMultilevel"/>
    <w:lvl w:ilvl="0">
      <w:lvlJc w:val="left"/>
      <w:lvlText w:val="(%1)"/>
      <w:numFmt w:val="decimal"/>
      <w:start w:val="1"/>
    </w:lvl>
  </w:abstractNum>
  <w:abstractNum w:abstractNumId="19">
    <w:nsid w:val="5D888A08"/>
    <w:multiLevelType w:val="hybridMultilevel"/>
    <w:lvl w:ilvl="0">
      <w:lvlJc w:val="left"/>
      <w:lvlText w:val="(%1)"/>
      <w:numFmt w:val="decimal"/>
      <w:start w:val="1"/>
    </w:lvl>
  </w:abstractNum>
  <w:abstractNum w:abstractNumId="20">
    <w:nsid w:val="2A082C70"/>
    <w:multiLevelType w:val="hybridMultilevel"/>
    <w:lvl w:ilvl="0">
      <w:lvlJc w:val="left"/>
      <w:lvlText w:val="(%1)"/>
      <w:numFmt w:val="decimal"/>
      <w:start w:val="1"/>
    </w:lvl>
  </w:abstractNum>
  <w:abstractNum w:abstractNumId="21">
    <w:nsid w:val="5EC6AFD4"/>
    <w:multiLevelType w:val="hybridMultilevel"/>
    <w:lvl w:ilvl="0">
      <w:lvlJc w:val="left"/>
      <w:lvlText w:val="(%1)"/>
      <w:numFmt w:val="decimal"/>
      <w:start w:val="1"/>
    </w:lvl>
  </w:abstractNum>
  <w:abstractNum w:abstractNumId="22">
    <w:nsid w:val="19E21BB2"/>
    <w:multiLevelType w:val="hybridMultilevel"/>
    <w:lvl w:ilvl="0">
      <w:lvlJc w:val="left"/>
      <w:lvlText w:val="(%1)"/>
      <w:numFmt w:val="decimal"/>
      <w:start w:val="1"/>
    </w:lvl>
  </w:abstractNum>
  <w:abstractNum w:abstractNumId="23">
    <w:nsid w:val="75E0858A"/>
    <w:multiLevelType w:val="hybridMultilevel"/>
    <w:lvl w:ilvl="0">
      <w:lvlJc w:val="left"/>
      <w:lvlText w:val="(%1)"/>
      <w:numFmt w:val="lowerRoman"/>
      <w:start w:val="1"/>
    </w:lvl>
  </w:abstractNum>
  <w:abstractNum w:abstractNumId="24">
    <w:nsid w:val="57A61A29"/>
    <w:multiLevelType w:val="hybridMultilevel"/>
    <w:lvl w:ilvl="0">
      <w:lvlJc w:val="left"/>
      <w:lvlText w:val="(%1)"/>
      <w:numFmt w:val="lowerRoman"/>
      <w:start w:val="2"/>
    </w:lvl>
  </w:abstractNum>
  <w:abstractNum w:abstractNumId="25">
    <w:nsid w:val="5399C654"/>
    <w:multiLevelType w:val="hybridMultilevel"/>
    <w:lvl w:ilvl="0">
      <w:lvlJc w:val="left"/>
      <w:lvlText w:val="(%1)"/>
      <w:numFmt w:val="lowerLetter"/>
      <w:start w:val="1"/>
    </w:lvl>
  </w:abstractNum>
  <w:abstractNum w:abstractNumId="26">
    <w:nsid w:val="20EE1348"/>
    <w:multiLevelType w:val="hybridMultilevel"/>
    <w:lvl w:ilvl="0">
      <w:lvlJc w:val="left"/>
      <w:lvlText w:val="(%1)"/>
      <w:numFmt w:val="lowerLetter"/>
      <w:start w:val="7"/>
    </w:lvl>
  </w:abstractNum>
  <w:abstractNum w:abstractNumId="27">
    <w:nsid w:val="4427069A"/>
    <w:multiLevelType w:val="hybridMultilevel"/>
    <w:lvl w:ilvl="0">
      <w:lvlJc w:val="left"/>
      <w:lvlText w:val="(%1)"/>
      <w:numFmt w:val="lowerRoman"/>
      <w:start w:val="5"/>
    </w:lvl>
  </w:abstractNum>
  <w:abstractNum w:abstractNumId="28">
    <w:nsid w:val="B37E80A"/>
    <w:multiLevelType w:val="hybridMultilevel"/>
    <w:lvl w:ilvl="0">
      <w:lvlJc w:val="left"/>
      <w:lvlText w:val="·"/>
      <w:numFmt w:val="bullet"/>
      <w:start w:val="1"/>
    </w:lvl>
  </w:abstractNum>
  <w:abstractNum w:abstractNumId="29">
    <w:nsid w:val="2157F6BC"/>
    <w:multiLevelType w:val="hybridMultilevel"/>
    <w:lvl w:ilvl="0">
      <w:lvlJc w:val="left"/>
      <w:lvlText w:val="%1."/>
      <w:numFmt w:val="upperLetter"/>
      <w:start w:val="3"/>
    </w:lvl>
  </w:abstractNum>
  <w:abstractNum w:abstractNumId="30">
    <w:nsid w:val="704E1DD5"/>
    <w:multiLevelType w:val="hybridMultilevel"/>
    <w:lvl w:ilvl="0">
      <w:lvlJc w:val="left"/>
      <w:lvlText w:val="%1."/>
      <w:numFmt w:val="upperLetter"/>
      <w:start w:val="4"/>
    </w:lvl>
  </w:abstractNum>
  <w:abstractNum w:abstractNumId="31">
    <w:nsid w:val="57D2F10E"/>
    <w:multiLevelType w:val="hybridMultilevel"/>
    <w:lvl w:ilvl="0">
      <w:lvlJc w:val="left"/>
      <w:lvlText w:val="%1."/>
      <w:numFmt w:val="upperLetter"/>
      <w:start w:val="1"/>
    </w:lvl>
  </w:abstractNum>
  <w:abstractNum w:abstractNumId="32">
    <w:nsid w:val="BFFAE18"/>
    <w:multiLevelType w:val="hybridMultilevel"/>
    <w:lvl w:ilvl="0">
      <w:lvlJc w:val="left"/>
      <w:lvlText w:val="(%1)"/>
      <w:numFmt w:val="decimal"/>
      <w:start w:val="1"/>
    </w:lvl>
  </w:abstractNum>
  <w:abstractNum w:abstractNumId="33">
    <w:nsid w:val="E3E47A8"/>
    <w:multiLevelType w:val="hybridMultilevel"/>
    <w:lvl w:ilvl="0">
      <w:lvlJc w:val="left"/>
      <w:lvlText w:val="(%1)"/>
      <w:numFmt w:val="decimal"/>
      <w:start w:val="1"/>
    </w:lvl>
  </w:abstractNum>
  <w:abstractNum w:abstractNumId="34">
    <w:nsid w:val="2E48F044"/>
    <w:multiLevelType w:val="hybridMultilevel"/>
    <w:lvl w:ilvl="0">
      <w:lvlJc w:val="left"/>
      <w:lvlText w:val="(*)"/>
      <w:numFmt w:val="bullet"/>
      <w:start w:val="1"/>
    </w:lvl>
  </w:abstractNum>
  <w:abstractNum w:abstractNumId="35">
    <w:nsid w:val="49D0FEAC"/>
    <w:multiLevelType w:val="hybridMultilevel"/>
    <w:lvl w:ilvl="0">
      <w:lvlJc w:val="left"/>
      <w:lvlText w:val="(%1)"/>
      <w:numFmt w:val="lowerRoman"/>
      <w:start w:val="2"/>
    </w:lvl>
  </w:abstractNum>
  <w:abstractNum w:abstractNumId="36">
    <w:nsid w:val="4BEE5A5B"/>
    <w:multiLevelType w:val="hybridMultilevel"/>
    <w:lvl w:ilvl="0">
      <w:lvlJc w:val="left"/>
      <w:lvlText w:val="(%1)"/>
      <w:numFmt w:val="decimal"/>
      <w:start w:val="1"/>
    </w:lvl>
  </w:abstractNum>
  <w:abstractNum w:abstractNumId="37">
    <w:nsid w:val="5551B9F3"/>
    <w:multiLevelType w:val="hybridMultilevel"/>
    <w:lvl w:ilvl="0">
      <w:lvlJc w:val="left"/>
      <w:lvlText w:val="-"/>
      <w:numFmt w:val="bullet"/>
      <w:start w:val="1"/>
    </w:lvl>
  </w:abstractNum>
  <w:abstractNum w:abstractNumId="38">
    <w:nsid w:val="24F6AB8E"/>
    <w:multiLevelType w:val="hybridMultilevel"/>
    <w:lvl w:ilvl="0">
      <w:lvlJc w:val="left"/>
      <w:lvlText w:val="-"/>
      <w:numFmt w:val="bullet"/>
      <w:start w:val="1"/>
    </w:lvl>
  </w:abstractNum>
  <w:abstractNum w:abstractNumId="39">
    <w:nsid w:val="634C574C"/>
    <w:multiLevelType w:val="hybridMultilevel"/>
    <w:lvl w:ilvl="0">
      <w:lvlJc w:val="left"/>
      <w:lvlText w:val="-"/>
      <w:numFmt w:val="bullet"/>
      <w:start w:val="1"/>
    </w:lvl>
  </w:abstractNum>
  <w:abstractNum w:abstractNumId="40">
    <w:nsid w:val="24E99DD7"/>
    <w:multiLevelType w:val="hybridMultilevel"/>
    <w:lvl w:ilvl="0">
      <w:lvlJc w:val="left"/>
      <w:lvlText w:val="-"/>
      <w:numFmt w:val="bullet"/>
      <w:start w:val="1"/>
    </w:lvl>
  </w:abstractNum>
  <w:abstractNum w:abstractNumId="41">
    <w:nsid w:val="2A31B62D"/>
    <w:multiLevelType w:val="hybridMultilevel"/>
    <w:lvl w:ilvl="0">
      <w:lvlJc w:val="left"/>
      <w:lvlText w:val="-"/>
      <w:numFmt w:val="bullet"/>
      <w:start w:val="1"/>
    </w:lvl>
  </w:abstractNum>
  <w:abstractNum w:abstractNumId="42">
    <w:nsid w:val="1849C29B"/>
    <w:multiLevelType w:val="hybridMultilevel"/>
    <w:lvl w:ilvl="0">
      <w:lvlJc w:val="left"/>
      <w:lvlText w:val="(%1)"/>
      <w:numFmt w:val="decimal"/>
      <w:start w:val="1"/>
    </w:lvl>
  </w:abstractNum>
  <w:abstractNum w:abstractNumId="43">
    <w:nsid w:val="7DFF9D09"/>
    <w:multiLevelType w:val="hybridMultilevel"/>
    <w:lvl w:ilvl="0">
      <w:lvlJc w:val="left"/>
      <w:lvlText w:val="%1."/>
      <w:numFmt w:val="upperLetter"/>
      <w:start w:val="2"/>
    </w:lvl>
  </w:abstractNum>
  <w:abstractNum w:abstractNumId="44">
    <w:nsid w:val="754342"/>
    <w:multiLevelType w:val="hybridMultilevel"/>
    <w:lvl w:ilvl="0">
      <w:lvlJc w:val="left"/>
      <w:lvlText w:val="(*)"/>
      <w:numFmt w:val="bullet"/>
      <w:start w:val="1"/>
    </w:lvl>
  </w:abstractNum>
  <w:abstractNum w:abstractNumId="45">
    <w:nsid w:val="69E7F3E5"/>
    <w:multiLevelType w:val="hybridMultilevel"/>
    <w:lvl w:ilvl="0">
      <w:lvlJc w:val="left"/>
      <w:lvlText w:val="(*)"/>
      <w:numFmt w:val="bullet"/>
      <w:start w:val="1"/>
    </w:lvl>
  </w:abstractNum>
  <w:abstractNum w:abstractNumId="46">
    <w:nsid w:val="2A6DE806"/>
    <w:multiLevelType w:val="hybridMultilevel"/>
    <w:lvl w:ilvl="0">
      <w:lvlJc w:val="left"/>
      <w:lvlText w:val="%1."/>
      <w:numFmt w:val="upperLetter"/>
      <w:start w:val="3"/>
    </w:lvl>
  </w:abstractNum>
  <w:abstractNum w:abstractNumId="47">
    <w:nsid w:val="1816F8C4"/>
    <w:multiLevelType w:val="hybridMultilevel"/>
    <w:lvl w:ilvl="0">
      <w:lvlJc w:val="left"/>
      <w:lvlText w:val="·"/>
      <w:numFmt w:val="bullet"/>
      <w:start w:val="1"/>
    </w:lvl>
  </w:abstractNum>
  <w:abstractNum w:abstractNumId="48">
    <w:nsid w:val="37DF2233"/>
    <w:multiLevelType w:val="hybridMultilevel"/>
    <w:lvl w:ilvl="0">
      <w:lvlJc w:val="left"/>
      <w:lvlText w:val="%1."/>
      <w:numFmt w:val="upperLetter"/>
      <w:start w:val="5"/>
    </w:lvl>
  </w:abstractNum>
  <w:abstractNum w:abstractNumId="49">
    <w:nsid w:val="7AB49DAF"/>
    <w:multiLevelType w:val="hybridMultilevel"/>
    <w:lvl w:ilvl="0">
      <w:lvlJc w:val="left"/>
      <w:lvlText w:val="%1."/>
      <w:numFmt w:val="upperLetter"/>
      <w:start w:val="6"/>
    </w:lvl>
  </w:abstractNum>
  <w:abstractNum w:abstractNumId="50">
    <w:nsid w:val="759F82CD"/>
    <w:multiLevelType w:val="hybridMultilevel"/>
    <w:lvl w:ilvl="0">
      <w:lvlJc w:val="left"/>
      <w:lvlText w:val="(%1)"/>
      <w:numFmt w:val="decimal"/>
      <w:start w:val="1"/>
    </w:lvl>
  </w:abstractNum>
  <w:abstractNum w:abstractNumId="51">
    <w:nsid w:val="61E74EA3"/>
    <w:multiLevelType w:val="hybridMultilevel"/>
    <w:lvl w:ilvl="0">
      <w:lvlJc w:val="left"/>
      <w:lvlText w:val="(%1)"/>
      <w:numFmt w:val="decimal"/>
      <w:start w:val="4"/>
    </w:lvl>
  </w:abstractNum>
  <w:abstractNum w:abstractNumId="52">
    <w:nsid w:val="597B4D84"/>
    <w:multiLevelType w:val="hybridMultilevel"/>
    <w:lvl w:ilvl="0">
      <w:lvlJc w:val="left"/>
      <w:lvlText w:val="%1."/>
      <w:numFmt w:val="upperLetter"/>
      <w:start w:val="1"/>
    </w:lvl>
  </w:abstractNum>
  <w:abstractNum w:abstractNumId="53">
    <w:nsid w:val="F819E7F"/>
    <w:multiLevelType w:val="hybridMultilevel"/>
    <w:lvl w:ilvl="0">
      <w:lvlJc w:val="left"/>
      <w:lvlText w:val="(%1)"/>
      <w:numFmt w:val="decimal"/>
      <w:start w:val="1"/>
    </w:lvl>
  </w:abstractNum>
  <w:abstractNum w:abstractNumId="54">
    <w:nsid w:val="57C7D42D"/>
    <w:multiLevelType w:val="hybridMultilevel"/>
    <w:lvl w:ilvl="0">
      <w:lvlJc w:val="left"/>
      <w:lvlText w:val="%1."/>
      <w:numFmt w:val="upperLetter"/>
      <w:start w:val="2"/>
    </w:lvl>
  </w:abstractNum>
  <w:abstractNum w:abstractNumId="55">
    <w:nsid w:val="312167AD"/>
    <w:multiLevelType w:val="hybridMultilevel"/>
    <w:lvl w:ilvl="0">
      <w:lvlJc w:val="left"/>
      <w:lvlText w:val="(%1)"/>
      <w:numFmt w:val="decimal"/>
      <w:start w:val="1"/>
    </w:lvl>
  </w:abstractNum>
  <w:abstractNum w:abstractNumId="56">
    <w:nsid w:val="631B64D4"/>
    <w:multiLevelType w:val="hybridMultilevel"/>
    <w:lvl w:ilvl="0">
      <w:lvlJc w:val="left"/>
      <w:lvlText w:val="(%1)"/>
      <w:numFmt w:val="decimal"/>
      <w:start w:val="3"/>
    </w:lvl>
  </w:abstractNum>
  <w:abstractNum w:abstractNumId="57">
    <w:nsid w:val="78B5E776"/>
    <w:multiLevelType w:val="hybridMultilevel"/>
    <w:lvl w:ilvl="0">
      <w:lvlJc w:val="left"/>
      <w:lvlText w:val="*"/>
      <w:numFmt w:val="bullet"/>
      <w:start w:val="1"/>
    </w:lvl>
  </w:abstractNum>
  <w:abstractNum w:abstractNumId="58">
    <w:nsid w:val="75486E47"/>
    <w:multiLevelType w:val="hybridMultilevel"/>
    <w:lvl w:ilvl="0">
      <w:lvlJc w:val="left"/>
      <w:lvlText w:val="(%1)"/>
      <w:numFmt w:val="decimal"/>
      <w:start w:val="1"/>
    </w:lvl>
  </w:abstractNum>
  <w:abstractNum w:abstractNumId="59">
    <w:nsid w:val="6E534CDE"/>
    <w:multiLevelType w:val="hybridMultilevel"/>
    <w:lvl w:ilvl="0">
      <w:lvlJc w:val="left"/>
      <w:lvlText w:val="%1."/>
      <w:numFmt w:val="upperLetter"/>
      <w:start w:val="3"/>
    </w:lvl>
  </w:abstractNum>
  <w:abstractNum w:abstractNumId="60">
    <w:nsid w:val="1A0DDE32"/>
    <w:multiLevelType w:val="hybridMultilevel"/>
    <w:lvl w:ilvl="0">
      <w:lvlJc w:val="left"/>
      <w:lvlText w:val="(*)"/>
      <w:numFmt w:val="bullet"/>
      <w:start w:val="1"/>
    </w:lvl>
  </w:abstractNum>
  <w:abstractNum w:abstractNumId="61">
    <w:nsid w:val="65968C1C"/>
    <w:multiLevelType w:val="hybridMultilevel"/>
    <w:lvl w:ilvl="0">
      <w:lvlJc w:val="left"/>
      <w:lvlText w:val="%1."/>
      <w:numFmt w:val="upperLetter"/>
      <w:start w:val="4"/>
    </w:lvl>
  </w:abstractNum>
  <w:abstractNum w:abstractNumId="62">
    <w:nsid w:val="46263DEC"/>
    <w:multiLevelType w:val="hybridMultilevel"/>
    <w:lvl w:ilvl="0">
      <w:lvlJc w:val="left"/>
      <w:lvlText w:val="(%1)"/>
      <w:numFmt w:val="decimal"/>
      <w:start w:val="1"/>
    </w:lvl>
  </w:abstractNum>
  <w:abstractNum w:abstractNumId="63">
    <w:nsid w:val="260D8C4A"/>
    <w:multiLevelType w:val="hybridMultilevel"/>
    <w:lvl w:ilvl="0">
      <w:lvlJc w:val="left"/>
      <w:lvlText w:val="%1."/>
      <w:numFmt w:val="upperLetter"/>
      <w:start w:val="5"/>
    </w:lvl>
  </w:abstractNum>
  <w:abstractNum w:abstractNumId="64">
    <w:nsid w:val="73D4D3C4"/>
    <w:multiLevelType w:val="hybridMultilevel"/>
    <w:lvl w:ilvl="0">
      <w:lvlJc w:val="left"/>
      <w:lvlText w:val="%1."/>
      <w:numFmt w:val="upperLetter"/>
      <w:start w:val="1"/>
    </w:lvl>
  </w:abstractNum>
  <w:abstractNum w:abstractNumId="65">
    <w:nsid w:val="746F2E30"/>
    <w:multiLevelType w:val="hybridMultilevel"/>
    <w:lvl w:ilvl="0">
      <w:lvlJc w:val="left"/>
      <w:lvlText w:val="(%1)"/>
      <w:numFmt w:val="decimal"/>
      <w:start w:val="1"/>
    </w:lvl>
  </w:abstractNum>
  <w:abstractNum w:abstractNumId="66">
    <w:nsid w:val="6FDE8AF6"/>
    <w:multiLevelType w:val="hybridMultilevel"/>
    <w:lvl w:ilvl="0">
      <w:lvlJc w:val="left"/>
      <w:lvlText w:val="·"/>
      <w:numFmt w:val="bullet"/>
      <w:start w:val="1"/>
    </w:lvl>
  </w:abstractNum>
  <w:abstractNum w:abstractNumId="67">
    <w:nsid w:val="3FC32E20"/>
    <w:multiLevelType w:val="hybridMultilevel"/>
    <w:lvl w:ilvl="0">
      <w:lvlJc w:val="left"/>
      <w:lvlText w:val="·"/>
      <w:numFmt w:val="bullet"/>
      <w:start w:val="1"/>
    </w:lvl>
  </w:abstractNum>
  <w:abstractNum w:abstractNumId="68">
    <w:nsid w:val="49C0E823"/>
    <w:multiLevelType w:val="hybridMultilevel"/>
    <w:lvl w:ilvl="0">
      <w:lvlJc w:val="left"/>
      <w:lvlText w:val="%1."/>
      <w:numFmt w:val="upperLetter"/>
      <w:start w:val="2"/>
    </w:lvl>
  </w:abstractNum>
  <w:abstractNum w:abstractNumId="69">
    <w:nsid w:val="14D53685"/>
    <w:multiLevelType w:val="hybridMultilevel"/>
    <w:lvl w:ilvl="0">
      <w:lvlJc w:val="left"/>
      <w:lvlText w:val="%1)"/>
      <w:numFmt w:val="lowerRoman"/>
      <w:start w:val="1"/>
    </w:lvl>
  </w:abstractNum>
  <w:abstractNum w:abstractNumId="70">
    <w:nsid w:val="230F856C"/>
    <w:multiLevelType w:val="hybridMultilevel"/>
    <w:lvl w:ilvl="0">
      <w:lvlJc w:val="left"/>
      <w:lvlText w:val="%1."/>
      <w:numFmt w:val="upperLetter"/>
      <w:start w:val="3"/>
    </w:lvl>
  </w:abstractNum>
  <w:abstractNum w:abstractNumId="71">
    <w:nsid w:val="6EAA85FB"/>
    <w:multiLevelType w:val="hybridMultilevel"/>
    <w:lvl w:ilvl="0">
      <w:lvlJc w:val="left"/>
      <w:lvlText w:val="%1."/>
      <w:numFmt w:val="upperLetter"/>
      <w:start w:val="1"/>
    </w:lvl>
  </w:abstractNum>
  <w:abstractNum w:abstractNumId="72">
    <w:nsid w:val="3F06ECB2"/>
    <w:multiLevelType w:val="hybridMultilevel"/>
    <w:lvl w:ilvl="0">
      <w:lvlJc w:val="left"/>
      <w:lvlText w:val="%1."/>
      <w:numFmt w:val="upperLetter"/>
      <w:start w:val="1"/>
    </w:lvl>
  </w:abstractNum>
  <w:abstractNum w:abstractNumId="73">
    <w:nsid w:val="3B594807"/>
    <w:multiLevelType w:val="hybridMultilevel"/>
    <w:lvl w:ilvl="0">
      <w:lvlJc w:val="left"/>
      <w:lvlText w:val="(%1)"/>
      <w:numFmt w:val="decimal"/>
      <w:start w:val="1"/>
    </w:lvl>
  </w:abstractNum>
  <w:abstractNum w:abstractNumId="74">
    <w:nsid w:val="6CAA2304"/>
    <w:multiLevelType w:val="hybridMultilevel"/>
    <w:lvl w:ilvl="0">
      <w:lvlJc w:val="left"/>
      <w:lvlText w:val="%1."/>
      <w:numFmt w:val="upperLetter"/>
      <w:start w:val="2"/>
    </w:lvl>
  </w:abstractNum>
  <w:abstractNum w:abstractNumId="75">
    <w:nsid w:val="3F7C2FF4"/>
    <w:multiLevelType w:val="hybridMultilevel"/>
    <w:lvl w:ilvl="0">
      <w:lvlJc w:val="left"/>
      <w:lvlText w:val="%1."/>
      <w:numFmt w:val="upperLetter"/>
      <w:start w:val="4"/>
    </w:lvl>
  </w:abstractNum>
  <w:abstractNum w:abstractNumId="76">
    <w:nsid w:val="25413BEC"/>
    <w:multiLevelType w:val="hybridMultilevel"/>
    <w:lvl w:ilvl="0">
      <w:lvlJc w:val="left"/>
      <w:lvlText w:val="%1."/>
      <w:numFmt w:val="upperLetter"/>
      <w:start w:val="1"/>
    </w:lvl>
  </w:abstractNum>
  <w:abstractNum w:abstractNumId="77">
    <w:nsid w:val="17180B0B"/>
    <w:multiLevelType w:val="hybridMultilevel"/>
    <w:lvl w:ilvl="0">
      <w:lvlJc w:val="left"/>
      <w:lvlText w:val="·"/>
      <w:numFmt w:val="bullet"/>
      <w:start w:val="1"/>
    </w:lvl>
  </w:abstractNum>
  <w:abstractNum w:abstractNumId="78">
    <w:nsid w:val="579328B9"/>
    <w:multiLevelType w:val="hybridMultilevel"/>
    <w:lvl w:ilvl="0">
      <w:lvlJc w:val="left"/>
      <w:lvlText w:val="·"/>
      <w:numFmt w:val="bullet"/>
      <w:start w:val="1"/>
    </w:lvl>
  </w:abstractNum>
  <w:abstractNum w:abstractNumId="79">
    <w:nsid w:val="5D205E20"/>
    <w:multiLevelType w:val="hybridMultilevel"/>
    <w:lvl w:ilvl="0">
      <w:lvlJc w:val="left"/>
      <w:lvlText w:val="%1."/>
      <w:numFmt w:val="upperLetter"/>
      <w:start w:val="3"/>
    </w:lvl>
  </w:abstractNum>
  <w:abstractNum w:abstractNumId="80">
    <w:nsid w:val="11CCA8BA"/>
    <w:multiLevelType w:val="hybridMultilevel"/>
    <w:lvl w:ilvl="0">
      <w:lvlJc w:val="left"/>
      <w:lvlText w:val="%1."/>
      <w:numFmt w:val="upperLetter"/>
      <w:start w:val="4"/>
    </w:lvl>
  </w:abstractNum>
  <w:abstractNum w:abstractNumId="81">
    <w:nsid w:val="4D32AB86"/>
    <w:multiLevelType w:val="hybridMultilevel"/>
    <w:lvl w:ilvl="0">
      <w:lvlJc w:val="left"/>
      <w:lvlText w:val="%1."/>
      <w:numFmt w:val="upperLetter"/>
      <w:start w:val="5"/>
    </w:lvl>
  </w:abstractNum>
  <w:abstractNum w:abstractNumId="82">
    <w:nsid w:val="3F07ACC3"/>
    <w:multiLevelType w:val="hybridMultilevel"/>
    <w:lvl w:ilvl="0">
      <w:lvlJc w:val="left"/>
      <w:lvlText w:val="%1."/>
      <w:numFmt w:val="upperLetter"/>
      <w:start w:val="6"/>
    </w:lvl>
  </w:abstractNum>
  <w:abstractNum w:abstractNumId="83">
    <w:nsid w:val="6B47F63E"/>
    <w:multiLevelType w:val="hybridMultilevel"/>
    <w:lvl w:ilvl="0">
      <w:lvlJc w:val="left"/>
      <w:lvlText w:val="%1."/>
      <w:numFmt w:val="upperLetter"/>
      <w:start w:val="9"/>
    </w:lvl>
  </w:abstractNum>
  <w:abstractNum w:abstractNumId="84">
    <w:nsid w:val="5CB44A05"/>
    <w:multiLevelType w:val="hybridMultilevel"/>
    <w:lvl w:ilvl="0">
      <w:lvlJc w:val="left"/>
      <w:lvlText w:val="(%1)"/>
      <w:numFmt w:val="decimal"/>
      <w:start w:val="1"/>
    </w:lvl>
  </w:abstractNum>
  <w:abstractNum w:abstractNumId="85">
    <w:nsid w:val="16CF80F1"/>
    <w:multiLevelType w:val="hybridMultilevel"/>
    <w:lvl w:ilvl="0">
      <w:lvlJc w:val="left"/>
      <w:lvlText w:val="(%1)"/>
      <w:numFmt w:val="decimal"/>
      <w:start w:val="1"/>
    </w:lvl>
  </w:abstractNum>
  <w:abstractNum w:abstractNumId="86">
    <w:nsid w:val="1C695DEC"/>
    <w:multiLevelType w:val="hybridMultilevel"/>
    <w:lvl w:ilvl="0">
      <w:lvlJc w:val="left"/>
      <w:lvlText w:val="(%1)"/>
      <w:numFmt w:val="decimal"/>
      <w:start w:val="1"/>
    </w:lvl>
  </w:abstractNum>
  <w:abstractNum w:abstractNumId="87">
    <w:nsid w:val="3FCFAED9"/>
    <w:multiLevelType w:val="hybridMultilevel"/>
    <w:lvl w:ilvl="0">
      <w:lvlJc w:val="left"/>
      <w:lvlText w:val="(%1)"/>
      <w:numFmt w:val="decimal"/>
      <w:start w:val="1"/>
    </w:lvl>
  </w:abstractNum>
  <w:abstractNum w:abstractNumId="88">
    <w:nsid w:val="F856867"/>
    <w:multiLevelType w:val="hybridMultilevel"/>
    <w:lvl w:ilvl="0">
      <w:lvlJc w:val="left"/>
      <w:lvlText w:val="·"/>
      <w:numFmt w:val="bullet"/>
      <w:start w:val="1"/>
    </w:lvl>
  </w:abstractNum>
  <w:abstractNum w:abstractNumId="89">
    <w:nsid w:val="11B1CC33"/>
    <w:multiLevelType w:val="hybridMultilevel"/>
    <w:lvl w:ilvl="0">
      <w:lvlJc w:val="left"/>
      <w:lvlText w:val="%1."/>
      <w:numFmt w:val="decimal"/>
      <w:start w:val="1"/>
    </w:lvl>
  </w:abstractNum>
  <w:abstractNum w:abstractNumId="90">
    <w:nsid w:val="2E22FBB7"/>
    <w:multiLevelType w:val="hybridMultilevel"/>
    <w:lvl w:ilvl="0">
      <w:lvlJc w:val="left"/>
      <w:lvlText w:val="-"/>
      <w:numFmt w:val="bullet"/>
      <w:start w:val="1"/>
    </w:lvl>
  </w:abstractNum>
  <w:abstractNum w:abstractNumId="91">
    <w:nsid w:val="29934699"/>
    <w:multiLevelType w:val="hybridMultilevel"/>
    <w:lvl w:ilvl="0">
      <w:lvlJc w:val="left"/>
      <w:lvlText w:val="%1."/>
      <w:numFmt w:val="decimal"/>
      <w:start w:val="1"/>
    </w:lvl>
  </w:abstractNum>
  <w:abstractNum w:abstractNumId="92">
    <w:nsid w:val="77485850"/>
    <w:multiLevelType w:val="hybridMultilevel"/>
    <w:lvl w:ilvl="0">
      <w:lvlJc w:val="left"/>
      <w:lvlText w:val="%1."/>
      <w:numFmt w:val="decimal"/>
      <w:start w:val="2"/>
    </w:lvl>
  </w:abstractNum>
  <w:abstractNum w:abstractNumId="93">
    <w:nsid w:val="744939A3"/>
    <w:multiLevelType w:val="hybridMultilevel"/>
    <w:lvl w:ilvl="0">
      <w:lvlJc w:val="left"/>
      <w:lvlText w:val="-"/>
      <w:numFmt w:val="bullet"/>
      <w:start w:val="1"/>
    </w:lvl>
  </w:abstractNum>
  <w:abstractNum w:abstractNumId="94">
    <w:nsid w:val="4FA0D2E3"/>
    <w:multiLevelType w:val="hybridMultilevel"/>
    <w:lvl w:ilvl="0">
      <w:lvlJc w:val="left"/>
      <w:lvlText w:val="-"/>
      <w:numFmt w:val="bullet"/>
      <w:start w:val="1"/>
    </w:lvl>
  </w:abstractNum>
  <w:abstractNum w:abstractNumId="95">
    <w:nsid w:val="6B1D2C14"/>
    <w:multiLevelType w:val="hybridMultilevel"/>
    <w:lvl w:ilvl="0">
      <w:lvlJc w:val="left"/>
      <w:lvlText w:val="%1."/>
      <w:numFmt w:val="decimal"/>
      <w:start w:val="2"/>
    </w:lvl>
  </w:abstractNum>
  <w:abstractNum w:abstractNumId="96">
    <w:nsid w:val="68B867D3"/>
    <w:multiLevelType w:val="hybridMultilevel"/>
    <w:lvl w:ilvl="0">
      <w:lvlJc w:val="left"/>
      <w:lvlText w:val="-"/>
      <w:numFmt w:val="bullet"/>
      <w:start w:val="1"/>
    </w:lvl>
  </w:abstractNum>
  <w:abstractNum w:abstractNumId="97">
    <w:nsid w:val="3F7F5DD9"/>
    <w:multiLevelType w:val="hybridMultilevel"/>
    <w:lvl w:ilvl="0">
      <w:lvlJc w:val="left"/>
      <w:lvlText w:val="%1."/>
      <w:numFmt w:val="decimal"/>
      <w:start w:val="3"/>
    </w:lvl>
  </w:abstractNum>
  <w:abstractNum w:abstractNumId="98">
    <w:nsid w:val="2AE05A34"/>
    <w:multiLevelType w:val="hybridMultilevel"/>
    <w:lvl w:ilvl="0">
      <w:lvlJc w:val="left"/>
      <w:lvlText w:val="%1."/>
      <w:numFmt w:val="decimal"/>
      <w:start w:val="3"/>
    </w:lvl>
  </w:abstractNum>
  <w:abstractNum w:abstractNumId="99">
    <w:nsid w:val="32794FF7"/>
    <w:multiLevelType w:val="hybridMultilevel"/>
    <w:lvl w:ilvl="0">
      <w:lvlJc w:val="left"/>
      <w:lvlText w:val="-"/>
      <w:numFmt w:val="bullet"/>
      <w:start w:val="1"/>
    </w:lvl>
  </w:abstractNum>
  <w:abstractNum w:abstractNumId="100">
    <w:nsid w:val="5454945E"/>
    <w:multiLevelType w:val="hybridMultilevel"/>
    <w:lvl w:ilvl="0">
      <w:lvlJc w:val="left"/>
      <w:lvlText w:val="-"/>
      <w:numFmt w:val="bullet"/>
      <w:start w:val="1"/>
    </w:lvl>
  </w:abstractNum>
  <w:abstractNum w:abstractNumId="101">
    <w:nsid w:val="4DEFDFA0"/>
    <w:multiLevelType w:val="hybridMultilevel"/>
    <w:lvl w:ilvl="0">
      <w:lvlJc w:val="left"/>
      <w:lvlText w:val="-"/>
      <w:numFmt w:val="bullet"/>
      <w:start w:val="1"/>
    </w:lvl>
  </w:abstractNum>
  <w:abstractNum w:abstractNumId="102">
    <w:nsid w:val="2123D5F2"/>
    <w:multiLevelType w:val="hybridMultilevel"/>
    <w:lvl w:ilvl="0">
      <w:lvlJc w:val="left"/>
      <w:lvlText w:val="%1."/>
      <w:numFmt w:val="decimal"/>
      <w:start w:val="3"/>
    </w:lvl>
  </w:abstractNum>
  <w:abstractNum w:abstractNumId="103">
    <w:nsid w:val="135B8110"/>
    <w:multiLevelType w:val="hybridMultilevel"/>
    <w:lvl w:ilvl="0">
      <w:lvlJc w:val="left"/>
      <w:lvlText w:val="-"/>
      <w:numFmt w:val="bullet"/>
      <w:start w:val="1"/>
    </w:lvl>
  </w:abstractNum>
  <w:abstractNum w:abstractNumId="104">
    <w:nsid w:val="94927A8"/>
    <w:multiLevelType w:val="hybridMultilevel"/>
    <w:lvl w:ilvl="0">
      <w:lvlJc w:val="left"/>
      <w:lvlText w:val="-"/>
      <w:numFmt w:val="bullet"/>
      <w:start w:val="1"/>
    </w:lvl>
  </w:abstractNum>
  <w:abstractNum w:abstractNumId="105">
    <w:nsid w:val="DCDF8F6"/>
    <w:multiLevelType w:val="hybridMultilevel"/>
    <w:lvl w:ilvl="0">
      <w:lvlJc w:val="left"/>
      <w:lvlText w:val="%1."/>
      <w:numFmt w:val="decimal"/>
      <w:start w:val="3"/>
    </w:lvl>
  </w:abstractNum>
  <w:abstractNum w:abstractNumId="106">
    <w:nsid w:val="52D7B105"/>
    <w:multiLevelType w:val="hybridMultilevel"/>
    <w:lvl w:ilvl="0">
      <w:lvlJc w:val="left"/>
      <w:lvlText w:val="-"/>
      <w:numFmt w:val="bullet"/>
      <w:start w:val="1"/>
    </w:lvl>
  </w:abstractNum>
  <w:abstractNum w:abstractNumId="107">
    <w:nsid w:val="2E8A6394"/>
    <w:multiLevelType w:val="hybridMultilevel"/>
    <w:lvl w:ilvl="0">
      <w:lvlJc w:val="left"/>
      <w:lvlText w:val="%1."/>
      <w:numFmt w:val="decimal"/>
      <w:start w:val="3"/>
    </w:lvl>
  </w:abstractNum>
  <w:abstractNum w:abstractNumId="108">
    <w:nsid w:val="24E60401"/>
    <w:multiLevelType w:val="hybridMultilevel"/>
    <w:lvl w:ilvl="0">
      <w:lvlJc w:val="left"/>
      <w:lvlText w:val="7"/>
      <w:numFmt w:val="bullet"/>
      <w:start w:val="1"/>
    </w:lvl>
  </w:abstractNum>
  <w:abstractNum w:abstractNumId="109">
    <w:nsid w:val="2A6AD9BE"/>
    <w:multiLevelType w:val="hybridMultilevel"/>
    <w:lvl w:ilvl="0">
      <w:lvlJc w:val="left"/>
      <w:lvlText w:val="8"/>
      <w:numFmt w:val="bullet"/>
      <w:start w:val="1"/>
    </w:lvl>
  </w:abstractNum>
  <w:abstractNum w:abstractNumId="110">
    <w:nsid w:val="BAAC1B4"/>
    <w:multiLevelType w:val="hybridMultilevel"/>
    <w:lvl w:ilvl="0">
      <w:lvlJc w:val="left"/>
      <w:lvlText w:val="9"/>
      <w:numFmt w:val="bullet"/>
      <w:start w:val="1"/>
    </w:lvl>
  </w:abstractNum>
  <w:abstractNum w:abstractNumId="111">
    <w:nsid w:val="36B2ACBC"/>
    <w:multiLevelType w:val="hybridMultilevel"/>
    <w:lvl w:ilvl="0">
      <w:lvlJc w:val="left"/>
      <w:lvlText w:val="(%1)"/>
      <w:numFmt w:val="decimal"/>
      <w:start w:val="1"/>
    </w:lvl>
  </w:abstractNum>
  <w:abstractNum w:abstractNumId="112">
    <w:nsid w:val="779D8544"/>
    <w:multiLevelType w:val="hybridMultilevel"/>
    <w:lvl w:ilvl="0">
      <w:lvlJc w:val="left"/>
      <w:lvlText w:val="%1."/>
      <w:numFmt w:val="decimal"/>
      <w:start w:val="3"/>
    </w:lvl>
  </w:abstractNum>
  <w:abstractNum w:abstractNumId="113">
    <w:nsid w:val="4AB26E78"/>
    <w:multiLevelType w:val="hybridMultilevel"/>
    <w:lvl w:ilvl="0">
      <w:lvlJc w:val="left"/>
      <w:lvlText w:val="%1."/>
      <w:numFmt w:val="decimal"/>
      <w:start w:val="3"/>
    </w:lvl>
  </w:abstractNum>
  <w:abstractNum w:abstractNumId="114">
    <w:nsid w:val="21FAA2FA"/>
    <w:multiLevelType w:val="hybridMultilevel"/>
    <w:lvl w:ilvl="0">
      <w:lvlJc w:val="left"/>
      <w:lvlText w:val="-"/>
      <w:numFmt w:val="bullet"/>
      <w:start w:val="1"/>
    </w:lvl>
  </w:abstractNum>
  <w:abstractNum w:abstractNumId="115">
    <w:nsid w:val="5451CF49"/>
    <w:multiLevelType w:val="hybridMultilevel"/>
    <w:lvl w:ilvl="0">
      <w:lvlJc w:val="left"/>
      <w:lvlText w:val="-"/>
      <w:numFmt w:val="bullet"/>
      <w:start w:val="1"/>
    </w:lvl>
  </w:abstractNum>
  <w:abstractNum w:abstractNumId="116">
    <w:nsid w:val="6181EF69"/>
    <w:multiLevelType w:val="hybridMultilevel"/>
    <w:lvl w:ilvl="0">
      <w:lvlJc w:val="left"/>
      <w:lvlText w:val="%1."/>
      <w:numFmt w:val="decimal"/>
      <w:start w:val="3"/>
    </w:lvl>
  </w:abstractNum>
  <w:abstractNum w:abstractNumId="117">
    <w:nsid w:val="3E6400E6"/>
    <w:multiLevelType w:val="hybridMultilevel"/>
    <w:lvl w:ilvl="0">
      <w:lvlJc w:val="left"/>
      <w:lvlText w:val="-"/>
      <w:numFmt w:val="bullet"/>
      <w:start w:val="1"/>
    </w:lvl>
  </w:abstractNum>
  <w:abstractNum w:abstractNumId="118">
    <w:nsid w:val="14217E23"/>
    <w:multiLevelType w:val="hybridMultilevel"/>
    <w:lvl w:ilvl="0">
      <w:lvlJc w:val="left"/>
      <w:lvlText w:val="-"/>
      <w:numFmt w:val="bullet"/>
      <w:start w:val="1"/>
    </w:lvl>
  </w:abstractNum>
  <w:abstractNum w:abstractNumId="119">
    <w:nsid w:val="710757D0"/>
    <w:multiLevelType w:val="hybridMultilevel"/>
    <w:lvl w:ilvl="0">
      <w:lvlJc w:val="left"/>
      <w:lvlText w:val="%1."/>
      <w:numFmt w:val="decimal"/>
      <w:start w:val="3"/>
    </w:lvl>
  </w:abstractNum>
  <w:abstractNum w:abstractNumId="120">
    <w:nsid w:val="5015CD1A"/>
    <w:multiLevelType w:val="hybridMultilevel"/>
    <w:lvl w:ilvl="0">
      <w:lvlJc w:val="left"/>
      <w:lvlText w:val="7"/>
      <w:numFmt w:val="bullet"/>
      <w:start w:val="1"/>
    </w:lvl>
  </w:abstractNum>
  <w:abstractNum w:abstractNumId="121">
    <w:nsid w:val="424479DA"/>
    <w:multiLevelType w:val="hybridMultilevel"/>
    <w:lvl w:ilvl="0">
      <w:lvlJc w:val="left"/>
      <w:lvlText w:val="8"/>
      <w:numFmt w:val="bullet"/>
      <w:start w:val="1"/>
    </w:lvl>
  </w:abstractNum>
  <w:abstractNum w:abstractNumId="122">
    <w:nsid w:val="1A9A9E69"/>
    <w:multiLevelType w:val="hybridMultilevel"/>
    <w:lvl w:ilvl="0">
      <w:lvlJc w:val="left"/>
      <w:lvlText w:val="9"/>
      <w:numFmt w:val="bullet"/>
      <w:start w:val="1"/>
    </w:lvl>
  </w:abstractNum>
  <w:abstractNum w:abstractNumId="123">
    <w:nsid w:val="475E256A"/>
    <w:multiLevelType w:val="hybridMultilevel"/>
    <w:lvl w:ilvl="0">
      <w:lvlJc w:val="left"/>
      <w:lvlText w:val="(%1)"/>
      <w:numFmt w:val="decimal"/>
      <w:start w:val="2"/>
    </w:lvl>
  </w:abstractNum>
  <w:abstractNum w:abstractNumId="124">
    <w:nsid w:val="368DB37E"/>
    <w:multiLevelType w:val="hybridMultilevel"/>
    <w:lvl w:ilvl="0">
      <w:lvlJc w:val="left"/>
      <w:lvlText w:val="%1."/>
      <w:numFmt w:val="decimal"/>
      <w:start w:val="3"/>
    </w:lvl>
  </w:abstractNum>
  <w:abstractNum w:abstractNumId="125">
    <w:nsid w:val="6A3B714C"/>
    <w:multiLevelType w:val="hybridMultilevel"/>
    <w:lvl w:ilvl="0">
      <w:lvlJc w:val="left"/>
      <w:lvlText w:val="-"/>
      <w:numFmt w:val="bullet"/>
      <w:start w:val="1"/>
    </w:lvl>
  </w:abstractNum>
  <w:abstractNum w:abstractNumId="126">
    <w:nsid w:val="327B517E"/>
    <w:multiLevelType w:val="hybridMultilevel"/>
    <w:lvl w:ilvl="0">
      <w:lvlJc w:val="left"/>
      <w:lvlText w:val="-"/>
      <w:numFmt w:val="bullet"/>
      <w:start w:val="1"/>
    </w:lvl>
  </w:abstractNum>
  <w:abstractNum w:abstractNumId="127">
    <w:nsid w:val="1F461B51"/>
    <w:multiLevelType w:val="hybridMultilevel"/>
    <w:lvl w:ilvl="0">
      <w:lvlJc w:val="left"/>
      <w:lvlText w:val="%1."/>
      <w:numFmt w:val="decimal"/>
      <w:start w:val="3"/>
    </w:lvl>
  </w:abstractNum>
  <w:abstractNum w:abstractNumId="128">
    <w:nsid w:val="29BACF25"/>
    <w:multiLevelType w:val="hybridMultilevel"/>
    <w:lvl w:ilvl="0">
      <w:lvlJc w:val="left"/>
      <w:lvlText w:val="-"/>
      <w:numFmt w:val="bullet"/>
      <w:start w:val="1"/>
    </w:lvl>
  </w:abstractNum>
  <w:abstractNum w:abstractNumId="129">
    <w:nsid w:val="5D5BABB3"/>
    <w:multiLevelType w:val="hybridMultilevel"/>
    <w:lvl w:ilvl="0">
      <w:lvlJc w:val="left"/>
      <w:lvlText w:val="-"/>
      <w:numFmt w:val="bullet"/>
      <w:start w:val="1"/>
    </w:lvl>
  </w:abstractNum>
  <w:abstractNum w:abstractNumId="130">
    <w:nsid w:val="51BF6B48"/>
    <w:multiLevelType w:val="hybridMultilevel"/>
    <w:lvl w:ilvl="0">
      <w:lvlJc w:val="left"/>
      <w:lvlText w:val="-"/>
      <w:numFmt w:val="bullet"/>
      <w:start w:val="1"/>
    </w:lvl>
  </w:abstractNum>
  <w:abstractNum w:abstractNumId="131">
    <w:nsid w:val="7E0F6384"/>
    <w:multiLevelType w:val="hybridMultilevel"/>
    <w:lvl w:ilvl="0">
      <w:lvlJc w:val="left"/>
      <w:lvlText w:val="%1."/>
      <w:numFmt w:val="decimal"/>
      <w:start w:val="3"/>
    </w:lvl>
  </w:abstractNum>
  <w:abstractNum w:abstractNumId="132">
    <w:nsid w:val="2B4B8B53"/>
    <w:multiLevelType w:val="hybridMultilevel"/>
    <w:lvl w:ilvl="0">
      <w:lvlJc w:val="left"/>
      <w:lvlText w:val="-"/>
      <w:numFmt w:val="bullet"/>
      <w:start w:val="1"/>
    </w:lvl>
  </w:abstractNum>
  <w:abstractNum w:abstractNumId="133">
    <w:nsid w:val="72E3413A"/>
    <w:multiLevelType w:val="hybridMultilevel"/>
    <w:lvl w:ilvl="0">
      <w:lvlJc w:val="left"/>
      <w:lvlText w:val="%1."/>
      <w:numFmt w:val="decimal"/>
      <w:start w:val="3"/>
    </w:lvl>
  </w:abstractNum>
  <w:abstractNum w:abstractNumId="134">
    <w:nsid w:val="116AE494"/>
    <w:multiLevelType w:val="hybridMultilevel"/>
    <w:lvl w:ilvl="0">
      <w:lvlJc w:val="left"/>
      <w:lvlText w:val="%1."/>
      <w:numFmt w:val="decimal"/>
      <w:start w:val="3"/>
    </w:lvl>
  </w:abstractNum>
  <w:abstractNum w:abstractNumId="135">
    <w:nsid w:val="3494B2FB"/>
    <w:multiLevelType w:val="hybridMultilevel"/>
    <w:lvl w:ilvl="0">
      <w:lvlJc w:val="left"/>
      <w:lvlText w:val="%1."/>
      <w:numFmt w:val="decimal"/>
      <w:start w:val="1"/>
    </w:lvl>
  </w:abstractNum>
  <w:abstractNum w:abstractNumId="136">
    <w:nsid w:val="B13A31"/>
    <w:multiLevelType w:val="hybridMultilevel"/>
    <w:lvl w:ilvl="0">
      <w:lvlJc w:val="left"/>
      <w:lvlText w:val="%1."/>
      <w:numFmt w:val="decimal"/>
      <w:start w:val="3"/>
    </w:lvl>
  </w:abstractNum>
  <w:abstractNum w:abstractNumId="137">
    <w:nsid w:val="64429599"/>
    <w:multiLevelType w:val="hybridMultilevel"/>
    <w:lvl w:ilvl="0">
      <w:lvlJc w:val="left"/>
      <w:lvlText w:val="-"/>
      <w:numFmt w:val="bullet"/>
      <w:start w:val="1"/>
    </w:lvl>
  </w:abstractNum>
  <w:abstractNum w:abstractNumId="138">
    <w:nsid w:val="631F1690"/>
    <w:multiLevelType w:val="hybridMultilevel"/>
    <w:lvl w:ilvl="0">
      <w:lvlJc w:val="left"/>
      <w:lvlText w:val="%1."/>
      <w:numFmt w:val="decimal"/>
      <w:start w:val="3"/>
    </w:lvl>
  </w:abstractNum>
  <w:abstractNum w:abstractNumId="139">
    <w:nsid w:val="25973E32"/>
    <w:multiLevelType w:val="hybridMultilevel"/>
    <w:lvl w:ilvl="0">
      <w:lvlJc w:val="left"/>
      <w:lvlText w:val="%1."/>
      <w:numFmt w:val="decimal"/>
      <w:start w:val="3"/>
    </w:lvl>
  </w:abstractNum>
  <w:abstractNum w:abstractNumId="140">
    <w:nsid w:val="EAD6F57"/>
    <w:multiLevelType w:val="hybridMultilevel"/>
    <w:lvl w:ilvl="0">
      <w:lvlJc w:val="left"/>
      <w:lvlText w:val="-"/>
      <w:numFmt w:val="bullet"/>
      <w:start w:val="1"/>
    </w:lvl>
  </w:abstractNum>
  <w:abstractNum w:abstractNumId="141">
    <w:nsid w:val="6EC9D844"/>
    <w:multiLevelType w:val="hybridMultilevel"/>
    <w:lvl w:ilvl="0">
      <w:lvlJc w:val="left"/>
      <w:lvlText w:val="%1."/>
      <w:numFmt w:val="decimal"/>
      <w:start w:val="3"/>
    </w:lvl>
  </w:abstractNum>
  <w:abstractNum w:abstractNumId="142">
    <w:nsid w:val="5C49EAEE"/>
    <w:multiLevelType w:val="hybridMultilevel"/>
    <w:lvl w:ilvl="0">
      <w:lvlJc w:val="left"/>
      <w:lvlText w:val="-"/>
      <w:numFmt w:val="bullet"/>
      <w:start w:val="1"/>
    </w:lvl>
  </w:abstractNum>
  <w:abstractNum w:abstractNumId="143">
    <w:nsid w:val="64AF49B"/>
    <w:multiLevelType w:val="hybridMultilevel"/>
    <w:lvl w:ilvl="0">
      <w:lvlJc w:val="left"/>
      <w:lvlText w:val="%1."/>
      <w:numFmt w:val="decimal"/>
      <w:start w:val="3"/>
    </w:lvl>
  </w:abstractNum>
  <w:abstractNum w:abstractNumId="144">
    <w:nsid w:val="397C46BC"/>
    <w:multiLevelType w:val="hybridMultilevel"/>
    <w:lvl w:ilvl="0">
      <w:lvlJc w:val="left"/>
      <w:lvlText w:val="%1."/>
      <w:numFmt w:val="decimal"/>
      <w:start w:val="3"/>
    </w:lvl>
  </w:abstractNum>
  <w:abstractNum w:abstractNumId="145">
    <w:nsid w:val="7E448DE9"/>
    <w:multiLevelType w:val="hybridMultilevel"/>
    <w:lvl w:ilvl="0">
      <w:lvlJc w:val="left"/>
      <w:lvlText w:val="%1."/>
      <w:numFmt w:val="decimal"/>
      <w:start w:val="3"/>
    </w:lvl>
  </w:abstractNum>
  <w:abstractNum w:abstractNumId="146">
    <w:nsid w:val="5A9CC3E5"/>
    <w:multiLevelType w:val="hybridMultilevel"/>
    <w:lvl w:ilvl="0">
      <w:lvlJc w:val="left"/>
      <w:lvlText w:val="%1."/>
      <w:numFmt w:val="decimal"/>
      <w:start w:val="1"/>
    </w:lvl>
    <w:lvl w:ilvl="1">
      <w:lvlJc w:val="left"/>
      <w:lvlText w:val="-"/>
      <w:numFmt w:val="bullet"/>
      <w:start w:val="1"/>
    </w:lvl>
  </w:abstractNum>
  <w:abstractNum w:abstractNumId="147">
    <w:nsid w:val="1AFE3625"/>
    <w:multiLevelType w:val="hybridMultilevel"/>
    <w:lvl w:ilvl="0">
      <w:lvlJc w:val="left"/>
      <w:lvlText w:val="%1."/>
      <w:numFmt w:val="decimal"/>
      <w:start w:val="3"/>
    </w:lvl>
  </w:abstractNum>
  <w:abstractNum w:abstractNumId="148">
    <w:nsid w:val="3CA88ECF"/>
    <w:multiLevelType w:val="hybridMultilevel"/>
    <w:lvl w:ilvl="0">
      <w:lvlJc w:val="left"/>
      <w:lvlText w:val="%1"/>
      <w:numFmt w:val="decimal"/>
      <w:start w:val="1"/>
    </w:lvl>
    <w:lvl w:ilvl="1">
      <w:lvlJc w:val="left"/>
      <w:lvlText w:val="(%2)"/>
      <w:numFmt w:val="decimal"/>
      <w:start w:val="1"/>
    </w:lvl>
  </w:abstractNum>
  <w:abstractNum w:abstractNumId="149">
    <w:nsid w:val="6EBE4208"/>
    <w:multiLevelType w:val="hybridMultilevel"/>
    <w:lvl w:ilvl="0">
      <w:lvlJc w:val="left"/>
      <w:lvlText w:val="%1."/>
      <w:numFmt w:val="decimal"/>
      <w:start w:val="5"/>
    </w:lvl>
    <w:lvl w:ilvl="1">
      <w:lvlJc w:val="left"/>
      <w:lvlText w:val="%2"/>
      <w:numFmt w:val="decimal"/>
      <w:start w:val="1"/>
    </w:lvl>
  </w:abstractNum>
  <w:abstractNum w:abstractNumId="150">
    <w:nsid w:val="C058DF5"/>
    <w:multiLevelType w:val="hybridMultilevel"/>
    <w:lvl w:ilvl="0">
      <w:lvlJc w:val="left"/>
      <w:lvlText w:val="%1."/>
      <w:numFmt w:val="decimal"/>
      <w:start w:val="5"/>
    </w:lvl>
  </w:abstractNum>
  <w:abstractNum w:abstractNumId="151">
    <w:nsid w:val="CBE5BE9"/>
    <w:multiLevelType w:val="hybridMultilevel"/>
    <w:lvl w:ilvl="0">
      <w:lvlJc w:val="left"/>
      <w:lvlText w:val="(%1)"/>
      <w:numFmt w:val="decimal"/>
      <w:start w:val="1"/>
    </w:lvl>
  </w:abstractNum>
  <w:abstractNum w:abstractNumId="152">
    <w:nsid w:val="3102BBE2"/>
    <w:multiLevelType w:val="hybridMultilevel"/>
    <w:lvl w:ilvl="0">
      <w:lvlJc w:val="left"/>
      <w:lvlText w:val="%1."/>
      <w:numFmt w:val="decimal"/>
      <w:start w:val="5"/>
    </w:lvl>
  </w:abstractNum>
  <w:abstractNum w:abstractNumId="153">
    <w:nsid w:val="26A02C5E"/>
    <w:multiLevelType w:val="hybridMultilevel"/>
    <w:lvl w:ilvl="0">
      <w:lvlJc w:val="left"/>
      <w:lvlText w:val="%1."/>
      <w:numFmt w:val="decimal"/>
      <w:start w:val="5"/>
    </w:lvl>
  </w:abstractNum>
  <w:abstractNum w:abstractNumId="154">
    <w:nsid w:val="541C8153"/>
    <w:multiLevelType w:val="hybridMultilevel"/>
    <w:lvl w:ilvl="0">
      <w:lvlJc w:val="left"/>
      <w:lvlText w:val="(%1)"/>
      <w:numFmt w:val="decimal"/>
      <w:start w:val="1"/>
    </w:lvl>
  </w:abstractNum>
  <w:abstractNum w:abstractNumId="155">
    <w:nsid w:val="67906F60"/>
    <w:multiLevelType w:val="hybridMultilevel"/>
    <w:lvl w:ilvl="0">
      <w:lvlJc w:val="left"/>
      <w:lvlText w:val="%1."/>
      <w:numFmt w:val="decimal"/>
      <w:start w:val="5"/>
    </w:lvl>
  </w:abstractNum>
  <w:abstractNum w:abstractNumId="156">
    <w:nsid w:val="10DB9DAA"/>
    <w:multiLevelType w:val="hybridMultilevel"/>
    <w:lvl w:ilvl="0">
      <w:lvlJc w:val="left"/>
      <w:lvlText w:val="%1."/>
      <w:numFmt w:val="decimal"/>
      <w:start w:val="5"/>
    </w:lvl>
  </w:abstractNum>
  <w:abstractNum w:abstractNumId="157">
    <w:nsid w:val="697D2D2"/>
    <w:multiLevelType w:val="hybridMultilevel"/>
    <w:lvl w:ilvl="0">
      <w:lvlJc w:val="left"/>
      <w:lvlText w:val="(%1)"/>
      <w:numFmt w:val="decimal"/>
      <w:start w:val="1"/>
    </w:lvl>
  </w:abstractNum>
  <w:abstractNum w:abstractNumId="158">
    <w:nsid w:val="6D68AB2"/>
    <w:multiLevelType w:val="hybridMultilevel"/>
    <w:lvl w:ilvl="0">
      <w:lvlJc w:val="left"/>
      <w:lvlText w:val="%1."/>
      <w:numFmt w:val="decimal"/>
      <w:start w:val="5"/>
    </w:lvl>
  </w:abstractNum>
  <w:abstractNum w:abstractNumId="159">
    <w:nsid w:val="3A966CD0"/>
    <w:multiLevelType w:val="hybridMultilevel"/>
    <w:lvl w:ilvl="0">
      <w:lvlJc w:val="left"/>
      <w:lvlText w:val="(%1)"/>
      <w:numFmt w:val="decimal"/>
      <w:start w:val="1"/>
    </w:lvl>
  </w:abstractNum>
  <w:abstractNum w:abstractNumId="160">
    <w:nsid w:val="63F37E85"/>
    <w:multiLevelType w:val="hybridMultilevel"/>
    <w:lvl w:ilvl="0">
      <w:lvlJc w:val="left"/>
      <w:lvlText w:val="%1."/>
      <w:numFmt w:val="decimal"/>
      <w:start w:val="5"/>
    </w:lvl>
  </w:abstractNum>
  <w:abstractNum w:abstractNumId="161">
    <w:nsid w:val="5895F5FA"/>
    <w:multiLevelType w:val="hybridMultilevel"/>
    <w:lvl w:ilvl="0">
      <w:lvlJc w:val="left"/>
      <w:lvlText w:val="%1."/>
      <w:numFmt w:val="decimal"/>
      <w:start w:val="5"/>
    </w:lvl>
  </w:abstractNum>
  <w:abstractNum w:abstractNumId="162">
    <w:nsid w:val="38A5D054"/>
    <w:multiLevelType w:val="hybridMultilevel"/>
    <w:lvl w:ilvl="0">
      <w:lvlJc w:val="left"/>
      <w:lvlText w:val="%1."/>
      <w:numFmt w:val="decimal"/>
      <w:start w:val="5"/>
    </w:lvl>
  </w:abstractNum>
  <w:abstractNum w:abstractNumId="163">
    <w:nsid w:val="F3F09D8"/>
    <w:multiLevelType w:val="hybridMultilevel"/>
    <w:lvl w:ilvl="0">
      <w:lvlJc w:val="left"/>
      <w:lvlText w:val="(%1)"/>
      <w:numFmt w:val="decimal"/>
      <w:start w:val="1"/>
    </w:lvl>
  </w:abstractNum>
  <w:abstractNum w:abstractNumId="164">
    <w:nsid w:val="4B793735"/>
    <w:multiLevelType w:val="hybridMultilevel"/>
    <w:lvl w:ilvl="0">
      <w:lvlJc w:val="left"/>
      <w:lvlText w:val="%1."/>
      <w:numFmt w:val="decimal"/>
      <w:start w:val="5"/>
    </w:lvl>
  </w:abstractNum>
  <w:abstractNum w:abstractNumId="165">
    <w:nsid w:val="4A10B4E8"/>
    <w:multiLevelType w:val="hybridMultilevel"/>
    <w:lvl w:ilvl="0">
      <w:lvlJc w:val="left"/>
      <w:lvlText w:val="%1."/>
      <w:numFmt w:val="decimal"/>
      <w:start w:val="5"/>
    </w:lvl>
  </w:abstractNum>
  <w:abstractNum w:abstractNumId="166">
    <w:nsid w:val="43D3BCD4"/>
    <w:multiLevelType w:val="hybridMultilevel"/>
    <w:lvl w:ilvl="0">
      <w:lvlJc w:val="left"/>
      <w:lvlText w:val="%1."/>
      <w:numFmt w:val="decimal"/>
      <w:start w:val="5"/>
    </w:lvl>
  </w:abstractNum>
  <w:abstractNum w:abstractNumId="167">
    <w:nsid w:val="4C2A7166"/>
    <w:multiLevelType w:val="hybridMultilevel"/>
    <w:lvl w:ilvl="0">
      <w:lvlJc w:val="left"/>
      <w:lvlText w:val="%1."/>
      <w:numFmt w:val="decimal"/>
      <w:start w:val="5"/>
    </w:lvl>
  </w:abstractNum>
  <w:abstractNum w:abstractNumId="168">
    <w:nsid w:val="2E534A82"/>
    <w:multiLevelType w:val="hybridMultilevel"/>
    <w:lvl w:ilvl="0">
      <w:lvlJc w:val="left"/>
      <w:lvlText w:val="%1."/>
      <w:numFmt w:val="decimal"/>
      <w:start w:val="5"/>
    </w:lvl>
  </w:abstractNum>
  <w:abstractNum w:abstractNumId="169">
    <w:nsid w:val="26F2D364"/>
    <w:multiLevelType w:val="hybridMultilevel"/>
    <w:lvl w:ilvl="0">
      <w:lvlJc w:val="left"/>
      <w:lvlText w:val="%1."/>
      <w:numFmt w:val="decimal"/>
      <w:start w:val="5"/>
    </w:lvl>
  </w:abstractNum>
  <w:abstractNum w:abstractNumId="170">
    <w:nsid w:val="71C1AF98"/>
    <w:multiLevelType w:val="hybridMultilevel"/>
    <w:lvl w:ilvl="0">
      <w:lvlJc w:val="left"/>
      <w:lvlText w:val="%1."/>
      <w:numFmt w:val="decimal"/>
      <w:start w:val="5"/>
    </w:lvl>
  </w:abstractNum>
  <w:abstractNum w:abstractNumId="171">
    <w:nsid w:val="3D00B9D9"/>
    <w:multiLevelType w:val="hybridMultilevel"/>
    <w:lvl w:ilvl="0">
      <w:lvlJc w:val="left"/>
      <w:lvlText w:val="%1."/>
      <w:numFmt w:val="decimal"/>
      <w:start w:val="5"/>
    </w:lvl>
  </w:abstractNum>
  <w:abstractNum w:abstractNumId="172">
    <w:nsid w:val="15BCABA8"/>
    <w:multiLevelType w:val="hybridMultilevel"/>
    <w:lvl w:ilvl="0">
      <w:lvlJc w:val="left"/>
      <w:lvlText w:val="%1."/>
      <w:numFmt w:val="decimal"/>
      <w:start w:val="5"/>
    </w:lvl>
  </w:abstractNum>
  <w:abstractNum w:abstractNumId="173">
    <w:nsid w:val="4E0B9A87"/>
    <w:multiLevelType w:val="hybridMultilevel"/>
    <w:lvl w:ilvl="0">
      <w:lvlJc w:val="left"/>
      <w:lvlText w:val="%1."/>
      <w:numFmt w:val="decimal"/>
      <w:start w:val="5"/>
    </w:lvl>
  </w:abstractNum>
  <w:abstractNum w:abstractNumId="174">
    <w:nsid w:val="434BAE75"/>
    <w:multiLevelType w:val="hybridMultilevel"/>
    <w:lvl w:ilvl="0">
      <w:lvlJc w:val="left"/>
      <w:lvlText w:val="%1."/>
      <w:numFmt w:val="decimal"/>
      <w:start w:val="5"/>
    </w:lvl>
  </w:abstractNum>
  <w:abstractNum w:abstractNumId="175">
    <w:nsid w:val="4F38F265"/>
    <w:multiLevelType w:val="hybridMultilevel"/>
    <w:lvl w:ilvl="0">
      <w:lvlJc w:val="left"/>
      <w:lvlText w:val="%1."/>
      <w:numFmt w:val="decimal"/>
      <w:start w:val="5"/>
    </w:lvl>
  </w:abstractNum>
  <w:abstractNum w:abstractNumId="176">
    <w:nsid w:val="4C502870"/>
    <w:multiLevelType w:val="hybridMultilevel"/>
    <w:lvl w:ilvl="0">
      <w:lvlJc w:val="left"/>
      <w:lvlText w:val="%1."/>
      <w:numFmt w:val="decimal"/>
      <w:start w:val="5"/>
    </w:lvl>
  </w:abstractNum>
  <w:abstractNum w:abstractNumId="177">
    <w:nsid w:val="1DE8725A"/>
    <w:multiLevelType w:val="hybridMultilevel"/>
    <w:lvl w:ilvl="0">
      <w:lvlJc w:val="left"/>
      <w:lvlText w:val="%1."/>
      <w:numFmt w:val="decimal"/>
      <w:start w:val="5"/>
    </w:lvl>
  </w:abstractNum>
  <w:abstractNum w:abstractNumId="178">
    <w:nsid w:val="6A37288A"/>
    <w:multiLevelType w:val="hybridMultilevel"/>
    <w:lvl w:ilvl="0">
      <w:lvlJc w:val="left"/>
      <w:lvlText w:val="%1."/>
      <w:numFmt w:val="decimal"/>
      <w:start w:val="5"/>
    </w:lvl>
  </w:abstractNum>
  <w:abstractNum w:abstractNumId="179">
    <w:nsid w:val="8F8B73F"/>
    <w:multiLevelType w:val="hybridMultilevel"/>
    <w:lvl w:ilvl="0">
      <w:lvlJc w:val="left"/>
      <w:lvlText w:val="%1)"/>
      <w:numFmt w:val="lowerLetter"/>
      <w:start w:val="1"/>
    </w:lvl>
  </w:abstractNum>
  <w:abstractNum w:abstractNumId="180">
    <w:nsid w:val="CA6B462"/>
    <w:multiLevelType w:val="hybridMultilevel"/>
    <w:lvl w:ilvl="0">
      <w:lvlJc w:val="left"/>
      <w:lvlText w:val="%1."/>
      <w:numFmt w:val="decimal"/>
      <w:start w:val="5"/>
    </w:lvl>
  </w:abstractNum>
  <w:abstractNum w:abstractNumId="181">
    <w:nsid w:val="763CB680"/>
    <w:multiLevelType w:val="hybridMultilevel"/>
    <w:lvl w:ilvl="0">
      <w:lvlJc w:val="left"/>
      <w:lvlText w:val="%1)"/>
      <w:numFmt w:val="lowerLetter"/>
      <w:start w:val="1"/>
    </w:lvl>
  </w:abstractNum>
  <w:abstractNum w:abstractNumId="182">
    <w:nsid w:val="15B71329"/>
    <w:multiLevelType w:val="hybridMultilevel"/>
    <w:lvl w:ilvl="0">
      <w:lvlJc w:val="left"/>
      <w:lvlText w:val="%1)"/>
      <w:numFmt w:val="lowerLetter"/>
      <w:start w:val="2"/>
    </w:lvl>
  </w:abstractNum>
  <w:abstractNum w:abstractNumId="183">
    <w:nsid w:val="3DA97044"/>
    <w:multiLevelType w:val="hybridMultilevel"/>
    <w:lvl w:ilvl="0">
      <w:lvlJc w:val="left"/>
      <w:lvlText w:val="%1."/>
      <w:numFmt w:val="decimal"/>
      <w:start w:val="5"/>
    </w:lvl>
  </w:abstractNum>
  <w:abstractNum w:abstractNumId="184">
    <w:nsid w:val="1CDCE2DE"/>
    <w:multiLevelType w:val="hybridMultilevel"/>
    <w:lvl w:ilvl="0">
      <w:lvlJc w:val="left"/>
      <w:lvlText w:val="%1)"/>
      <w:numFmt w:val="lowerLetter"/>
      <w:start w:val="2"/>
    </w:lvl>
  </w:abstractNum>
  <w:abstractNum w:abstractNumId="185">
    <w:nsid w:val="69D3947C"/>
    <w:multiLevelType w:val="hybridMultilevel"/>
    <w:lvl w:ilvl="0">
      <w:lvlJc w:val="left"/>
      <w:lvlText w:val="%1."/>
      <w:numFmt w:val="decimal"/>
      <w:start w:val="6"/>
    </w:lvl>
  </w:abstractNum>
  <w:abstractNum w:abstractNumId="186">
    <w:nsid w:val="2539DFA5"/>
    <w:multiLevelType w:val="hybridMultilevel"/>
    <w:lvl w:ilvl="0">
      <w:lvlJc w:val="left"/>
      <w:lvlText w:val="(%1)"/>
      <w:numFmt w:val="decimal"/>
      <w:start w:val="1"/>
    </w:lvl>
  </w:abstractNum>
  <w:abstractNum w:abstractNumId="187">
    <w:nsid w:val="2DB88089"/>
    <w:multiLevelType w:val="hybridMultilevel"/>
    <w:lvl w:ilvl="0">
      <w:lvlJc w:val="left"/>
      <w:lvlText w:val="%1."/>
      <w:numFmt w:val="decimal"/>
      <w:start w:val="6"/>
    </w:lvl>
  </w:abstractNum>
  <w:abstractNum w:abstractNumId="188">
    <w:nsid w:val="706B674E"/>
    <w:multiLevelType w:val="hybridMultilevel"/>
    <w:lvl w:ilvl="0">
      <w:lvlJc w:val="left"/>
      <w:lvlText w:val="%1."/>
      <w:numFmt w:val="decimal"/>
      <w:start w:val="6"/>
    </w:lvl>
  </w:abstractNum>
  <w:abstractNum w:abstractNumId="189">
    <w:nsid w:val="2C106A57"/>
    <w:multiLevelType w:val="hybridMultilevel"/>
    <w:lvl w:ilvl="0">
      <w:lvlJc w:val="left"/>
      <w:lvlText w:val="(%1)"/>
      <w:numFmt w:val="decimal"/>
      <w:start w:val="1"/>
    </w:lvl>
  </w:abstractNum>
  <w:abstractNum w:abstractNumId="190">
    <w:nsid w:val="684EED59"/>
    <w:multiLevelType w:val="hybridMultilevel"/>
    <w:lvl w:ilvl="0">
      <w:lvlJc w:val="left"/>
      <w:lvlText w:val="%1."/>
      <w:numFmt w:val="decimal"/>
      <w:start w:val="7"/>
    </w:lvl>
  </w:abstractNum>
  <w:abstractNum w:abstractNumId="191">
    <w:nsid w:val="545EE5D3"/>
    <w:multiLevelType w:val="hybridMultilevel"/>
    <w:lvl w:ilvl="0">
      <w:lvlJc w:val="left"/>
      <w:lvlText w:val="%1."/>
      <w:numFmt w:val="decimal"/>
      <w:start w:val="8"/>
    </w:lvl>
  </w:abstractNum>
  <w:abstractNum w:abstractNumId="192">
    <w:nsid w:val="4A66051"/>
    <w:multiLevelType w:val="hybridMultilevel"/>
    <w:lvl w:ilvl="0">
      <w:lvlJc w:val="left"/>
      <w:lvlText w:val="(%1)"/>
      <w:numFmt w:val="decimal"/>
      <w:start w:val="1"/>
    </w:lvl>
  </w:abstractNum>
  <w:abstractNum w:abstractNumId="193">
    <w:nsid w:val="20F4BDAD"/>
    <w:multiLevelType w:val="hybridMultilevel"/>
    <w:lvl w:ilvl="0">
      <w:lvlJc w:val="left"/>
      <w:lvlText w:val="%1."/>
      <w:numFmt w:val="decimal"/>
      <w:start w:val="12"/>
    </w:lvl>
  </w:abstractNum>
  <w:abstractNum w:abstractNumId="194">
    <w:nsid w:val="639DEFAC"/>
    <w:multiLevelType w:val="hybridMultilevel"/>
    <w:lvl w:ilvl="0">
      <w:lvlJc w:val="left"/>
      <w:lvlText w:val="%1."/>
      <w:numFmt w:val="decimal"/>
      <w:start w:val="15"/>
    </w:lvl>
  </w:abstractNum>
  <w:abstractNum w:abstractNumId="195">
    <w:nsid w:val="501F9786"/>
    <w:multiLevelType w:val="hybridMultilevel"/>
    <w:lvl w:ilvl="0">
      <w:lvlJc w:val="left"/>
      <w:lvlText w:val="%1)"/>
      <w:numFmt w:val="decimal"/>
      <w:start w:val="1"/>
    </w:lvl>
  </w:abstractNum>
  <w:abstractNum w:abstractNumId="196">
    <w:nsid w:val="6B057295"/>
    <w:multiLevelType w:val="hybridMultilevel"/>
    <w:lvl w:ilvl="0">
      <w:lvlJc w:val="left"/>
      <w:lvlText w:val="%1."/>
      <w:numFmt w:val="decimal"/>
      <w:start w:val="15"/>
    </w:lvl>
  </w:abstractNum>
  <w:abstractNum w:abstractNumId="197">
    <w:nsid w:val="2771AC80"/>
    <w:multiLevelType w:val="hybridMultilevel"/>
    <w:lvl w:ilvl="0">
      <w:lvlJc w:val="left"/>
      <w:lvlText w:val="%1."/>
      <w:numFmt w:val="decimal"/>
      <w:start w:val="15"/>
    </w:lvl>
  </w:abstractNum>
  <w:abstractNum w:abstractNumId="198">
    <w:nsid w:val="1C4A08EC"/>
    <w:multiLevelType w:val="hybridMultilevel"/>
    <w:lvl w:ilvl="0">
      <w:lvlJc w:val="left"/>
      <w:lvlText w:val="%1."/>
      <w:numFmt w:val="decimal"/>
      <w:start w:val="16"/>
    </w:lvl>
    <w:lvl w:ilvl="1">
      <w:lvlJc w:val="left"/>
      <w:lvlText w:val="%2"/>
      <w:numFmt w:val="upperLetter"/>
      <w:start w:val="1"/>
    </w:lvl>
  </w:abstractNum>
  <w:abstractNum w:abstractNumId="199">
    <w:nsid w:val="1958BD17"/>
    <w:multiLevelType w:val="hybridMultilevel"/>
    <w:lvl w:ilvl="0">
      <w:lvlJc w:val="left"/>
      <w:lvlText w:val="%1."/>
      <w:numFmt w:val="decimal"/>
      <w:start w:val="16"/>
    </w:lvl>
    <w:lvl w:ilvl="1">
      <w:lvlJc w:val="left"/>
      <w:lvlText w:val="%2"/>
      <w:numFmt w:val="upperLetter"/>
      <w:start w:val="1"/>
    </w:lvl>
  </w:abstractNum>
  <w:abstractNum w:abstractNumId="200">
    <w:nsid w:val="4E647FE4"/>
    <w:multiLevelType w:val="hybridMultilevel"/>
    <w:lvl w:ilvl="0">
      <w:lvlJc w:val="left"/>
      <w:lvlText w:val="%1."/>
      <w:numFmt w:val="decimal"/>
      <w:start w:val="16"/>
    </w:lvl>
    <w:lvl w:ilvl="1">
      <w:lvlJc w:val="left"/>
      <w:lvlText w:val="%2"/>
      <w:numFmt w:val="upperLetter"/>
      <w:start w:val="1"/>
    </w:lvl>
  </w:abstractNum>
  <w:abstractNum w:abstractNumId="201">
    <w:nsid w:val="E0BB885"/>
    <w:multiLevelType w:val="hybridMultilevel"/>
    <w:lvl w:ilvl="0">
      <w:lvlJc w:val="left"/>
      <w:lvlText w:val="(%1)"/>
      <w:numFmt w:val="decimal"/>
      <w:start w:val="1"/>
    </w:lvl>
  </w:abstractNum>
  <w:abstractNum w:abstractNumId="202">
    <w:nsid w:val="565976F1"/>
    <w:multiLevelType w:val="hybridMultilevel"/>
    <w:lvl w:ilvl="0">
      <w:lvlJc w:val="left"/>
      <w:lvlText w:val="%1"/>
      <w:numFmt w:val="lowerLetter"/>
      <w:start w:val="1"/>
    </w:lvl>
    <w:lvl w:ilvl="1">
      <w:lvlJc w:val="left"/>
      <w:lvlText w:val="(%2)"/>
      <w:numFmt w:val="decimal"/>
      <w:start w:val="1"/>
    </w:lvl>
  </w:abstractNum>
  <w:abstractNum w:abstractNumId="203">
    <w:nsid w:val="64212B8C"/>
    <w:multiLevelType w:val="hybridMultilevel"/>
    <w:lvl w:ilvl="0">
      <w:lvlJc w:val="left"/>
      <w:lvlText w:val="(%1)"/>
      <w:numFmt w:val="lowerLetter"/>
      <w:start w:val="1"/>
    </w:lvl>
    <w:lvl w:ilvl="1">
      <w:lvlJc w:val="left"/>
      <w:lvlText w:val="%2"/>
      <w:numFmt w:val="decimal"/>
      <w:start w:val="1"/>
    </w:lvl>
  </w:abstractNum>
  <w:abstractNum w:abstractNumId="204">
    <w:nsid w:val="5C17530C"/>
    <w:multiLevelType w:val="hybridMultilevel"/>
    <w:lvl w:ilvl="0">
      <w:lvlJc w:val="left"/>
      <w:lvlText w:val="(%1)"/>
      <w:numFmt w:val="lowerLetter"/>
      <w:start w:val="1"/>
    </w:lvl>
  </w:abstractNum>
  <w:abstractNum w:abstractNumId="205">
    <w:nsid w:val="19A52566"/>
    <w:multiLevelType w:val="hybridMultilevel"/>
    <w:lvl w:ilvl="0">
      <w:lvlJc w:val="left"/>
      <w:lvlText w:val="(%1)"/>
      <w:numFmt w:val="lowerLetter"/>
      <w:start w:val="1"/>
    </w:lvl>
  </w:abstractNum>
  <w:abstractNum w:abstractNumId="206">
    <w:nsid w:val="335A1DF1"/>
    <w:multiLevelType w:val="hybridMultilevel"/>
    <w:lvl w:ilvl="0">
      <w:lvlJc w:val="left"/>
      <w:lvlText w:val="(%1)"/>
      <w:numFmt w:val="lowerLetter"/>
      <w:start w:val="1"/>
    </w:lvl>
  </w:abstractNum>
  <w:abstractNum w:abstractNumId="207">
    <w:nsid w:val="28677B7C"/>
    <w:multiLevelType w:val="hybridMultilevel"/>
    <w:lvl w:ilvl="0">
      <w:lvlJc w:val="left"/>
      <w:lvlText w:val="(%1)"/>
      <w:numFmt w:val="decimal"/>
      <w:start w:val="1"/>
    </w:lvl>
  </w:abstractNum>
  <w:abstractNum w:abstractNumId="208">
    <w:nsid w:val="378D97C0"/>
    <w:multiLevelType w:val="hybridMultilevel"/>
    <w:lvl w:ilvl="0">
      <w:lvlJc w:val="left"/>
      <w:lvlText w:val="%1."/>
      <w:numFmt w:val="decimal"/>
      <w:start w:val="27"/>
    </w:lvl>
  </w:abstractNum>
  <w:abstractNum w:abstractNumId="209">
    <w:nsid w:val="1D91467C"/>
    <w:multiLevelType w:val="hybridMultilevel"/>
    <w:lvl w:ilvl="0">
      <w:lvlJc w:val="left"/>
      <w:lvlText w:val="%1."/>
      <w:numFmt w:val="decimal"/>
      <w:start w:val="27"/>
    </w:lvl>
  </w:abstractNum>
  <w:abstractNum w:abstractNumId="210">
    <w:nsid w:val="316032BB"/>
    <w:multiLevelType w:val="hybridMultilevel"/>
    <w:lvl w:ilvl="0">
      <w:lvlJc w:val="left"/>
      <w:lvlText w:val="-"/>
      <w:numFmt w:val="bullet"/>
      <w:start w:val="1"/>
    </w:lvl>
  </w:abstractNum>
  <w:abstractNum w:abstractNumId="211">
    <w:nsid w:val="44344C22"/>
    <w:multiLevelType w:val="hybridMultilevel"/>
    <w:lvl w:ilvl="0">
      <w:lvlJc w:val="left"/>
      <w:lvlText w:val="%1."/>
      <w:numFmt w:val="decimal"/>
      <w:start w:val="27"/>
    </w:lvl>
  </w:abstractNum>
  <w:abstractNum w:abstractNumId="212">
    <w:nsid w:val="13CDFCFC"/>
    <w:multiLevelType w:val="hybridMultilevel"/>
    <w:lvl w:ilvl="0">
      <w:lvlJc w:val="left"/>
      <w:lvlText w:val="%1."/>
      <w:numFmt w:val="decimal"/>
      <w:start w:val="27"/>
    </w:lvl>
  </w:abstractNum>
  <w:abstractNum w:abstractNumId="213">
    <w:nsid w:val="471745E4"/>
    <w:multiLevelType w:val="hybridMultilevel"/>
    <w:lvl w:ilvl="0">
      <w:lvlJc w:val="left"/>
      <w:lvlText w:val="%1."/>
      <w:numFmt w:val="decimal"/>
      <w:start w:val="27"/>
    </w:lvl>
  </w:abstractNum>
  <w:abstractNum w:abstractNumId="214">
    <w:nsid w:val="1DDBC66"/>
    <w:multiLevelType w:val="hybridMultilevel"/>
    <w:lvl w:ilvl="0">
      <w:lvlJc w:val="left"/>
      <w:lvlText w:val="%1."/>
      <w:numFmt w:val="decimal"/>
      <w:start w:val="27"/>
    </w:lvl>
  </w:abstractNum>
  <w:abstractNum w:abstractNumId="215">
    <w:nsid w:val="30AADFDA"/>
    <w:multiLevelType w:val="hybridMultilevel"/>
    <w:lvl w:ilvl="0">
      <w:lvlJc w:val="left"/>
      <w:lvlText w:val="%1."/>
      <w:numFmt w:val="decimal"/>
      <w:start w:val="27"/>
    </w:lvl>
  </w:abstractNum>
  <w:abstractNum w:abstractNumId="216">
    <w:nsid w:val="30EADA61"/>
    <w:multiLevelType w:val="hybridMultilevel"/>
    <w:lvl w:ilvl="0">
      <w:lvlJc w:val="left"/>
      <w:lvlText w:val="(%1)"/>
      <w:numFmt w:val="decimal"/>
      <w:start w:val="1"/>
    </w:lvl>
  </w:abstractNum>
  <w:abstractNum w:abstractNumId="217">
    <w:nsid w:val="27179C0B"/>
    <w:multiLevelType w:val="hybridMultilevel"/>
    <w:lvl w:ilvl="0">
      <w:lvlJc w:val="left"/>
      <w:lvlText w:val="(%1)"/>
      <w:numFmt w:val="decimal"/>
      <w:start w:val="1"/>
    </w:lvl>
  </w:abstractNum>
  <w:abstractNum w:abstractNumId="218">
    <w:nsid w:val="5E636063"/>
    <w:multiLevelType w:val="hybridMultilevel"/>
    <w:lvl w:ilvl="0">
      <w:lvlJc w:val="left"/>
      <w:lvlText w:val="%1."/>
      <w:numFmt w:val="decimal"/>
      <w:start w:val="27"/>
    </w:lvl>
  </w:abstractNum>
  <w:abstractNum w:abstractNumId="219">
    <w:nsid w:val="215641AF"/>
    <w:multiLevelType w:val="hybridMultilevel"/>
    <w:lvl w:ilvl="0">
      <w:lvlJc w:val="left"/>
      <w:lvlText w:val="%1."/>
      <w:numFmt w:val="upperLetter"/>
      <w:start w:val="9"/>
    </w:lvl>
  </w:abstractNum>
  <w:abstractNum w:abstractNumId="220">
    <w:nsid w:val="53280662"/>
    <w:multiLevelType w:val="hybridMultilevel"/>
    <w:lvl w:ilvl="0">
      <w:lvlJc w:val="left"/>
      <w:lvlText w:val="%1."/>
      <w:numFmt w:val="upperLetter"/>
      <w:start w:val="35"/>
    </w:lvl>
  </w:abstractNum>
  <w:abstractNum w:abstractNumId="221">
    <w:nsid w:val="46B24DBC"/>
    <w:multiLevelType w:val="hybridMultilevel"/>
    <w:lvl w:ilvl="0">
      <w:lvlJc w:val="left"/>
      <w:lvlText w:val="%1."/>
      <w:numFmt w:val="upperLetter"/>
      <w:start w:val="60"/>
    </w:lvl>
    <w:lvl w:ilvl="1">
      <w:lvlJc w:val="left"/>
      <w:lvlText w:val="·"/>
      <w:numFmt w:val="bullet"/>
      <w:start w:val="1"/>
    </w:lvl>
  </w:abstractNum>
  <w:abstractNum w:abstractNumId="222">
    <w:nsid w:val="75B52783"/>
    <w:multiLevelType w:val="hybridMultilevel"/>
    <w:lvl w:ilvl="0">
      <w:lvlJc w:val="left"/>
      <w:lvlText w:val="·"/>
      <w:numFmt w:val="bullet"/>
      <w:start w:val="1"/>
    </w:lvl>
  </w:abstractNum>
  <w:abstractNum w:abstractNumId="223">
    <w:nsid w:val="57CE66B4"/>
    <w:multiLevelType w:val="hybridMultilevel"/>
    <w:lvl w:ilvl="0">
      <w:lvlJc w:val="left"/>
      <w:lvlText w:val="·"/>
      <w:numFmt w:val="bullet"/>
      <w:start w:val="1"/>
    </w:lvl>
  </w:abstractNum>
  <w:abstractNum w:abstractNumId="224">
    <w:nsid w:val="67A70B69"/>
    <w:multiLevelType w:val="hybridMultilevel"/>
    <w:lvl w:ilvl="0">
      <w:lvlJc w:val="left"/>
      <w:lvlText w:val="·"/>
      <w:numFmt w:val="bullet"/>
      <w:start w:val="1"/>
    </w:lvl>
  </w:abstractNum>
  <w:abstractNum w:abstractNumId="225">
    <w:nsid w:val="5953172F"/>
    <w:multiLevelType w:val="hybridMultilevel"/>
    <w:lvl w:ilvl="0">
      <w:lvlJc w:val="left"/>
      <w:lvlText w:val="·"/>
      <w:numFmt w:val="bullet"/>
      <w:start w:val="1"/>
    </w:lvl>
  </w:abstractNum>
  <w:abstractNum w:abstractNumId="226">
    <w:nsid w:val="27EDFE3A"/>
    <w:multiLevelType w:val="hybridMultilevel"/>
    <w:lvl w:ilvl="0">
      <w:lvlJc w:val="left"/>
      <w:lvlText w:val="·"/>
      <w:numFmt w:val="bullet"/>
      <w:start w:val="1"/>
    </w:lvl>
  </w:abstractNum>
  <w:abstractNum w:abstractNumId="227">
    <w:nsid w:val="52AC7DFF"/>
    <w:multiLevelType w:val="hybridMultilevel"/>
    <w:lvl w:ilvl="0">
      <w:lvlJc w:val="left"/>
      <w:lvlText w:val="%1."/>
      <w:numFmt w:val="upperLetter"/>
      <w:start w:val="22"/>
    </w:lvl>
  </w:abstractNum>
  <w:abstractNum w:abstractNumId="228">
    <w:nsid w:val="C4C3AF"/>
    <w:multiLevelType w:val="hybridMultilevel"/>
    <w:lvl w:ilvl="0">
      <w:lvlJc w:val="left"/>
      <w:lvlText w:val="·"/>
      <w:numFmt w:val="bullet"/>
      <w:start w:val="1"/>
    </w:lvl>
  </w:abstractNum>
  <w:abstractNum w:abstractNumId="229">
    <w:nsid w:val="44380727"/>
    <w:multiLevelType w:val="hybridMultilevel"/>
    <w:lvl w:ilvl="0">
      <w:lvlJc w:val="left"/>
      <w:lvlText w:val="%1."/>
      <w:numFmt w:val="upperLetter"/>
      <w:start w:val="61"/>
    </w:lvl>
    <w:lvl w:ilvl="1">
      <w:lvlJc w:val="left"/>
      <w:lvlText w:val="·"/>
      <w:numFmt w:val="bullet"/>
      <w:start w:val="1"/>
    </w:lvl>
  </w:abstractNum>
  <w:abstractNum w:abstractNumId="230">
    <w:nsid w:val="6C053B16"/>
    <w:multiLevelType w:val="hybridMultilevel"/>
    <w:lvl w:ilvl="0">
      <w:lvlJc w:val="left"/>
      <w:lvlText w:val="·"/>
      <w:numFmt w:val="bullet"/>
      <w:start w:val="1"/>
    </w:lvl>
  </w:abstractNum>
  <w:abstractNum w:abstractNumId="231">
    <w:nsid w:val="4F294393"/>
    <w:multiLevelType w:val="hybridMultilevel"/>
    <w:lvl w:ilvl="0">
      <w:lvlJc w:val="left"/>
      <w:lvlText w:val="·"/>
      <w:numFmt w:val="bullet"/>
      <w:start w:val="1"/>
    </w:lvl>
  </w:abstractNum>
  <w:abstractNum w:abstractNumId="232">
    <w:nsid w:val="5243BFAC"/>
    <w:multiLevelType w:val="hybridMultilevel"/>
    <w:lvl w:ilvl="0">
      <w:lvlJc w:val="left"/>
      <w:lvlText w:val="%1."/>
      <w:numFmt w:val="decimal"/>
      <w:start w:val="1"/>
    </w:lvl>
    <w:lvl w:ilvl="1">
      <w:lvlJc w:val="left"/>
      <w:lvlText w:val="%2)"/>
      <w:numFmt w:val="lowerLetter"/>
      <w:start w:val="1"/>
    </w:lvl>
  </w:abstractNum>
  <w:abstractNum w:abstractNumId="233">
    <w:nsid w:val="425EB207"/>
    <w:multiLevelType w:val="hybridMultilevel"/>
    <w:lvl w:ilvl="0">
      <w:lvlJc w:val="left"/>
      <w:lvlText w:val="%1."/>
      <w:numFmt w:val="decimal"/>
      <w:start w:val="1"/>
    </w:lvl>
    <w:lvl w:ilvl="1">
      <w:lvlJc w:val="left"/>
      <w:lvlText w:val="%2)"/>
      <w:numFmt w:val="lowerLetter"/>
      <w:start w:val="1"/>
    </w:lvl>
  </w:abstractNum>
  <w:abstractNum w:abstractNumId="234">
    <w:nsid w:val="334A6F1F"/>
    <w:multiLevelType w:val="hybridMultilevel"/>
    <w:lvl w:ilvl="0">
      <w:lvlJc w:val="left"/>
      <w:lvlText w:val="(%1)"/>
      <w:numFmt w:val="lowerRoman"/>
      <w:start w:val="1"/>
    </w:lvl>
  </w:abstractNum>
  <w:abstractNum w:abstractNumId="235">
    <w:nsid w:val="2E5B12B8"/>
    <w:multiLevelType w:val="hybridMultilevel"/>
    <w:lvl w:ilvl="0">
      <w:lvlJc w:val="left"/>
      <w:lvlText w:val="(%1)"/>
      <w:numFmt w:val="lowerRoman"/>
      <w:start w:val="1"/>
    </w:lvl>
  </w:abstractNum>
  <w:abstractNum w:abstractNumId="236">
    <w:nsid w:val="5C03D76D"/>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jpeg"/><Relationship Id="rId146" Type="http://schemas.openxmlformats.org/officeDocument/2006/relationships/image" Target="media/image139.png"/><Relationship Id="rId147" Type="http://schemas.openxmlformats.org/officeDocument/2006/relationships/image" Target="media/image140.jpe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4" Type="http://schemas.openxmlformats.org/officeDocument/2006/relationships/image" Target="media/image145.png"/><Relationship Id="rId155" Type="http://schemas.openxmlformats.org/officeDocument/2006/relationships/image" Target="media/image146.png"/><Relationship Id="rId156" Type="http://schemas.openxmlformats.org/officeDocument/2006/relationships/image" Target="media/image147.jpeg"/><Relationship Id="rId157" Type="http://schemas.openxmlformats.org/officeDocument/2006/relationships/image" Target="media/image148.png"/><Relationship Id="rId158" Type="http://schemas.openxmlformats.org/officeDocument/2006/relationships/image" Target="media/image149.jpeg"/><Relationship Id="rId159" Type="http://schemas.openxmlformats.org/officeDocument/2006/relationships/image" Target="media/image150.png"/><Relationship Id="rId160" Type="http://schemas.openxmlformats.org/officeDocument/2006/relationships/image" Target="media/image151.png"/><Relationship Id="rId161" Type="http://schemas.openxmlformats.org/officeDocument/2006/relationships/image" Target="media/image152.png"/><Relationship Id="rId162" Type="http://schemas.openxmlformats.org/officeDocument/2006/relationships/image" Target="media/image153.png"/><Relationship Id="rId163" Type="http://schemas.openxmlformats.org/officeDocument/2006/relationships/image" Target="media/image154.png"/><Relationship Id="rId164" Type="http://schemas.openxmlformats.org/officeDocument/2006/relationships/image" Target="media/image155.png"/><Relationship Id="rId165" Type="http://schemas.openxmlformats.org/officeDocument/2006/relationships/image" Target="media/image156.png"/><Relationship Id="rId166" Type="http://schemas.openxmlformats.org/officeDocument/2006/relationships/image" Target="media/image157.png"/><Relationship Id="rId167" Type="http://schemas.openxmlformats.org/officeDocument/2006/relationships/image" Target="media/image158.png"/><Relationship Id="rId168" Type="http://schemas.openxmlformats.org/officeDocument/2006/relationships/image" Target="media/image159.png"/><Relationship Id="rId169" Type="http://schemas.openxmlformats.org/officeDocument/2006/relationships/image" Target="media/image160.png"/><Relationship Id="rId170" Type="http://schemas.openxmlformats.org/officeDocument/2006/relationships/image" Target="media/image161.png"/><Relationship Id="rId171" Type="http://schemas.openxmlformats.org/officeDocument/2006/relationships/image" Target="media/image162.png"/><Relationship Id="rId172" Type="http://schemas.openxmlformats.org/officeDocument/2006/relationships/image" Target="media/image163.png"/><Relationship Id="rId173" Type="http://schemas.openxmlformats.org/officeDocument/2006/relationships/image" Target="media/image164.png"/><Relationship Id="rId174" Type="http://schemas.openxmlformats.org/officeDocument/2006/relationships/image" Target="media/image165.png"/><Relationship Id="rId175" Type="http://schemas.openxmlformats.org/officeDocument/2006/relationships/image" Target="media/image166.png"/><Relationship Id="rId176" Type="http://schemas.openxmlformats.org/officeDocument/2006/relationships/image" Target="media/image167.png"/><Relationship Id="rId177" Type="http://schemas.openxmlformats.org/officeDocument/2006/relationships/image" Target="media/image168.png"/><Relationship Id="rId178" Type="http://schemas.openxmlformats.org/officeDocument/2006/relationships/image" Target="media/image169.png"/><Relationship Id="rId179" Type="http://schemas.openxmlformats.org/officeDocument/2006/relationships/image" Target="media/image170.png"/><Relationship Id="rId180" Type="http://schemas.openxmlformats.org/officeDocument/2006/relationships/image" Target="media/image171.png"/><Relationship Id="rId181" Type="http://schemas.openxmlformats.org/officeDocument/2006/relationships/image" Target="media/image172.png"/><Relationship Id="rId182" Type="http://schemas.openxmlformats.org/officeDocument/2006/relationships/image" Target="media/image173.png"/><Relationship Id="rId183" Type="http://schemas.openxmlformats.org/officeDocument/2006/relationships/image" Target="media/image174.png"/><Relationship Id="rId184" Type="http://schemas.openxmlformats.org/officeDocument/2006/relationships/image" Target="media/image175.png"/><Relationship Id="rId185" Type="http://schemas.openxmlformats.org/officeDocument/2006/relationships/image" Target="media/image176.png"/><Relationship Id="rId186" Type="http://schemas.openxmlformats.org/officeDocument/2006/relationships/image" Target="media/image177.png"/><Relationship Id="rId187" Type="http://schemas.openxmlformats.org/officeDocument/2006/relationships/image" Target="media/image178.png"/><Relationship Id="rId188" Type="http://schemas.openxmlformats.org/officeDocument/2006/relationships/image" Target="media/image179.png"/><Relationship Id="rId189" Type="http://schemas.openxmlformats.org/officeDocument/2006/relationships/image" Target="media/image180.png"/><Relationship Id="rId190" Type="http://schemas.openxmlformats.org/officeDocument/2006/relationships/image" Target="media/image181.png"/><Relationship Id="rId191" Type="http://schemas.openxmlformats.org/officeDocument/2006/relationships/image" Target="media/image182.png"/><Relationship Id="rId192" Type="http://schemas.openxmlformats.org/officeDocument/2006/relationships/image" Target="media/image183.png"/><Relationship Id="rId193" Type="http://schemas.openxmlformats.org/officeDocument/2006/relationships/image" Target="media/image184.png"/><Relationship Id="rId194" Type="http://schemas.openxmlformats.org/officeDocument/2006/relationships/image" Target="media/image185.png"/><Relationship Id="rId195" Type="http://schemas.openxmlformats.org/officeDocument/2006/relationships/image" Target="media/image186.png"/><Relationship Id="rId196" Type="http://schemas.openxmlformats.org/officeDocument/2006/relationships/image" Target="media/image187.png"/><Relationship Id="rId197" Type="http://schemas.openxmlformats.org/officeDocument/2006/relationships/image" Target="media/image188.png"/><Relationship Id="rId198" Type="http://schemas.openxmlformats.org/officeDocument/2006/relationships/image" Target="media/image189.png"/><Relationship Id="rId199" Type="http://schemas.openxmlformats.org/officeDocument/2006/relationships/image" Target="media/image190.png"/><Relationship Id="rId200" Type="http://schemas.openxmlformats.org/officeDocument/2006/relationships/image" Target="media/image191.png"/><Relationship Id="rId201" Type="http://schemas.openxmlformats.org/officeDocument/2006/relationships/image" Target="media/image192.png"/><Relationship Id="rId202" Type="http://schemas.openxmlformats.org/officeDocument/2006/relationships/image" Target="media/image193.png"/><Relationship Id="rId203" Type="http://schemas.openxmlformats.org/officeDocument/2006/relationships/image" Target="media/image194.png"/><Relationship Id="rId204" Type="http://schemas.openxmlformats.org/officeDocument/2006/relationships/image" Target="media/image195.png"/><Relationship Id="rId205" Type="http://schemas.openxmlformats.org/officeDocument/2006/relationships/image" Target="media/image196.png"/><Relationship Id="rId206" Type="http://schemas.openxmlformats.org/officeDocument/2006/relationships/image" Target="media/image197.png"/><Relationship Id="rId207" Type="http://schemas.openxmlformats.org/officeDocument/2006/relationships/image" Target="media/image198.png"/><Relationship Id="rId208" Type="http://schemas.openxmlformats.org/officeDocument/2006/relationships/image" Target="media/image199.png"/><Relationship Id="rId209" Type="http://schemas.openxmlformats.org/officeDocument/2006/relationships/image" Target="media/image200.png"/><Relationship Id="rId210" Type="http://schemas.openxmlformats.org/officeDocument/2006/relationships/image" Target="media/image201.png"/><Relationship Id="rId211" Type="http://schemas.openxmlformats.org/officeDocument/2006/relationships/image" Target="media/image202.png"/><Relationship Id="rId212" Type="http://schemas.openxmlformats.org/officeDocument/2006/relationships/image" Target="media/image203.png"/><Relationship Id="rId213" Type="http://schemas.openxmlformats.org/officeDocument/2006/relationships/image" Target="media/image204.png"/><Relationship Id="rId214" Type="http://schemas.openxmlformats.org/officeDocument/2006/relationships/image" Target="media/image205.png"/><Relationship Id="rId215" Type="http://schemas.openxmlformats.org/officeDocument/2006/relationships/image" Target="media/image206.png"/><Relationship Id="rId216" Type="http://schemas.openxmlformats.org/officeDocument/2006/relationships/image" Target="media/image207.png"/><Relationship Id="rId217" Type="http://schemas.openxmlformats.org/officeDocument/2006/relationships/image" Target="media/image208.png"/><Relationship Id="rId218" Type="http://schemas.openxmlformats.org/officeDocument/2006/relationships/image" Target="media/image209.png"/><Relationship Id="rId219" Type="http://schemas.openxmlformats.org/officeDocument/2006/relationships/image" Target="media/image210.png"/><Relationship Id="rId220" Type="http://schemas.openxmlformats.org/officeDocument/2006/relationships/image" Target="media/image211.png"/><Relationship Id="rId221" Type="http://schemas.openxmlformats.org/officeDocument/2006/relationships/image" Target="media/image212.png"/><Relationship Id="rId222" Type="http://schemas.openxmlformats.org/officeDocument/2006/relationships/image" Target="media/image213.png"/><Relationship Id="rId223" Type="http://schemas.openxmlformats.org/officeDocument/2006/relationships/image" Target="media/image214.png"/><Relationship Id="rId224" Type="http://schemas.openxmlformats.org/officeDocument/2006/relationships/image" Target="media/image215.png"/><Relationship Id="rId225" Type="http://schemas.openxmlformats.org/officeDocument/2006/relationships/image" Target="media/image216.png"/><Relationship Id="rId226" Type="http://schemas.openxmlformats.org/officeDocument/2006/relationships/image" Target="media/image217.png"/><Relationship Id="rId227" Type="http://schemas.openxmlformats.org/officeDocument/2006/relationships/image" Target="media/image218.png"/><Relationship Id="rId228" Type="http://schemas.openxmlformats.org/officeDocument/2006/relationships/image" Target="media/image219.png"/><Relationship Id="rId229" Type="http://schemas.openxmlformats.org/officeDocument/2006/relationships/image" Target="media/image220.png"/><Relationship Id="rId230" Type="http://schemas.openxmlformats.org/officeDocument/2006/relationships/image" Target="media/image221.png"/><Relationship Id="rId231" Type="http://schemas.openxmlformats.org/officeDocument/2006/relationships/image" Target="media/image222.png"/><Relationship Id="rId232" Type="http://schemas.openxmlformats.org/officeDocument/2006/relationships/image" Target="media/image223.png"/><Relationship Id="rId233" Type="http://schemas.openxmlformats.org/officeDocument/2006/relationships/image" Target="media/image224.png"/><Relationship Id="rId234" Type="http://schemas.openxmlformats.org/officeDocument/2006/relationships/image" Target="media/image225.png"/><Relationship Id="rId235" Type="http://schemas.openxmlformats.org/officeDocument/2006/relationships/image" Target="media/image226.png"/><Relationship Id="rId236" Type="http://schemas.openxmlformats.org/officeDocument/2006/relationships/image" Target="media/image227.png"/><Relationship Id="rId237" Type="http://schemas.openxmlformats.org/officeDocument/2006/relationships/image" Target="media/image228.png"/><Relationship Id="rId238" Type="http://schemas.openxmlformats.org/officeDocument/2006/relationships/image" Target="media/image229.png"/><Relationship Id="rId239" Type="http://schemas.openxmlformats.org/officeDocument/2006/relationships/image" Target="media/image230.png"/><Relationship Id="rId240" Type="http://schemas.openxmlformats.org/officeDocument/2006/relationships/image" Target="media/image231.png"/><Relationship Id="rId241" Type="http://schemas.openxmlformats.org/officeDocument/2006/relationships/image" Target="media/image232.png"/><Relationship Id="rId242" Type="http://schemas.openxmlformats.org/officeDocument/2006/relationships/image" Target="media/image233.png"/><Relationship Id="rId243" Type="http://schemas.openxmlformats.org/officeDocument/2006/relationships/image" Target="media/image234.png"/><Relationship Id="rId244" Type="http://schemas.openxmlformats.org/officeDocument/2006/relationships/image" Target="media/image235.png"/><Relationship Id="rId245" Type="http://schemas.openxmlformats.org/officeDocument/2006/relationships/image" Target="media/image236.png"/><Relationship Id="rId246" Type="http://schemas.openxmlformats.org/officeDocument/2006/relationships/image" Target="media/image237.png"/><Relationship Id="rId247" Type="http://schemas.openxmlformats.org/officeDocument/2006/relationships/image" Target="media/image238.png"/><Relationship Id="rId248" Type="http://schemas.openxmlformats.org/officeDocument/2006/relationships/image" Target="media/image239.png"/><Relationship Id="rId249" Type="http://schemas.openxmlformats.org/officeDocument/2006/relationships/image" Target="media/image240.png"/><Relationship Id="rId250" Type="http://schemas.openxmlformats.org/officeDocument/2006/relationships/image" Target="media/image241.png"/><Relationship Id="rId251" Type="http://schemas.openxmlformats.org/officeDocument/2006/relationships/image" Target="media/image242.png"/><Relationship Id="rId252" Type="http://schemas.openxmlformats.org/officeDocument/2006/relationships/image" Target="media/image243.png"/><Relationship Id="rId253" Type="http://schemas.openxmlformats.org/officeDocument/2006/relationships/image" Target="media/image244.png"/><Relationship Id="rId254" Type="http://schemas.openxmlformats.org/officeDocument/2006/relationships/image" Target="media/image245.png"/><Relationship Id="rId255" Type="http://schemas.openxmlformats.org/officeDocument/2006/relationships/image" Target="media/image246.png"/><Relationship Id="rId256" Type="http://schemas.openxmlformats.org/officeDocument/2006/relationships/image" Target="media/image247.png"/><Relationship Id="rId257" Type="http://schemas.openxmlformats.org/officeDocument/2006/relationships/image" Target="media/image248.png"/><Relationship Id="rId258" Type="http://schemas.openxmlformats.org/officeDocument/2006/relationships/image" Target="media/image249.png"/><Relationship Id="rId259" Type="http://schemas.openxmlformats.org/officeDocument/2006/relationships/image" Target="media/image250.png"/><Relationship Id="rId260" Type="http://schemas.openxmlformats.org/officeDocument/2006/relationships/image" Target="media/image251.png"/><Relationship Id="rId261" Type="http://schemas.openxmlformats.org/officeDocument/2006/relationships/image" Target="media/image252.png"/><Relationship Id="rId262" Type="http://schemas.openxmlformats.org/officeDocument/2006/relationships/image" Target="media/image253.png"/><Relationship Id="rId263" Type="http://schemas.openxmlformats.org/officeDocument/2006/relationships/image" Target="media/image254.png"/><Relationship Id="rId264" Type="http://schemas.openxmlformats.org/officeDocument/2006/relationships/image" Target="media/image255.png"/><Relationship Id="rId265" Type="http://schemas.openxmlformats.org/officeDocument/2006/relationships/image" Target="media/image256.png"/><Relationship Id="rId266" Type="http://schemas.openxmlformats.org/officeDocument/2006/relationships/image" Target="media/image257.png"/><Relationship Id="rId267" Type="http://schemas.openxmlformats.org/officeDocument/2006/relationships/image" Target="media/image258.png"/><Relationship Id="rId268" Type="http://schemas.openxmlformats.org/officeDocument/2006/relationships/image" Target="media/image259.png"/><Relationship Id="rId269" Type="http://schemas.openxmlformats.org/officeDocument/2006/relationships/image" Target="media/image260.png"/><Relationship Id="rId270" Type="http://schemas.openxmlformats.org/officeDocument/2006/relationships/image" Target="media/image261.png"/><Relationship Id="rId271" Type="http://schemas.openxmlformats.org/officeDocument/2006/relationships/image" Target="media/image262.png"/><Relationship Id="rId272" Type="http://schemas.openxmlformats.org/officeDocument/2006/relationships/image" Target="media/image263.png"/><Relationship Id="rId273" Type="http://schemas.openxmlformats.org/officeDocument/2006/relationships/image" Target="media/image264.png"/><Relationship Id="rId274" Type="http://schemas.openxmlformats.org/officeDocument/2006/relationships/image" Target="media/image265.png"/><Relationship Id="rId275" Type="http://schemas.openxmlformats.org/officeDocument/2006/relationships/image" Target="media/image266.png"/><Relationship Id="rId276" Type="http://schemas.openxmlformats.org/officeDocument/2006/relationships/image" Target="media/image267.png"/><Relationship Id="rId277" Type="http://schemas.openxmlformats.org/officeDocument/2006/relationships/image" Target="media/image268.png"/><Relationship Id="rId278" Type="http://schemas.openxmlformats.org/officeDocument/2006/relationships/image" Target="media/image269.png"/><Relationship Id="rId279" Type="http://schemas.openxmlformats.org/officeDocument/2006/relationships/image" Target="media/image270.png"/><Relationship Id="rId280" Type="http://schemas.openxmlformats.org/officeDocument/2006/relationships/image" Target="media/image271.png"/><Relationship Id="rId281" Type="http://schemas.openxmlformats.org/officeDocument/2006/relationships/image" Target="media/image272.png"/><Relationship Id="rId282" Type="http://schemas.openxmlformats.org/officeDocument/2006/relationships/image" Target="media/image273.png"/><Relationship Id="rId283" Type="http://schemas.openxmlformats.org/officeDocument/2006/relationships/image" Target="media/image274.png"/><Relationship Id="rId284" Type="http://schemas.openxmlformats.org/officeDocument/2006/relationships/image" Target="media/image275.png"/><Relationship Id="rId285" Type="http://schemas.openxmlformats.org/officeDocument/2006/relationships/image" Target="media/image276.png"/><Relationship Id="rId286" Type="http://schemas.openxmlformats.org/officeDocument/2006/relationships/image" Target="media/image277.png"/><Relationship Id="rId287" Type="http://schemas.openxmlformats.org/officeDocument/2006/relationships/image" Target="media/image278.png"/><Relationship Id="rId288" Type="http://schemas.openxmlformats.org/officeDocument/2006/relationships/image" Target="media/image279.png"/><Relationship Id="rId289" Type="http://schemas.openxmlformats.org/officeDocument/2006/relationships/image" Target="media/image280.png"/><Relationship Id="rId290" Type="http://schemas.openxmlformats.org/officeDocument/2006/relationships/image" Target="media/image281.png"/><Relationship Id="rId291" Type="http://schemas.openxmlformats.org/officeDocument/2006/relationships/image" Target="media/image282.png"/><Relationship Id="rId292" Type="http://schemas.openxmlformats.org/officeDocument/2006/relationships/image" Target="media/image283.png"/><Relationship Id="rId293" Type="http://schemas.openxmlformats.org/officeDocument/2006/relationships/image" Target="media/image284.png"/><Relationship Id="rId294" Type="http://schemas.openxmlformats.org/officeDocument/2006/relationships/image" Target="media/image285.png"/><Relationship Id="rId295" Type="http://schemas.openxmlformats.org/officeDocument/2006/relationships/image" Target="media/image286.png"/><Relationship Id="rId296" Type="http://schemas.openxmlformats.org/officeDocument/2006/relationships/image" Target="media/image287.png"/><Relationship Id="rId297" Type="http://schemas.openxmlformats.org/officeDocument/2006/relationships/image" Target="media/image288.png"/><Relationship Id="rId298" Type="http://schemas.openxmlformats.org/officeDocument/2006/relationships/image" Target="media/image289.png"/><Relationship Id="rId299" Type="http://schemas.openxmlformats.org/officeDocument/2006/relationships/image" Target="media/image290.png"/><Relationship Id="rId300" Type="http://schemas.openxmlformats.org/officeDocument/2006/relationships/image" Target="media/image291.png"/><Relationship Id="rId301" Type="http://schemas.openxmlformats.org/officeDocument/2006/relationships/image" Target="media/image292.png"/><Relationship Id="rId302" Type="http://schemas.openxmlformats.org/officeDocument/2006/relationships/image" Target="media/image293.png"/><Relationship Id="rId303" Type="http://schemas.openxmlformats.org/officeDocument/2006/relationships/image" Target="media/image294.png"/><Relationship Id="rId304" Type="http://schemas.openxmlformats.org/officeDocument/2006/relationships/image" Target="media/image295.png"/><Relationship Id="rId305" Type="http://schemas.openxmlformats.org/officeDocument/2006/relationships/image" Target="media/image296.png"/><Relationship Id="rId306" Type="http://schemas.openxmlformats.org/officeDocument/2006/relationships/image" Target="media/image297.png"/><Relationship Id="rId307" Type="http://schemas.openxmlformats.org/officeDocument/2006/relationships/image" Target="media/image298.png"/><Relationship Id="rId308" Type="http://schemas.openxmlformats.org/officeDocument/2006/relationships/image" Target="media/image299.png"/><Relationship Id="rId309" Type="http://schemas.openxmlformats.org/officeDocument/2006/relationships/image" Target="media/image300.png"/><Relationship Id="rId310" Type="http://schemas.openxmlformats.org/officeDocument/2006/relationships/image" Target="media/image301.png"/><Relationship Id="rId311" Type="http://schemas.openxmlformats.org/officeDocument/2006/relationships/image" Target="media/image302.png"/><Relationship Id="rId312" Type="http://schemas.openxmlformats.org/officeDocument/2006/relationships/image" Target="media/image303.png"/><Relationship Id="rId313" Type="http://schemas.openxmlformats.org/officeDocument/2006/relationships/image" Target="media/image304.png"/><Relationship Id="rId314" Type="http://schemas.openxmlformats.org/officeDocument/2006/relationships/image" Target="media/image305.png"/><Relationship Id="rId315" Type="http://schemas.openxmlformats.org/officeDocument/2006/relationships/image" Target="media/image306.png"/><Relationship Id="rId316" Type="http://schemas.openxmlformats.org/officeDocument/2006/relationships/image" Target="media/image307.png"/><Relationship Id="rId317" Type="http://schemas.openxmlformats.org/officeDocument/2006/relationships/image" Target="media/image308.png"/><Relationship Id="rId318" Type="http://schemas.openxmlformats.org/officeDocument/2006/relationships/image" Target="media/image309.png"/><Relationship Id="rId319" Type="http://schemas.openxmlformats.org/officeDocument/2006/relationships/image" Target="media/image310.png"/><Relationship Id="rId320" Type="http://schemas.openxmlformats.org/officeDocument/2006/relationships/image" Target="media/image311.png"/><Relationship Id="rId321" Type="http://schemas.openxmlformats.org/officeDocument/2006/relationships/image" Target="media/image312.png"/><Relationship Id="rId322" Type="http://schemas.openxmlformats.org/officeDocument/2006/relationships/image" Target="media/image313.png"/><Relationship Id="rId323" Type="http://schemas.openxmlformats.org/officeDocument/2006/relationships/image" Target="media/image314.png"/><Relationship Id="rId324" Type="http://schemas.openxmlformats.org/officeDocument/2006/relationships/image" Target="media/image315.png"/><Relationship Id="rId325" Type="http://schemas.openxmlformats.org/officeDocument/2006/relationships/image" Target="media/image316.png"/><Relationship Id="rId326" Type="http://schemas.openxmlformats.org/officeDocument/2006/relationships/image" Target="media/image317.png"/><Relationship Id="rId327" Type="http://schemas.openxmlformats.org/officeDocument/2006/relationships/image" Target="media/image318.png"/><Relationship Id="rId328" Type="http://schemas.openxmlformats.org/officeDocument/2006/relationships/image" Target="media/image319.png"/><Relationship Id="rId329" Type="http://schemas.openxmlformats.org/officeDocument/2006/relationships/image" Target="media/image320.png"/><Relationship Id="rId330" Type="http://schemas.openxmlformats.org/officeDocument/2006/relationships/image" Target="media/image321.png"/><Relationship Id="rId331" Type="http://schemas.openxmlformats.org/officeDocument/2006/relationships/image" Target="media/image322.png"/><Relationship Id="rId332" Type="http://schemas.openxmlformats.org/officeDocument/2006/relationships/image" Target="media/image323.png"/><Relationship Id="rId333" Type="http://schemas.openxmlformats.org/officeDocument/2006/relationships/image" Target="media/image324.png"/><Relationship Id="rId334" Type="http://schemas.openxmlformats.org/officeDocument/2006/relationships/image" Target="media/image325.png"/><Relationship Id="rId335" Type="http://schemas.openxmlformats.org/officeDocument/2006/relationships/image" Target="media/image326.png"/><Relationship Id="rId336" Type="http://schemas.openxmlformats.org/officeDocument/2006/relationships/image" Target="media/image327.png"/><Relationship Id="rId337" Type="http://schemas.openxmlformats.org/officeDocument/2006/relationships/image" Target="media/image328.png"/><Relationship Id="rId338" Type="http://schemas.openxmlformats.org/officeDocument/2006/relationships/image" Target="media/image329.png"/><Relationship Id="rId339" Type="http://schemas.openxmlformats.org/officeDocument/2006/relationships/image" Target="media/image330.png"/><Relationship Id="rId340" Type="http://schemas.openxmlformats.org/officeDocument/2006/relationships/image" Target="media/image331.png"/><Relationship Id="rId341" Type="http://schemas.openxmlformats.org/officeDocument/2006/relationships/image" Target="media/image332.png"/><Relationship Id="rId342" Type="http://schemas.openxmlformats.org/officeDocument/2006/relationships/image" Target="media/image333.png"/><Relationship Id="rId343" Type="http://schemas.openxmlformats.org/officeDocument/2006/relationships/image" Target="media/image334.png"/><Relationship Id="rId344" Type="http://schemas.openxmlformats.org/officeDocument/2006/relationships/image" Target="media/image335.png"/><Relationship Id="rId345" Type="http://schemas.openxmlformats.org/officeDocument/2006/relationships/image" Target="media/image336.png"/><Relationship Id="rId346" Type="http://schemas.openxmlformats.org/officeDocument/2006/relationships/image" Target="media/image337.png"/><Relationship Id="rId347" Type="http://schemas.openxmlformats.org/officeDocument/2006/relationships/image" Target="media/image338.png"/><Relationship Id="rId348" Type="http://schemas.openxmlformats.org/officeDocument/2006/relationships/image" Target="media/image339.png"/><Relationship Id="rId349" Type="http://schemas.openxmlformats.org/officeDocument/2006/relationships/image" Target="media/image340.png"/><Relationship Id="rId350" Type="http://schemas.openxmlformats.org/officeDocument/2006/relationships/image" Target="media/image341.png"/><Relationship Id="rId351" Type="http://schemas.openxmlformats.org/officeDocument/2006/relationships/image" Target="media/image342.png"/><Relationship Id="rId352" Type="http://schemas.openxmlformats.org/officeDocument/2006/relationships/image" Target="media/image343.png"/><Relationship Id="rId353" Type="http://schemas.openxmlformats.org/officeDocument/2006/relationships/image" Target="media/image344.png"/><Relationship Id="rId354" Type="http://schemas.openxmlformats.org/officeDocument/2006/relationships/image" Target="media/image345.png"/><Relationship Id="rId355" Type="http://schemas.openxmlformats.org/officeDocument/2006/relationships/image" Target="media/image346.png"/><Relationship Id="rId356" Type="http://schemas.openxmlformats.org/officeDocument/2006/relationships/image" Target="media/image347.png"/><Relationship Id="rId357" Type="http://schemas.openxmlformats.org/officeDocument/2006/relationships/image" Target="media/image348.png"/><Relationship Id="rId358" Type="http://schemas.openxmlformats.org/officeDocument/2006/relationships/image" Target="media/image349.png"/><Relationship Id="rId359" Type="http://schemas.openxmlformats.org/officeDocument/2006/relationships/image" Target="media/image350.png"/><Relationship Id="rId360" Type="http://schemas.openxmlformats.org/officeDocument/2006/relationships/image" Target="media/image351.png"/><Relationship Id="rId361" Type="http://schemas.openxmlformats.org/officeDocument/2006/relationships/image" Target="media/image352.png"/><Relationship Id="rId362" Type="http://schemas.openxmlformats.org/officeDocument/2006/relationships/image" Target="media/image353.png"/><Relationship Id="rId363" Type="http://schemas.openxmlformats.org/officeDocument/2006/relationships/image" Target="media/image354.png"/><Relationship Id="rId364" Type="http://schemas.openxmlformats.org/officeDocument/2006/relationships/image" Target="media/image355.png"/><Relationship Id="rId365" Type="http://schemas.openxmlformats.org/officeDocument/2006/relationships/image" Target="media/image356.png"/><Relationship Id="rId366" Type="http://schemas.openxmlformats.org/officeDocument/2006/relationships/image" Target="media/image357.png"/><Relationship Id="rId367" Type="http://schemas.openxmlformats.org/officeDocument/2006/relationships/image" Target="media/image358.png"/><Relationship Id="rId368" Type="http://schemas.openxmlformats.org/officeDocument/2006/relationships/image" Target="media/image359.png"/><Relationship Id="rId369" Type="http://schemas.openxmlformats.org/officeDocument/2006/relationships/image" Target="media/image360.png"/><Relationship Id="rId370" Type="http://schemas.openxmlformats.org/officeDocument/2006/relationships/image" Target="media/image361.png"/><Relationship Id="rId371" Type="http://schemas.openxmlformats.org/officeDocument/2006/relationships/image" Target="media/image362.png"/><Relationship Id="rId372" Type="http://schemas.openxmlformats.org/officeDocument/2006/relationships/image" Target="media/image363.png"/><Relationship Id="rId373" Type="http://schemas.openxmlformats.org/officeDocument/2006/relationships/image" Target="media/image364.png"/><Relationship Id="rId374" Type="http://schemas.openxmlformats.org/officeDocument/2006/relationships/image" Target="media/image365.png"/><Relationship Id="rId375" Type="http://schemas.openxmlformats.org/officeDocument/2006/relationships/image" Target="media/image366.png"/><Relationship Id="rId376" Type="http://schemas.openxmlformats.org/officeDocument/2006/relationships/image" Target="media/image367.png"/><Relationship Id="rId377" Type="http://schemas.openxmlformats.org/officeDocument/2006/relationships/image" Target="media/image368.png"/><Relationship Id="rId378" Type="http://schemas.openxmlformats.org/officeDocument/2006/relationships/image" Target="media/image369.png"/><Relationship Id="rId379" Type="http://schemas.openxmlformats.org/officeDocument/2006/relationships/image" Target="media/image370.png"/><Relationship Id="rId380" Type="http://schemas.openxmlformats.org/officeDocument/2006/relationships/image" Target="media/image371.png"/><Relationship Id="rId381" Type="http://schemas.openxmlformats.org/officeDocument/2006/relationships/image" Target="media/image372.png"/><Relationship Id="rId382" Type="http://schemas.openxmlformats.org/officeDocument/2006/relationships/image" Target="media/image373.png"/><Relationship Id="rId383" Type="http://schemas.openxmlformats.org/officeDocument/2006/relationships/image" Target="media/image374.png"/><Relationship Id="rId384" Type="http://schemas.openxmlformats.org/officeDocument/2006/relationships/image" Target="media/image375.png"/><Relationship Id="rId385" Type="http://schemas.openxmlformats.org/officeDocument/2006/relationships/image" Target="media/image376.png"/><Relationship Id="rId386" Type="http://schemas.openxmlformats.org/officeDocument/2006/relationships/image" Target="media/image377.png"/><Relationship Id="rId387" Type="http://schemas.openxmlformats.org/officeDocument/2006/relationships/image" Target="media/image378.png"/><Relationship Id="rId388" Type="http://schemas.openxmlformats.org/officeDocument/2006/relationships/image" Target="media/image379.png"/><Relationship Id="rId389" Type="http://schemas.openxmlformats.org/officeDocument/2006/relationships/image" Target="media/image380.png"/><Relationship Id="rId390" Type="http://schemas.openxmlformats.org/officeDocument/2006/relationships/image" Target="media/image381.png"/><Relationship Id="rId391" Type="http://schemas.openxmlformats.org/officeDocument/2006/relationships/image" Target="media/image382.png"/><Relationship Id="rId392" Type="http://schemas.openxmlformats.org/officeDocument/2006/relationships/image" Target="media/image383.png"/><Relationship Id="rId393" Type="http://schemas.openxmlformats.org/officeDocument/2006/relationships/image" Target="media/image384.png"/><Relationship Id="rId394" Type="http://schemas.openxmlformats.org/officeDocument/2006/relationships/image" Target="media/image385.png"/><Relationship Id="rId395" Type="http://schemas.openxmlformats.org/officeDocument/2006/relationships/image" Target="media/image386.png"/><Relationship Id="rId396" Type="http://schemas.openxmlformats.org/officeDocument/2006/relationships/image" Target="media/image387.png"/><Relationship Id="rId397" Type="http://schemas.openxmlformats.org/officeDocument/2006/relationships/image" Target="media/image388.png"/><Relationship Id="rId398" Type="http://schemas.openxmlformats.org/officeDocument/2006/relationships/image" Target="media/image389.png"/><Relationship Id="rId399" Type="http://schemas.openxmlformats.org/officeDocument/2006/relationships/image" Target="media/image390.png"/><Relationship Id="rId400" Type="http://schemas.openxmlformats.org/officeDocument/2006/relationships/image" Target="media/image391.png"/><Relationship Id="rId401" Type="http://schemas.openxmlformats.org/officeDocument/2006/relationships/image" Target="media/image392.png"/><Relationship Id="rId402" Type="http://schemas.openxmlformats.org/officeDocument/2006/relationships/image" Target="media/image393.png"/><Relationship Id="rId403" Type="http://schemas.openxmlformats.org/officeDocument/2006/relationships/image" Target="media/image394.jpeg"/><Relationship Id="rId404" Type="http://schemas.openxmlformats.org/officeDocument/2006/relationships/image" Target="media/image395.png"/><Relationship Id="rId405" Type="http://schemas.openxmlformats.org/officeDocument/2006/relationships/image" Target="media/image396.png"/><Relationship Id="rId406" Type="http://schemas.openxmlformats.org/officeDocument/2006/relationships/image" Target="media/image397.png"/><Relationship Id="rId407" Type="http://schemas.openxmlformats.org/officeDocument/2006/relationships/image" Target="media/image398.png"/><Relationship Id="rId408" Type="http://schemas.openxmlformats.org/officeDocument/2006/relationships/image" Target="media/image399.png"/><Relationship Id="rId409" Type="http://schemas.openxmlformats.org/officeDocument/2006/relationships/image" Target="media/image400.png"/><Relationship Id="rId410" Type="http://schemas.openxmlformats.org/officeDocument/2006/relationships/image" Target="media/image401.png"/><Relationship Id="rId411" Type="http://schemas.openxmlformats.org/officeDocument/2006/relationships/image" Target="media/image402.png"/><Relationship Id="rId412" Type="http://schemas.openxmlformats.org/officeDocument/2006/relationships/image" Target="media/image403.png"/><Relationship Id="rId413" Type="http://schemas.openxmlformats.org/officeDocument/2006/relationships/image" Target="media/image404.png"/><Relationship Id="rId414" Type="http://schemas.openxmlformats.org/officeDocument/2006/relationships/image" Target="media/image405.png"/><Relationship Id="rId415" Type="http://schemas.openxmlformats.org/officeDocument/2006/relationships/image" Target="media/image406.png"/><Relationship Id="rId416" Type="http://schemas.openxmlformats.org/officeDocument/2006/relationships/image" Target="media/image407.png"/><Relationship Id="rId417" Type="http://schemas.openxmlformats.org/officeDocument/2006/relationships/image" Target="media/image408.png"/><Relationship Id="rId418" Type="http://schemas.openxmlformats.org/officeDocument/2006/relationships/image" Target="media/image409.png"/><Relationship Id="rId419" Type="http://schemas.openxmlformats.org/officeDocument/2006/relationships/image" Target="media/image410.png"/><Relationship Id="rId420" Type="http://schemas.openxmlformats.org/officeDocument/2006/relationships/image" Target="media/image411.png"/><Relationship Id="rId421" Type="http://schemas.openxmlformats.org/officeDocument/2006/relationships/image" Target="media/image412.png"/><Relationship Id="rId422" Type="http://schemas.openxmlformats.org/officeDocument/2006/relationships/image" Target="media/image413.png"/><Relationship Id="rId423" Type="http://schemas.openxmlformats.org/officeDocument/2006/relationships/image" Target="media/image414.png"/><Relationship Id="rId424" Type="http://schemas.openxmlformats.org/officeDocument/2006/relationships/image" Target="media/image415.png"/><Relationship Id="rId425" Type="http://schemas.openxmlformats.org/officeDocument/2006/relationships/image" Target="media/image416.png"/><Relationship Id="rId426" Type="http://schemas.openxmlformats.org/officeDocument/2006/relationships/image" Target="media/image417.png"/><Relationship Id="rId427" Type="http://schemas.openxmlformats.org/officeDocument/2006/relationships/image" Target="media/image418.png"/><Relationship Id="rId428" Type="http://schemas.openxmlformats.org/officeDocument/2006/relationships/image" Target="media/image419.png"/><Relationship Id="rId429" Type="http://schemas.openxmlformats.org/officeDocument/2006/relationships/image" Target="media/image420.png"/><Relationship Id="rId430" Type="http://schemas.openxmlformats.org/officeDocument/2006/relationships/image" Target="media/image421.png"/><Relationship Id="rId431" Type="http://schemas.openxmlformats.org/officeDocument/2006/relationships/image" Target="media/image422.jpeg"/><Relationship Id="rId432" Type="http://schemas.openxmlformats.org/officeDocument/2006/relationships/image" Target="media/image423.png"/><Relationship Id="rId433" Type="http://schemas.openxmlformats.org/officeDocument/2006/relationships/image" Target="media/image424.png"/><Relationship Id="rId152" Type="http://schemas.openxmlformats.org/officeDocument/2006/relationships/hyperlink" Target="http://www.sec.gov/Archives/edgar/data/890541/000114420409034469/v153262_ex1-1.htm" TargetMode="External"/><Relationship Id="rId153" Type="http://schemas.openxmlformats.org/officeDocument/2006/relationships/hyperlink" Target="http://www.sec.gov/Archives/edgar/data/890541/000114420410033172/v187872_ex1-2.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2020-01-15T08:03:12Z</dcterms:created>
  <dcterms:modified xsi:type="dcterms:W3CDTF">2020-01-15T08:03:12Z</dcterms:modified>
</cp:coreProperties>
</file>